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FCE5F9" w14:textId="4C6FDC5D" w:rsidR="009452C6" w:rsidRPr="007F4DE1" w:rsidRDefault="00DB1BA8" w:rsidP="00340C12">
      <w:pPr>
        <w:spacing w:after="0" w:line="240" w:lineRule="auto"/>
        <w:jc w:val="center"/>
        <w:rPr>
          <w:rFonts w:ascii="Arial" w:hAnsi="Arial" w:cs="Arial"/>
          <w:b/>
        </w:rPr>
      </w:pPr>
      <w:bookmarkStart w:id="0" w:name="_GoBack"/>
      <w:bookmarkEnd w:id="0"/>
      <w:r w:rsidRPr="007F4DE1">
        <w:rPr>
          <w:rFonts w:ascii="Arial" w:hAnsi="Arial" w:cs="Arial"/>
          <w:b/>
        </w:rPr>
        <w:t xml:space="preserve">PART III - </w:t>
      </w:r>
      <w:r w:rsidR="009452C6" w:rsidRPr="007F4DE1">
        <w:rPr>
          <w:rFonts w:ascii="Arial" w:hAnsi="Arial" w:cs="Arial"/>
          <w:b/>
        </w:rPr>
        <w:t xml:space="preserve">STATUS </w:t>
      </w:r>
      <w:r w:rsidR="006025D9" w:rsidRPr="007F4DE1">
        <w:rPr>
          <w:rFonts w:ascii="Arial" w:hAnsi="Arial" w:cs="Arial"/>
          <w:b/>
        </w:rPr>
        <w:t>OF IMPLEMENTATION OF PRIOR YEAR</w:t>
      </w:r>
      <w:r w:rsidR="00C33E59" w:rsidRPr="007F4DE1">
        <w:rPr>
          <w:rFonts w:ascii="Arial" w:hAnsi="Arial" w:cs="Arial"/>
          <w:b/>
        </w:rPr>
        <w:t>’</w:t>
      </w:r>
      <w:r w:rsidR="009452C6" w:rsidRPr="007F4DE1">
        <w:rPr>
          <w:rFonts w:ascii="Arial" w:hAnsi="Arial" w:cs="Arial"/>
          <w:b/>
        </w:rPr>
        <w:t>S AUDIT RECOMMENDATIONS</w:t>
      </w:r>
    </w:p>
    <w:p w14:paraId="4E0F40D9" w14:textId="77777777" w:rsidR="009452C6" w:rsidRPr="007F4DE1" w:rsidRDefault="009452C6" w:rsidP="00581ED0">
      <w:pPr>
        <w:spacing w:after="0" w:line="240" w:lineRule="auto"/>
        <w:jc w:val="both"/>
        <w:rPr>
          <w:rFonts w:ascii="Arial" w:hAnsi="Arial" w:cs="Arial"/>
          <w:b/>
        </w:rPr>
      </w:pPr>
    </w:p>
    <w:p w14:paraId="3A3791EF" w14:textId="77777777" w:rsidR="009452C6" w:rsidRPr="007F4DE1" w:rsidRDefault="00C84C5D" w:rsidP="004303EB">
      <w:pPr>
        <w:spacing w:after="0" w:line="240" w:lineRule="auto"/>
        <w:ind w:right="-180"/>
        <w:jc w:val="both"/>
        <w:rPr>
          <w:rFonts w:ascii="Arial" w:hAnsi="Arial" w:cs="Arial"/>
        </w:rPr>
      </w:pPr>
      <w:r w:rsidRPr="007F4DE1">
        <w:rPr>
          <w:rFonts w:ascii="Arial" w:hAnsi="Arial" w:cs="Arial"/>
        </w:rPr>
        <w:t>Out of the</w:t>
      </w:r>
      <w:r w:rsidR="009452C6" w:rsidRPr="007F4DE1">
        <w:rPr>
          <w:rFonts w:ascii="Arial" w:hAnsi="Arial" w:cs="Arial"/>
        </w:rPr>
        <w:t xml:space="preserve"> </w:t>
      </w:r>
      <w:r w:rsidR="00220983" w:rsidRPr="007F4DE1">
        <w:rPr>
          <w:rFonts w:ascii="Arial" w:hAnsi="Arial" w:cs="Arial"/>
        </w:rPr>
        <w:t>47</w:t>
      </w:r>
      <w:r w:rsidR="00D770A9" w:rsidRPr="007F4DE1">
        <w:rPr>
          <w:rFonts w:ascii="Arial" w:hAnsi="Arial" w:cs="Arial"/>
        </w:rPr>
        <w:t xml:space="preserve"> </w:t>
      </w:r>
      <w:r w:rsidR="009452C6" w:rsidRPr="007F4DE1">
        <w:rPr>
          <w:rFonts w:ascii="Arial" w:hAnsi="Arial" w:cs="Arial"/>
        </w:rPr>
        <w:t>audit recommendations embodied in the previous year’s Annual Audit</w:t>
      </w:r>
      <w:r w:rsidR="009F16AA" w:rsidRPr="007F4DE1">
        <w:rPr>
          <w:rFonts w:ascii="Arial" w:hAnsi="Arial" w:cs="Arial"/>
        </w:rPr>
        <w:t xml:space="preserve"> Report</w:t>
      </w:r>
      <w:r w:rsidR="00445E58" w:rsidRPr="007F4DE1">
        <w:rPr>
          <w:rFonts w:ascii="Arial" w:hAnsi="Arial" w:cs="Arial"/>
        </w:rPr>
        <w:t xml:space="preserve"> (AAR)</w:t>
      </w:r>
      <w:r w:rsidR="001D6230" w:rsidRPr="007F4DE1">
        <w:rPr>
          <w:rFonts w:ascii="Arial" w:hAnsi="Arial" w:cs="Arial"/>
        </w:rPr>
        <w:t>, 29</w:t>
      </w:r>
      <w:r w:rsidR="00220983" w:rsidRPr="007F4DE1">
        <w:rPr>
          <w:rFonts w:ascii="Arial" w:hAnsi="Arial" w:cs="Arial"/>
        </w:rPr>
        <w:t xml:space="preserve"> were </w:t>
      </w:r>
      <w:r w:rsidR="006A19B9" w:rsidRPr="007F4DE1">
        <w:rPr>
          <w:rFonts w:ascii="Arial" w:hAnsi="Arial" w:cs="Arial"/>
        </w:rPr>
        <w:t xml:space="preserve">implemented and </w:t>
      </w:r>
      <w:r w:rsidR="001D6230" w:rsidRPr="007F4DE1">
        <w:rPr>
          <w:rFonts w:ascii="Arial" w:hAnsi="Arial" w:cs="Arial"/>
        </w:rPr>
        <w:t>18</w:t>
      </w:r>
      <w:r w:rsidR="00CD7BA1" w:rsidRPr="007F4DE1">
        <w:rPr>
          <w:rFonts w:ascii="Arial" w:hAnsi="Arial" w:cs="Arial"/>
        </w:rPr>
        <w:t xml:space="preserve"> </w:t>
      </w:r>
      <w:r w:rsidR="00C66C34" w:rsidRPr="007F4DE1">
        <w:rPr>
          <w:rFonts w:ascii="Arial" w:hAnsi="Arial" w:cs="Arial"/>
        </w:rPr>
        <w:t>were</w:t>
      </w:r>
      <w:r w:rsidR="009452C6" w:rsidRPr="007F4DE1">
        <w:rPr>
          <w:rFonts w:ascii="Arial" w:hAnsi="Arial" w:cs="Arial"/>
        </w:rPr>
        <w:t xml:space="preserve"> not implemented.</w:t>
      </w:r>
      <w:r w:rsidR="00445E58" w:rsidRPr="007F4DE1">
        <w:rPr>
          <w:rFonts w:ascii="Arial" w:hAnsi="Arial" w:cs="Arial"/>
        </w:rPr>
        <w:t xml:space="preserve"> Details as follows:</w:t>
      </w:r>
    </w:p>
    <w:p w14:paraId="00E65425" w14:textId="77777777" w:rsidR="009452C6" w:rsidRPr="007F4DE1" w:rsidRDefault="009452C6" w:rsidP="004303EB">
      <w:pPr>
        <w:spacing w:after="0" w:line="240" w:lineRule="auto"/>
        <w:ind w:right="-180"/>
        <w:jc w:val="both"/>
        <w:rPr>
          <w:rFonts w:ascii="Arial" w:hAnsi="Arial" w:cs="Arial"/>
        </w:rPr>
      </w:pPr>
    </w:p>
    <w:tbl>
      <w:tblPr>
        <w:tblW w:w="10062" w:type="dxa"/>
        <w:tblInd w:w="108" w:type="dxa"/>
        <w:tblLayout w:type="fixed"/>
        <w:tblLook w:val="04A0" w:firstRow="1" w:lastRow="0" w:firstColumn="1" w:lastColumn="0" w:noHBand="0" w:noVBand="1"/>
      </w:tblPr>
      <w:tblGrid>
        <w:gridCol w:w="1602"/>
        <w:gridCol w:w="2993"/>
        <w:gridCol w:w="3492"/>
        <w:gridCol w:w="1975"/>
      </w:tblGrid>
      <w:tr w:rsidR="007F4DE1" w:rsidRPr="008C0BFE" w14:paraId="6EFA2B09" w14:textId="77777777" w:rsidTr="00BA509A">
        <w:trPr>
          <w:trHeight w:val="300"/>
          <w:tblHeader/>
        </w:trPr>
        <w:tc>
          <w:tcPr>
            <w:tcW w:w="1602" w:type="dxa"/>
            <w:tcBorders>
              <w:top w:val="single" w:sz="4" w:space="0" w:color="auto"/>
              <w:bottom w:val="single" w:sz="4" w:space="0" w:color="auto"/>
            </w:tcBorders>
            <w:shd w:val="clear" w:color="auto" w:fill="auto"/>
            <w:noWrap/>
            <w:hideMark/>
          </w:tcPr>
          <w:p w14:paraId="1F36CC83" w14:textId="77777777" w:rsidR="009452C6" w:rsidRPr="008C0BFE" w:rsidRDefault="009328A0" w:rsidP="00581ED0">
            <w:pPr>
              <w:suppressAutoHyphens w:val="0"/>
              <w:spacing w:after="0" w:line="240" w:lineRule="auto"/>
              <w:ind w:right="-41" w:hanging="108"/>
              <w:jc w:val="center"/>
              <w:rPr>
                <w:rFonts w:ascii="Arial" w:eastAsia="Times New Roman" w:hAnsi="Arial" w:cs="Arial"/>
                <w:b/>
                <w:bCs/>
                <w:lang w:eastAsia="en-US"/>
              </w:rPr>
            </w:pPr>
            <w:r w:rsidRPr="008C0BFE">
              <w:rPr>
                <w:rFonts w:ascii="Arial" w:hAnsi="Arial" w:cs="Arial"/>
                <w:b/>
                <w:bCs/>
              </w:rPr>
              <w:t>REFERENCE</w:t>
            </w:r>
          </w:p>
        </w:tc>
        <w:tc>
          <w:tcPr>
            <w:tcW w:w="2993" w:type="dxa"/>
            <w:tcBorders>
              <w:top w:val="single" w:sz="4" w:space="0" w:color="auto"/>
              <w:bottom w:val="single" w:sz="4" w:space="0" w:color="auto"/>
            </w:tcBorders>
            <w:shd w:val="clear" w:color="auto" w:fill="auto"/>
          </w:tcPr>
          <w:p w14:paraId="1450727E" w14:textId="77777777" w:rsidR="009452C6" w:rsidRPr="008C0BFE" w:rsidRDefault="009328A0" w:rsidP="00581ED0">
            <w:pPr>
              <w:suppressAutoHyphens w:val="0"/>
              <w:spacing w:after="0" w:line="240" w:lineRule="auto"/>
              <w:ind w:right="-288"/>
              <w:jc w:val="center"/>
              <w:rPr>
                <w:rFonts w:ascii="Arial" w:eastAsia="Times New Roman" w:hAnsi="Arial" w:cs="Arial"/>
                <w:b/>
                <w:bCs/>
                <w:lang w:eastAsia="en-US"/>
              </w:rPr>
            </w:pPr>
            <w:r w:rsidRPr="008C0BFE">
              <w:rPr>
                <w:rFonts w:ascii="Arial" w:hAnsi="Arial" w:cs="Arial"/>
                <w:b/>
                <w:bCs/>
              </w:rPr>
              <w:t>OBSERVATIONS</w:t>
            </w:r>
          </w:p>
        </w:tc>
        <w:tc>
          <w:tcPr>
            <w:tcW w:w="3492" w:type="dxa"/>
            <w:tcBorders>
              <w:top w:val="single" w:sz="4" w:space="0" w:color="auto"/>
              <w:bottom w:val="single" w:sz="4" w:space="0" w:color="auto"/>
            </w:tcBorders>
            <w:shd w:val="clear" w:color="auto" w:fill="auto"/>
          </w:tcPr>
          <w:p w14:paraId="6D4513E4" w14:textId="77777777" w:rsidR="009452C6" w:rsidRPr="008C0BFE" w:rsidRDefault="009328A0" w:rsidP="00581ED0">
            <w:pPr>
              <w:suppressAutoHyphens w:val="0"/>
              <w:spacing w:after="0" w:line="240" w:lineRule="auto"/>
              <w:jc w:val="center"/>
              <w:rPr>
                <w:rFonts w:ascii="Arial" w:eastAsia="Times New Roman" w:hAnsi="Arial" w:cs="Arial"/>
                <w:b/>
                <w:bCs/>
                <w:lang w:eastAsia="en-US"/>
              </w:rPr>
            </w:pPr>
            <w:r w:rsidRPr="008C0BFE">
              <w:rPr>
                <w:rFonts w:ascii="Arial" w:hAnsi="Arial" w:cs="Arial"/>
                <w:b/>
                <w:bCs/>
              </w:rPr>
              <w:t>RECOMMENDATIONS</w:t>
            </w:r>
          </w:p>
        </w:tc>
        <w:tc>
          <w:tcPr>
            <w:tcW w:w="1975" w:type="dxa"/>
            <w:tcBorders>
              <w:top w:val="single" w:sz="4" w:space="0" w:color="auto"/>
              <w:bottom w:val="single" w:sz="4" w:space="0" w:color="auto"/>
            </w:tcBorders>
            <w:shd w:val="clear" w:color="auto" w:fill="auto"/>
          </w:tcPr>
          <w:p w14:paraId="0E18F84C" w14:textId="77777777" w:rsidR="009452C6" w:rsidRPr="008C0BFE" w:rsidRDefault="009328A0" w:rsidP="00581ED0">
            <w:pPr>
              <w:suppressAutoHyphens w:val="0"/>
              <w:spacing w:after="0" w:line="240" w:lineRule="auto"/>
              <w:jc w:val="center"/>
              <w:rPr>
                <w:rFonts w:ascii="Arial" w:eastAsia="Times New Roman" w:hAnsi="Arial" w:cs="Arial"/>
                <w:b/>
                <w:bCs/>
                <w:lang w:eastAsia="en-US"/>
              </w:rPr>
            </w:pPr>
            <w:r w:rsidRPr="008C0BFE">
              <w:rPr>
                <w:rFonts w:ascii="Arial" w:hAnsi="Arial" w:cs="Arial"/>
                <w:b/>
                <w:bCs/>
              </w:rPr>
              <w:t>ACTION TAKEN/ COMMENTS</w:t>
            </w:r>
          </w:p>
        </w:tc>
      </w:tr>
      <w:tr w:rsidR="007F4DE1" w:rsidRPr="008C0BFE" w14:paraId="79966D0C" w14:textId="77777777" w:rsidTr="00BA509A">
        <w:trPr>
          <w:trHeight w:val="300"/>
        </w:trPr>
        <w:tc>
          <w:tcPr>
            <w:tcW w:w="10062" w:type="dxa"/>
            <w:gridSpan w:val="4"/>
            <w:tcBorders>
              <w:top w:val="single" w:sz="4" w:space="0" w:color="auto"/>
            </w:tcBorders>
            <w:shd w:val="clear" w:color="auto" w:fill="auto"/>
            <w:noWrap/>
          </w:tcPr>
          <w:p w14:paraId="0E51F7A7" w14:textId="77777777" w:rsidR="00540754" w:rsidRPr="008C0BFE" w:rsidRDefault="00540754" w:rsidP="00581ED0">
            <w:pPr>
              <w:suppressAutoHyphens w:val="0"/>
              <w:spacing w:after="0" w:line="240" w:lineRule="auto"/>
              <w:ind w:left="-79"/>
              <w:jc w:val="both"/>
              <w:rPr>
                <w:rFonts w:ascii="Arial" w:hAnsi="Arial" w:cs="Arial"/>
                <w:b/>
                <w:u w:val="single"/>
              </w:rPr>
            </w:pPr>
            <w:r w:rsidRPr="008C0BFE">
              <w:rPr>
                <w:rFonts w:ascii="Arial" w:hAnsi="Arial" w:cs="Arial"/>
                <w:b/>
                <w:u w:val="single"/>
              </w:rPr>
              <w:t>Financial Audi</w:t>
            </w:r>
            <w:r w:rsidR="00950355" w:rsidRPr="008C0BFE">
              <w:rPr>
                <w:rFonts w:ascii="Arial" w:hAnsi="Arial" w:cs="Arial"/>
                <w:b/>
                <w:u w:val="single"/>
              </w:rPr>
              <w:t>t</w:t>
            </w:r>
          </w:p>
        </w:tc>
      </w:tr>
      <w:tr w:rsidR="007F4DE1" w:rsidRPr="008C0BFE" w14:paraId="1F8C37ED" w14:textId="77777777" w:rsidTr="00BA509A">
        <w:trPr>
          <w:trHeight w:val="300"/>
        </w:trPr>
        <w:tc>
          <w:tcPr>
            <w:tcW w:w="1602" w:type="dxa"/>
            <w:shd w:val="clear" w:color="auto" w:fill="auto"/>
            <w:noWrap/>
          </w:tcPr>
          <w:p w14:paraId="1AE26C15" w14:textId="77777777" w:rsidR="00CE4A63" w:rsidRPr="008C0BFE" w:rsidRDefault="00CE4A63" w:rsidP="008F645B">
            <w:pPr>
              <w:suppressAutoHyphens w:val="0"/>
              <w:spacing w:after="0" w:line="240" w:lineRule="auto"/>
              <w:ind w:left="-79"/>
              <w:jc w:val="both"/>
              <w:rPr>
                <w:rFonts w:ascii="Arial" w:hAnsi="Arial" w:cs="Arial"/>
              </w:rPr>
            </w:pPr>
            <w:r w:rsidRPr="008C0BFE">
              <w:rPr>
                <w:rFonts w:ascii="Arial" w:hAnsi="Arial" w:cs="Arial"/>
              </w:rPr>
              <w:t>Audit Observation (AO) No. 1</w:t>
            </w:r>
          </w:p>
          <w:p w14:paraId="7B592BE1" w14:textId="77777777" w:rsidR="00CE4A63" w:rsidRPr="008C0BFE" w:rsidRDefault="00CE4A63" w:rsidP="008F645B">
            <w:pPr>
              <w:suppressAutoHyphens w:val="0"/>
              <w:spacing w:after="0" w:line="240" w:lineRule="auto"/>
              <w:ind w:left="-79"/>
              <w:jc w:val="both"/>
              <w:rPr>
                <w:rFonts w:ascii="Arial" w:hAnsi="Arial" w:cs="Arial"/>
                <w:lang w:val="en-PH" w:eastAsia="en-PH"/>
              </w:rPr>
            </w:pPr>
            <w:r w:rsidRPr="008C0BFE">
              <w:rPr>
                <w:rFonts w:ascii="Arial" w:hAnsi="Arial" w:cs="Arial"/>
              </w:rPr>
              <w:t xml:space="preserve">Page </w:t>
            </w:r>
            <w:r w:rsidR="00305781" w:rsidRPr="008C0BFE">
              <w:rPr>
                <w:rFonts w:ascii="Arial" w:hAnsi="Arial" w:cs="Arial"/>
              </w:rPr>
              <w:t>92-94</w:t>
            </w:r>
          </w:p>
          <w:p w14:paraId="26F5572B" w14:textId="77777777" w:rsidR="00CE4A63" w:rsidRPr="008C0BFE" w:rsidRDefault="00CE4A63" w:rsidP="008F645B">
            <w:pPr>
              <w:suppressAutoHyphens w:val="0"/>
              <w:spacing w:after="0" w:line="240" w:lineRule="auto"/>
              <w:ind w:left="-79"/>
              <w:jc w:val="both"/>
              <w:rPr>
                <w:rFonts w:ascii="Arial" w:hAnsi="Arial" w:cs="Arial"/>
                <w:bCs/>
              </w:rPr>
            </w:pPr>
          </w:p>
        </w:tc>
        <w:tc>
          <w:tcPr>
            <w:tcW w:w="2993" w:type="dxa"/>
            <w:shd w:val="clear" w:color="auto" w:fill="auto"/>
          </w:tcPr>
          <w:p w14:paraId="2D1DCCFC" w14:textId="77777777" w:rsidR="00F15B9D" w:rsidRPr="00E67D6B" w:rsidRDefault="008C6557" w:rsidP="008F645B">
            <w:pPr>
              <w:pStyle w:val="Default"/>
              <w:jc w:val="both"/>
              <w:rPr>
                <w:color w:val="auto"/>
                <w:sz w:val="22"/>
                <w:szCs w:val="22"/>
              </w:rPr>
            </w:pPr>
            <w:r w:rsidRPr="00E67D6B">
              <w:rPr>
                <w:color w:val="auto"/>
                <w:sz w:val="22"/>
                <w:szCs w:val="22"/>
              </w:rPr>
              <w:t>The Printing and Publication Expenses – Small Town Lottery (STL) account was understated by P568.561 million, consequently overstating the Retained Earnings account by the same amount due to the non-recognition of printing expense for STL tickets in the Calendar Year 2022, which is not accordance with Paragraph 4.50 of the Conceptual Framework for General Purpose Financial Reporting and Section 6 of Republic Act No. 1169, as amended.</w:t>
            </w:r>
          </w:p>
          <w:p w14:paraId="6B4DBA82" w14:textId="77777777" w:rsidR="006A19B9" w:rsidRPr="008C0BFE" w:rsidRDefault="006A19B9" w:rsidP="008F645B">
            <w:pPr>
              <w:pStyle w:val="Default"/>
              <w:jc w:val="both"/>
              <w:rPr>
                <w:bCs/>
                <w:color w:val="auto"/>
                <w:sz w:val="22"/>
                <w:szCs w:val="22"/>
              </w:rPr>
            </w:pPr>
          </w:p>
        </w:tc>
        <w:tc>
          <w:tcPr>
            <w:tcW w:w="3492" w:type="dxa"/>
            <w:shd w:val="clear" w:color="auto" w:fill="auto"/>
          </w:tcPr>
          <w:p w14:paraId="1FF8FAB3" w14:textId="77777777" w:rsidR="0010736B" w:rsidRPr="008C0BFE" w:rsidRDefault="008C6557" w:rsidP="008F645B">
            <w:pPr>
              <w:pStyle w:val="Default"/>
              <w:jc w:val="both"/>
              <w:rPr>
                <w:bCs/>
                <w:color w:val="auto"/>
                <w:sz w:val="22"/>
                <w:szCs w:val="22"/>
              </w:rPr>
            </w:pPr>
            <w:r w:rsidRPr="00E67D6B">
              <w:rPr>
                <w:color w:val="auto"/>
                <w:sz w:val="22"/>
                <w:szCs w:val="22"/>
              </w:rPr>
              <w:t>We recommended and Management agreed to instruct the concerned ABD</w:t>
            </w:r>
            <w:r w:rsidR="00C869EA" w:rsidRPr="00E67D6B">
              <w:rPr>
                <w:color w:val="auto"/>
                <w:sz w:val="22"/>
                <w:szCs w:val="22"/>
              </w:rPr>
              <w:t xml:space="preserve"> personnel</w:t>
            </w:r>
            <w:r w:rsidRPr="00E67D6B">
              <w:rPr>
                <w:color w:val="auto"/>
                <w:sz w:val="22"/>
                <w:szCs w:val="22"/>
              </w:rPr>
              <w:t xml:space="preserve"> to prepare an adjusting entry for the printing expenses of P568.561 million by debiting the RE and crediting the Other Provision – STL accounts both by the same amount; henceforth, observe Paragraph 4.50 of the CFGFR in recording income and expense</w:t>
            </w:r>
            <w:r w:rsidR="000A5A16" w:rsidRPr="00E67D6B">
              <w:rPr>
                <w:color w:val="auto"/>
                <w:sz w:val="22"/>
                <w:szCs w:val="22"/>
              </w:rPr>
              <w:t>.</w:t>
            </w:r>
          </w:p>
          <w:p w14:paraId="2DB6670A" w14:textId="77777777" w:rsidR="0010736B" w:rsidRPr="008C0BFE" w:rsidRDefault="0010736B" w:rsidP="008F645B">
            <w:pPr>
              <w:pStyle w:val="Default"/>
              <w:jc w:val="both"/>
              <w:rPr>
                <w:bCs/>
                <w:color w:val="auto"/>
                <w:sz w:val="22"/>
                <w:szCs w:val="22"/>
              </w:rPr>
            </w:pPr>
          </w:p>
          <w:p w14:paraId="499BC572" w14:textId="77777777" w:rsidR="00C25289" w:rsidRPr="008C0BFE" w:rsidRDefault="00C25289" w:rsidP="008F645B">
            <w:pPr>
              <w:pStyle w:val="Default"/>
              <w:jc w:val="both"/>
              <w:rPr>
                <w:bCs/>
                <w:color w:val="auto"/>
                <w:sz w:val="22"/>
                <w:szCs w:val="22"/>
              </w:rPr>
            </w:pPr>
          </w:p>
          <w:p w14:paraId="77F285F2" w14:textId="77777777" w:rsidR="008F645B" w:rsidRPr="008C0BFE" w:rsidRDefault="008F645B" w:rsidP="008F645B">
            <w:pPr>
              <w:pStyle w:val="Default"/>
              <w:jc w:val="both"/>
              <w:rPr>
                <w:bCs/>
                <w:color w:val="auto"/>
                <w:sz w:val="22"/>
                <w:szCs w:val="22"/>
              </w:rPr>
            </w:pPr>
          </w:p>
        </w:tc>
        <w:tc>
          <w:tcPr>
            <w:tcW w:w="1975" w:type="dxa"/>
            <w:shd w:val="clear" w:color="auto" w:fill="auto"/>
          </w:tcPr>
          <w:p w14:paraId="2E098575" w14:textId="77777777" w:rsidR="002F136F" w:rsidRPr="008C0BFE" w:rsidRDefault="002F136F" w:rsidP="008F645B">
            <w:pPr>
              <w:suppressAutoHyphens w:val="0"/>
              <w:spacing w:after="0" w:line="240" w:lineRule="auto"/>
              <w:jc w:val="both"/>
              <w:rPr>
                <w:rFonts w:ascii="Arial" w:hAnsi="Arial" w:cs="Arial"/>
                <w:bCs/>
              </w:rPr>
            </w:pPr>
            <w:r w:rsidRPr="008C0BFE">
              <w:rPr>
                <w:rFonts w:ascii="Arial" w:hAnsi="Arial" w:cs="Arial"/>
                <w:bCs/>
              </w:rPr>
              <w:t>Fully Implemented</w:t>
            </w:r>
          </w:p>
          <w:p w14:paraId="3E51ACC0" w14:textId="77777777" w:rsidR="00876360" w:rsidRPr="008C0BFE" w:rsidRDefault="00876360" w:rsidP="008F645B">
            <w:pPr>
              <w:suppressAutoHyphens w:val="0"/>
              <w:spacing w:after="0" w:line="240" w:lineRule="auto"/>
              <w:jc w:val="both"/>
              <w:rPr>
                <w:rFonts w:ascii="Arial" w:hAnsi="Arial" w:cs="Arial"/>
                <w:bCs/>
              </w:rPr>
            </w:pPr>
          </w:p>
          <w:p w14:paraId="5E5D1405" w14:textId="77777777" w:rsidR="00876360" w:rsidRPr="008C0BFE" w:rsidRDefault="00876360" w:rsidP="008F645B">
            <w:pPr>
              <w:suppressAutoHyphens w:val="0"/>
              <w:spacing w:after="0" w:line="240" w:lineRule="auto"/>
              <w:jc w:val="both"/>
              <w:rPr>
                <w:rFonts w:ascii="Arial" w:hAnsi="Arial" w:cs="Arial"/>
                <w:bCs/>
              </w:rPr>
            </w:pPr>
          </w:p>
          <w:p w14:paraId="33D5EE97" w14:textId="77777777" w:rsidR="00876360" w:rsidRPr="008C0BFE" w:rsidRDefault="00876360" w:rsidP="008F645B">
            <w:pPr>
              <w:suppressAutoHyphens w:val="0"/>
              <w:spacing w:after="0" w:line="240" w:lineRule="auto"/>
              <w:jc w:val="both"/>
              <w:rPr>
                <w:rFonts w:ascii="Arial" w:hAnsi="Arial" w:cs="Arial"/>
                <w:bCs/>
              </w:rPr>
            </w:pPr>
          </w:p>
          <w:p w14:paraId="312EEA7A" w14:textId="77777777" w:rsidR="00876360" w:rsidRPr="008C0BFE" w:rsidRDefault="00876360" w:rsidP="008F645B">
            <w:pPr>
              <w:suppressAutoHyphens w:val="0"/>
              <w:spacing w:after="0" w:line="240" w:lineRule="auto"/>
              <w:jc w:val="both"/>
              <w:rPr>
                <w:rFonts w:ascii="Arial" w:hAnsi="Arial" w:cs="Arial"/>
                <w:bCs/>
              </w:rPr>
            </w:pPr>
          </w:p>
          <w:p w14:paraId="6FE61911" w14:textId="77777777" w:rsidR="00876360" w:rsidRPr="008C0BFE" w:rsidRDefault="00876360" w:rsidP="008F645B">
            <w:pPr>
              <w:suppressAutoHyphens w:val="0"/>
              <w:spacing w:after="0" w:line="240" w:lineRule="auto"/>
              <w:jc w:val="both"/>
              <w:rPr>
                <w:rFonts w:ascii="Arial" w:hAnsi="Arial" w:cs="Arial"/>
                <w:bCs/>
              </w:rPr>
            </w:pPr>
          </w:p>
          <w:p w14:paraId="695C9DB4" w14:textId="77777777" w:rsidR="00876360" w:rsidRPr="008C0BFE" w:rsidRDefault="00876360" w:rsidP="008F645B">
            <w:pPr>
              <w:suppressAutoHyphens w:val="0"/>
              <w:spacing w:after="0" w:line="240" w:lineRule="auto"/>
              <w:jc w:val="both"/>
              <w:rPr>
                <w:rFonts w:ascii="Arial" w:hAnsi="Arial" w:cs="Arial"/>
                <w:bCs/>
              </w:rPr>
            </w:pPr>
          </w:p>
          <w:p w14:paraId="211AFE66" w14:textId="77777777" w:rsidR="00876360" w:rsidRPr="008C0BFE" w:rsidRDefault="00876360" w:rsidP="008F645B">
            <w:pPr>
              <w:suppressAutoHyphens w:val="0"/>
              <w:spacing w:after="0" w:line="240" w:lineRule="auto"/>
              <w:jc w:val="both"/>
              <w:rPr>
                <w:rFonts w:ascii="Arial" w:hAnsi="Arial" w:cs="Arial"/>
                <w:bCs/>
              </w:rPr>
            </w:pPr>
          </w:p>
          <w:p w14:paraId="239E5A23" w14:textId="77777777" w:rsidR="00876360" w:rsidRPr="008C0BFE" w:rsidRDefault="00876360" w:rsidP="008F645B">
            <w:pPr>
              <w:suppressAutoHyphens w:val="0"/>
              <w:spacing w:after="0" w:line="240" w:lineRule="auto"/>
              <w:jc w:val="both"/>
              <w:rPr>
                <w:rFonts w:ascii="Arial" w:hAnsi="Arial" w:cs="Arial"/>
                <w:bCs/>
              </w:rPr>
            </w:pPr>
          </w:p>
          <w:p w14:paraId="0CF4A458" w14:textId="77777777" w:rsidR="002F136F" w:rsidRPr="008C0BFE" w:rsidRDefault="002F136F" w:rsidP="008F645B">
            <w:pPr>
              <w:suppressAutoHyphens w:val="0"/>
              <w:spacing w:after="0" w:line="240" w:lineRule="auto"/>
              <w:jc w:val="both"/>
              <w:rPr>
                <w:rFonts w:ascii="Arial" w:hAnsi="Arial" w:cs="Arial"/>
                <w:bCs/>
              </w:rPr>
            </w:pPr>
          </w:p>
          <w:p w14:paraId="20517D37" w14:textId="77777777" w:rsidR="002F136F" w:rsidRPr="008C0BFE" w:rsidRDefault="002F136F" w:rsidP="008F645B">
            <w:pPr>
              <w:suppressAutoHyphens w:val="0"/>
              <w:spacing w:after="0" w:line="240" w:lineRule="auto"/>
              <w:jc w:val="both"/>
              <w:rPr>
                <w:rFonts w:ascii="Arial" w:hAnsi="Arial" w:cs="Arial"/>
                <w:bCs/>
              </w:rPr>
            </w:pPr>
          </w:p>
          <w:p w14:paraId="713D7820" w14:textId="77777777" w:rsidR="002F136F" w:rsidRPr="008C0BFE" w:rsidRDefault="002F136F" w:rsidP="008F645B">
            <w:pPr>
              <w:suppressAutoHyphens w:val="0"/>
              <w:spacing w:after="0" w:line="240" w:lineRule="auto"/>
              <w:jc w:val="both"/>
              <w:rPr>
                <w:rFonts w:ascii="Arial" w:hAnsi="Arial" w:cs="Arial"/>
                <w:bCs/>
              </w:rPr>
            </w:pPr>
          </w:p>
          <w:p w14:paraId="5E3658F6" w14:textId="77777777" w:rsidR="002F136F" w:rsidRPr="008C0BFE" w:rsidRDefault="002F136F" w:rsidP="008F645B">
            <w:pPr>
              <w:suppressAutoHyphens w:val="0"/>
              <w:spacing w:after="0" w:line="240" w:lineRule="auto"/>
              <w:jc w:val="both"/>
              <w:rPr>
                <w:rFonts w:ascii="Arial" w:hAnsi="Arial" w:cs="Arial"/>
                <w:bCs/>
              </w:rPr>
            </w:pPr>
          </w:p>
          <w:p w14:paraId="65FFC096" w14:textId="77777777" w:rsidR="002F136F" w:rsidRPr="008C0BFE" w:rsidRDefault="002F136F" w:rsidP="008F645B">
            <w:pPr>
              <w:suppressAutoHyphens w:val="0"/>
              <w:spacing w:after="0" w:line="240" w:lineRule="auto"/>
              <w:jc w:val="both"/>
              <w:rPr>
                <w:rFonts w:ascii="Arial" w:hAnsi="Arial" w:cs="Arial"/>
                <w:bCs/>
              </w:rPr>
            </w:pPr>
          </w:p>
        </w:tc>
      </w:tr>
      <w:tr w:rsidR="007F4DE1" w:rsidRPr="008C0BFE" w14:paraId="5525A137" w14:textId="77777777" w:rsidTr="00BA509A">
        <w:trPr>
          <w:trHeight w:val="2267"/>
        </w:trPr>
        <w:tc>
          <w:tcPr>
            <w:tcW w:w="1602" w:type="dxa"/>
            <w:shd w:val="clear" w:color="auto" w:fill="auto"/>
            <w:noWrap/>
          </w:tcPr>
          <w:p w14:paraId="5F91278D" w14:textId="5E92441D" w:rsidR="00FC162E" w:rsidRPr="008C0BFE" w:rsidRDefault="005734CB" w:rsidP="008F645B">
            <w:pPr>
              <w:suppressAutoHyphens w:val="0"/>
              <w:spacing w:after="0" w:line="240" w:lineRule="auto"/>
              <w:ind w:left="-79"/>
              <w:jc w:val="both"/>
              <w:rPr>
                <w:rFonts w:ascii="Arial" w:hAnsi="Arial" w:cs="Arial"/>
              </w:rPr>
            </w:pPr>
            <w:r w:rsidRPr="008C0BFE">
              <w:rPr>
                <w:rFonts w:ascii="Arial" w:hAnsi="Arial" w:cs="Arial"/>
              </w:rPr>
              <w:t>AO No. 2</w:t>
            </w:r>
          </w:p>
          <w:p w14:paraId="614A351F" w14:textId="2C4BFCA1" w:rsidR="00555A56" w:rsidRPr="008C0BFE" w:rsidRDefault="005734CB" w:rsidP="008F645B">
            <w:pPr>
              <w:suppressAutoHyphens w:val="0"/>
              <w:spacing w:after="0" w:line="240" w:lineRule="auto"/>
              <w:ind w:left="-79"/>
              <w:jc w:val="both"/>
              <w:rPr>
                <w:rFonts w:ascii="Arial" w:hAnsi="Arial" w:cs="Arial"/>
              </w:rPr>
            </w:pPr>
            <w:r w:rsidRPr="008C0BFE">
              <w:rPr>
                <w:rFonts w:ascii="Arial" w:hAnsi="Arial" w:cs="Arial"/>
              </w:rPr>
              <w:t>Page 94-96</w:t>
            </w:r>
          </w:p>
        </w:tc>
        <w:tc>
          <w:tcPr>
            <w:tcW w:w="2993" w:type="dxa"/>
            <w:shd w:val="clear" w:color="auto" w:fill="auto"/>
          </w:tcPr>
          <w:p w14:paraId="76E4BEAD" w14:textId="77777777" w:rsidR="00555A56" w:rsidRPr="00E67D6B" w:rsidRDefault="00555A56" w:rsidP="008F645B">
            <w:pPr>
              <w:pStyle w:val="Default"/>
              <w:jc w:val="both"/>
              <w:rPr>
                <w:color w:val="auto"/>
                <w:sz w:val="22"/>
                <w:szCs w:val="22"/>
              </w:rPr>
            </w:pPr>
            <w:r w:rsidRPr="00E67D6B">
              <w:rPr>
                <w:color w:val="auto"/>
                <w:sz w:val="22"/>
                <w:szCs w:val="22"/>
              </w:rPr>
              <w:t xml:space="preserve">The correctness of the balance of P120.853 million of the Play/Bet Slips and Thermal Rolls Supplies Inventories account as of December 31, 2022, could not be ascertained contrary to Paragraph 15 of the Philippine Accounting Standard 1 due to the: (a) unaccounted discrepancy of P45.418 million between the balances per General Ledger and the Report on the Physical Count of Inventories (RPCI) for Luzon; (b) absence of RPCI for the supplies inventories of </w:t>
            </w:r>
            <w:proofErr w:type="spellStart"/>
            <w:r w:rsidRPr="00E67D6B">
              <w:rPr>
                <w:color w:val="auto"/>
                <w:sz w:val="22"/>
                <w:szCs w:val="22"/>
              </w:rPr>
              <w:t>Visayas</w:t>
            </w:r>
            <w:proofErr w:type="spellEnd"/>
            <w:r w:rsidRPr="00E67D6B">
              <w:rPr>
                <w:color w:val="auto"/>
                <w:sz w:val="22"/>
                <w:szCs w:val="22"/>
              </w:rPr>
              <w:t xml:space="preserve"> and Mindanao and Printing Materials amounting to P29.362 million and P0.426 million, </w:t>
            </w:r>
            <w:r w:rsidRPr="00E67D6B">
              <w:rPr>
                <w:color w:val="auto"/>
                <w:sz w:val="22"/>
                <w:szCs w:val="22"/>
              </w:rPr>
              <w:lastRenderedPageBreak/>
              <w:t>respectively; and (c) non-maintenance of Supplies Ledger Cards, Stock Cards, and other required inventory records and reports.</w:t>
            </w:r>
          </w:p>
        </w:tc>
        <w:tc>
          <w:tcPr>
            <w:tcW w:w="3492" w:type="dxa"/>
            <w:shd w:val="clear" w:color="auto" w:fill="auto"/>
          </w:tcPr>
          <w:p w14:paraId="4073D993" w14:textId="77777777" w:rsidR="00555A56" w:rsidRPr="00E67D6B" w:rsidRDefault="00711104" w:rsidP="008F645B">
            <w:pPr>
              <w:pStyle w:val="Default"/>
              <w:jc w:val="both"/>
              <w:rPr>
                <w:color w:val="auto"/>
                <w:sz w:val="22"/>
                <w:szCs w:val="22"/>
              </w:rPr>
            </w:pPr>
            <w:r w:rsidRPr="00E67D6B">
              <w:rPr>
                <w:color w:val="auto"/>
                <w:sz w:val="22"/>
                <w:szCs w:val="22"/>
              </w:rPr>
              <w:lastRenderedPageBreak/>
              <w:t xml:space="preserve">We recommended and </w:t>
            </w:r>
            <w:r w:rsidR="00555A56" w:rsidRPr="00E67D6B">
              <w:rPr>
                <w:color w:val="auto"/>
                <w:sz w:val="22"/>
                <w:szCs w:val="22"/>
              </w:rPr>
              <w:t>Management</w:t>
            </w:r>
            <w:r w:rsidRPr="00E67D6B">
              <w:rPr>
                <w:color w:val="auto"/>
                <w:sz w:val="22"/>
                <w:szCs w:val="22"/>
              </w:rPr>
              <w:t xml:space="preserve"> agreed to require the ABD and ASMD personnel to</w:t>
            </w:r>
            <w:r w:rsidR="00555A56" w:rsidRPr="00E67D6B">
              <w:rPr>
                <w:color w:val="auto"/>
                <w:sz w:val="22"/>
                <w:szCs w:val="22"/>
              </w:rPr>
              <w:t>:</w:t>
            </w:r>
          </w:p>
          <w:p w14:paraId="376EB771" w14:textId="77777777" w:rsidR="006A19B9" w:rsidRPr="00E67D6B" w:rsidRDefault="006A19B9" w:rsidP="008F645B">
            <w:pPr>
              <w:pStyle w:val="Default"/>
              <w:jc w:val="both"/>
              <w:rPr>
                <w:color w:val="auto"/>
                <w:sz w:val="22"/>
                <w:szCs w:val="22"/>
              </w:rPr>
            </w:pPr>
          </w:p>
          <w:p w14:paraId="2D803821" w14:textId="77777777" w:rsidR="00555A56" w:rsidRPr="00E67D6B" w:rsidRDefault="00555A56" w:rsidP="006A19B9">
            <w:pPr>
              <w:pStyle w:val="Default"/>
              <w:numPr>
                <w:ilvl w:val="0"/>
                <w:numId w:val="17"/>
              </w:numPr>
              <w:ind w:left="414" w:hanging="414"/>
              <w:jc w:val="both"/>
              <w:rPr>
                <w:color w:val="auto"/>
                <w:sz w:val="22"/>
                <w:szCs w:val="22"/>
              </w:rPr>
            </w:pPr>
            <w:r w:rsidRPr="00E67D6B">
              <w:rPr>
                <w:color w:val="auto"/>
                <w:sz w:val="22"/>
                <w:szCs w:val="22"/>
              </w:rPr>
              <w:t>Fast track the verification/reconciliation of the records/documents of the used inventories of P45.418 million and prepare the necessary adjustments or corrections in the books</w:t>
            </w:r>
            <w:r w:rsidR="000A5A16" w:rsidRPr="00E67D6B">
              <w:rPr>
                <w:color w:val="auto"/>
                <w:sz w:val="22"/>
                <w:szCs w:val="22"/>
              </w:rPr>
              <w:t>.</w:t>
            </w:r>
          </w:p>
          <w:p w14:paraId="2AF607CE" w14:textId="77777777" w:rsidR="00555A56" w:rsidRPr="00E67D6B" w:rsidRDefault="00555A56" w:rsidP="006A19B9">
            <w:pPr>
              <w:pStyle w:val="Default"/>
              <w:ind w:left="414" w:hanging="414"/>
              <w:jc w:val="both"/>
              <w:rPr>
                <w:color w:val="auto"/>
                <w:sz w:val="22"/>
                <w:szCs w:val="22"/>
              </w:rPr>
            </w:pPr>
          </w:p>
          <w:p w14:paraId="3B963E0E" w14:textId="77777777" w:rsidR="00555A56" w:rsidRPr="00E67D6B" w:rsidRDefault="00555A56" w:rsidP="006A19B9">
            <w:pPr>
              <w:pStyle w:val="Default"/>
              <w:numPr>
                <w:ilvl w:val="0"/>
                <w:numId w:val="17"/>
              </w:numPr>
              <w:ind w:left="414" w:hanging="414"/>
              <w:jc w:val="both"/>
              <w:rPr>
                <w:color w:val="auto"/>
                <w:sz w:val="22"/>
                <w:szCs w:val="22"/>
              </w:rPr>
            </w:pPr>
            <w:r w:rsidRPr="00E67D6B">
              <w:rPr>
                <w:color w:val="auto"/>
                <w:sz w:val="22"/>
                <w:szCs w:val="22"/>
              </w:rPr>
              <w:t>Submit to the Audit Team the RPCI of Play/Bet Slips and Thermal Rolls for VISMIN and Printing Materials for Lotto with book balances of P29.362 million and P0.426 million, respectively</w:t>
            </w:r>
            <w:r w:rsidR="000A5A16" w:rsidRPr="00E67D6B">
              <w:rPr>
                <w:color w:val="auto"/>
                <w:sz w:val="22"/>
                <w:szCs w:val="22"/>
              </w:rPr>
              <w:t>.</w:t>
            </w:r>
          </w:p>
          <w:p w14:paraId="0DD77F39" w14:textId="77777777" w:rsidR="00555A56" w:rsidRPr="00E67D6B" w:rsidRDefault="00555A56" w:rsidP="006A19B9">
            <w:pPr>
              <w:pStyle w:val="Default"/>
              <w:ind w:left="414" w:hanging="414"/>
              <w:jc w:val="both"/>
              <w:rPr>
                <w:color w:val="auto"/>
                <w:sz w:val="22"/>
                <w:szCs w:val="22"/>
              </w:rPr>
            </w:pPr>
          </w:p>
          <w:p w14:paraId="1F3862E9" w14:textId="77777777" w:rsidR="00555A56" w:rsidRPr="00E67D6B" w:rsidRDefault="00555A56" w:rsidP="006A19B9">
            <w:pPr>
              <w:pStyle w:val="Default"/>
              <w:numPr>
                <w:ilvl w:val="0"/>
                <w:numId w:val="17"/>
              </w:numPr>
              <w:ind w:left="414" w:hanging="414"/>
              <w:jc w:val="both"/>
              <w:rPr>
                <w:color w:val="auto"/>
                <w:sz w:val="22"/>
                <w:szCs w:val="22"/>
              </w:rPr>
            </w:pPr>
            <w:r w:rsidRPr="00E67D6B">
              <w:rPr>
                <w:color w:val="auto"/>
                <w:sz w:val="22"/>
                <w:szCs w:val="22"/>
              </w:rPr>
              <w:t xml:space="preserve">Prepare/maintain SLC, SC and other inventory </w:t>
            </w:r>
            <w:r w:rsidRPr="00E67D6B">
              <w:rPr>
                <w:color w:val="auto"/>
                <w:sz w:val="22"/>
                <w:szCs w:val="22"/>
              </w:rPr>
              <w:lastRenderedPageBreak/>
              <w:t>records/reports required in Section 17, Chapter 8, Volume 1 of the GAM</w:t>
            </w:r>
            <w:r w:rsidR="000A5A16" w:rsidRPr="00E67D6B">
              <w:rPr>
                <w:color w:val="auto"/>
                <w:sz w:val="22"/>
                <w:szCs w:val="22"/>
              </w:rPr>
              <w:t>.</w:t>
            </w:r>
          </w:p>
          <w:p w14:paraId="513736C5" w14:textId="77777777" w:rsidR="000A5A16" w:rsidRPr="00E67D6B" w:rsidRDefault="000A5A16" w:rsidP="000A5A16">
            <w:pPr>
              <w:pStyle w:val="Default"/>
              <w:ind w:left="414"/>
              <w:jc w:val="both"/>
              <w:rPr>
                <w:color w:val="auto"/>
                <w:sz w:val="22"/>
                <w:szCs w:val="22"/>
              </w:rPr>
            </w:pPr>
          </w:p>
        </w:tc>
        <w:tc>
          <w:tcPr>
            <w:tcW w:w="1975" w:type="dxa"/>
            <w:shd w:val="clear" w:color="auto" w:fill="auto"/>
          </w:tcPr>
          <w:p w14:paraId="4E3D1143" w14:textId="77777777" w:rsidR="00555A56" w:rsidRPr="008C0BFE" w:rsidRDefault="00555A56" w:rsidP="008F645B">
            <w:pPr>
              <w:suppressAutoHyphens w:val="0"/>
              <w:spacing w:after="0" w:line="240" w:lineRule="auto"/>
              <w:jc w:val="both"/>
              <w:rPr>
                <w:rFonts w:ascii="Arial" w:hAnsi="Arial" w:cs="Arial"/>
                <w:bCs/>
              </w:rPr>
            </w:pPr>
          </w:p>
          <w:p w14:paraId="17CC0E2F" w14:textId="77777777" w:rsidR="00555A56" w:rsidRPr="008C0BFE" w:rsidRDefault="00555A56" w:rsidP="008F645B">
            <w:pPr>
              <w:suppressAutoHyphens w:val="0"/>
              <w:spacing w:after="0" w:line="240" w:lineRule="auto"/>
              <w:jc w:val="both"/>
              <w:rPr>
                <w:rFonts w:ascii="Arial" w:hAnsi="Arial" w:cs="Arial"/>
                <w:bCs/>
              </w:rPr>
            </w:pPr>
          </w:p>
          <w:p w14:paraId="0A48E88F" w14:textId="77777777" w:rsidR="00555A56" w:rsidRPr="008C0BFE" w:rsidRDefault="00555A56" w:rsidP="008F645B">
            <w:pPr>
              <w:suppressAutoHyphens w:val="0"/>
              <w:spacing w:after="0" w:line="240" w:lineRule="auto"/>
              <w:jc w:val="both"/>
              <w:rPr>
                <w:rFonts w:ascii="Arial" w:hAnsi="Arial" w:cs="Arial"/>
                <w:bCs/>
              </w:rPr>
            </w:pPr>
          </w:p>
          <w:p w14:paraId="2A0E745E" w14:textId="77777777" w:rsidR="001D4DA2" w:rsidRPr="008C0BFE" w:rsidRDefault="001D4DA2" w:rsidP="008F645B">
            <w:pPr>
              <w:suppressAutoHyphens w:val="0"/>
              <w:spacing w:after="0" w:line="240" w:lineRule="auto"/>
              <w:jc w:val="both"/>
              <w:rPr>
                <w:rFonts w:ascii="Arial" w:hAnsi="Arial" w:cs="Arial"/>
                <w:bCs/>
              </w:rPr>
            </w:pPr>
          </w:p>
          <w:p w14:paraId="2C76307F" w14:textId="77777777" w:rsidR="00555A56" w:rsidRPr="008C0BFE" w:rsidRDefault="00555A56" w:rsidP="008F645B">
            <w:pPr>
              <w:suppressAutoHyphens w:val="0"/>
              <w:spacing w:after="0" w:line="240" w:lineRule="auto"/>
              <w:jc w:val="both"/>
              <w:rPr>
                <w:rFonts w:ascii="Arial" w:hAnsi="Arial" w:cs="Arial"/>
                <w:bCs/>
              </w:rPr>
            </w:pPr>
            <w:r w:rsidRPr="008C0BFE">
              <w:rPr>
                <w:rFonts w:ascii="Arial" w:hAnsi="Arial" w:cs="Arial"/>
                <w:bCs/>
              </w:rPr>
              <w:t>Fully Implemented</w:t>
            </w:r>
          </w:p>
          <w:p w14:paraId="4D2F3055" w14:textId="77777777" w:rsidR="00555A56" w:rsidRPr="008C0BFE" w:rsidRDefault="00555A56" w:rsidP="008F645B">
            <w:pPr>
              <w:suppressAutoHyphens w:val="0"/>
              <w:spacing w:after="0" w:line="240" w:lineRule="auto"/>
              <w:jc w:val="both"/>
              <w:rPr>
                <w:rFonts w:ascii="Arial" w:hAnsi="Arial" w:cs="Arial"/>
                <w:bCs/>
              </w:rPr>
            </w:pPr>
          </w:p>
          <w:p w14:paraId="265E0F90" w14:textId="77777777" w:rsidR="00555A56" w:rsidRPr="008C0BFE" w:rsidRDefault="00555A56" w:rsidP="008F645B">
            <w:pPr>
              <w:suppressAutoHyphens w:val="0"/>
              <w:spacing w:after="0" w:line="240" w:lineRule="auto"/>
              <w:jc w:val="both"/>
              <w:rPr>
                <w:rFonts w:ascii="Arial" w:hAnsi="Arial" w:cs="Arial"/>
                <w:bCs/>
              </w:rPr>
            </w:pPr>
          </w:p>
          <w:p w14:paraId="0187C342" w14:textId="77777777" w:rsidR="00555A56" w:rsidRPr="008C0BFE" w:rsidRDefault="00555A56" w:rsidP="008F645B">
            <w:pPr>
              <w:suppressAutoHyphens w:val="0"/>
              <w:spacing w:after="0" w:line="240" w:lineRule="auto"/>
              <w:jc w:val="both"/>
              <w:rPr>
                <w:rFonts w:ascii="Arial" w:hAnsi="Arial" w:cs="Arial"/>
                <w:bCs/>
              </w:rPr>
            </w:pPr>
          </w:p>
          <w:p w14:paraId="505A7A71" w14:textId="77777777" w:rsidR="00555A56" w:rsidRPr="008C0BFE" w:rsidRDefault="00555A56" w:rsidP="008F645B">
            <w:pPr>
              <w:suppressAutoHyphens w:val="0"/>
              <w:spacing w:after="0" w:line="240" w:lineRule="auto"/>
              <w:jc w:val="both"/>
              <w:rPr>
                <w:rFonts w:ascii="Arial" w:hAnsi="Arial" w:cs="Arial"/>
                <w:bCs/>
              </w:rPr>
            </w:pPr>
          </w:p>
          <w:p w14:paraId="3A18151F" w14:textId="77777777" w:rsidR="00555A56" w:rsidRPr="008C0BFE" w:rsidRDefault="00555A56" w:rsidP="008F645B">
            <w:pPr>
              <w:suppressAutoHyphens w:val="0"/>
              <w:spacing w:after="0" w:line="240" w:lineRule="auto"/>
              <w:jc w:val="both"/>
              <w:rPr>
                <w:rFonts w:ascii="Arial" w:hAnsi="Arial" w:cs="Arial"/>
                <w:bCs/>
              </w:rPr>
            </w:pPr>
          </w:p>
          <w:p w14:paraId="48EF23EC" w14:textId="77777777" w:rsidR="00555A56" w:rsidRPr="008C0BFE" w:rsidRDefault="00555A56" w:rsidP="008F645B">
            <w:pPr>
              <w:suppressAutoHyphens w:val="0"/>
              <w:spacing w:after="0" w:line="240" w:lineRule="auto"/>
              <w:jc w:val="both"/>
              <w:rPr>
                <w:rFonts w:ascii="Arial" w:hAnsi="Arial" w:cs="Arial"/>
                <w:bCs/>
              </w:rPr>
            </w:pPr>
          </w:p>
          <w:p w14:paraId="11B50BB7" w14:textId="77777777" w:rsidR="00555A56" w:rsidRPr="008C0BFE" w:rsidRDefault="00555A56" w:rsidP="008F645B">
            <w:pPr>
              <w:suppressAutoHyphens w:val="0"/>
              <w:spacing w:after="0" w:line="240" w:lineRule="auto"/>
              <w:jc w:val="both"/>
              <w:rPr>
                <w:rFonts w:ascii="Arial" w:hAnsi="Arial" w:cs="Arial"/>
                <w:bCs/>
              </w:rPr>
            </w:pPr>
            <w:r w:rsidRPr="008C0BFE">
              <w:rPr>
                <w:rFonts w:ascii="Arial" w:hAnsi="Arial" w:cs="Arial"/>
                <w:bCs/>
              </w:rPr>
              <w:t>Fully Implemented</w:t>
            </w:r>
          </w:p>
          <w:p w14:paraId="698F2672" w14:textId="77777777" w:rsidR="00555A56" w:rsidRPr="008C0BFE" w:rsidRDefault="00555A56" w:rsidP="008F645B">
            <w:pPr>
              <w:suppressAutoHyphens w:val="0"/>
              <w:spacing w:after="0" w:line="240" w:lineRule="auto"/>
              <w:jc w:val="both"/>
              <w:rPr>
                <w:rFonts w:ascii="Arial" w:hAnsi="Arial" w:cs="Arial"/>
                <w:bCs/>
              </w:rPr>
            </w:pPr>
          </w:p>
          <w:p w14:paraId="33C2E1BF" w14:textId="77777777" w:rsidR="00555A56" w:rsidRPr="008C0BFE" w:rsidRDefault="00555A56" w:rsidP="008F645B">
            <w:pPr>
              <w:suppressAutoHyphens w:val="0"/>
              <w:spacing w:after="0" w:line="240" w:lineRule="auto"/>
              <w:jc w:val="both"/>
              <w:rPr>
                <w:rFonts w:ascii="Arial" w:hAnsi="Arial" w:cs="Arial"/>
                <w:bCs/>
              </w:rPr>
            </w:pPr>
          </w:p>
          <w:p w14:paraId="565B194D" w14:textId="77777777" w:rsidR="00555A56" w:rsidRPr="008C0BFE" w:rsidRDefault="00555A56" w:rsidP="008F645B">
            <w:pPr>
              <w:suppressAutoHyphens w:val="0"/>
              <w:spacing w:after="0" w:line="240" w:lineRule="auto"/>
              <w:jc w:val="both"/>
              <w:rPr>
                <w:rFonts w:ascii="Arial" w:hAnsi="Arial" w:cs="Arial"/>
                <w:bCs/>
              </w:rPr>
            </w:pPr>
          </w:p>
          <w:p w14:paraId="7FE692A9" w14:textId="77777777" w:rsidR="00555A56" w:rsidRPr="008C0BFE" w:rsidRDefault="00555A56" w:rsidP="008F645B">
            <w:pPr>
              <w:suppressAutoHyphens w:val="0"/>
              <w:spacing w:after="0" w:line="240" w:lineRule="auto"/>
              <w:jc w:val="both"/>
              <w:rPr>
                <w:rFonts w:ascii="Arial" w:hAnsi="Arial" w:cs="Arial"/>
                <w:bCs/>
              </w:rPr>
            </w:pPr>
          </w:p>
          <w:p w14:paraId="4B95489E" w14:textId="77777777" w:rsidR="00555A56" w:rsidRPr="008C0BFE" w:rsidRDefault="00555A56" w:rsidP="008F645B">
            <w:pPr>
              <w:suppressAutoHyphens w:val="0"/>
              <w:spacing w:after="0" w:line="240" w:lineRule="auto"/>
              <w:jc w:val="both"/>
              <w:rPr>
                <w:rFonts w:ascii="Arial" w:hAnsi="Arial" w:cs="Arial"/>
                <w:bCs/>
              </w:rPr>
            </w:pPr>
          </w:p>
          <w:p w14:paraId="390FAC8A" w14:textId="77777777" w:rsidR="00555A56" w:rsidRPr="008C0BFE" w:rsidRDefault="00555A56" w:rsidP="008F645B">
            <w:pPr>
              <w:suppressAutoHyphens w:val="0"/>
              <w:spacing w:after="0" w:line="240" w:lineRule="auto"/>
              <w:jc w:val="both"/>
              <w:rPr>
                <w:rFonts w:ascii="Arial" w:hAnsi="Arial" w:cs="Arial"/>
                <w:bCs/>
              </w:rPr>
            </w:pPr>
          </w:p>
          <w:p w14:paraId="08EF087F" w14:textId="77777777" w:rsidR="00555A56" w:rsidRPr="008C0BFE" w:rsidRDefault="00555A56" w:rsidP="008F645B">
            <w:pPr>
              <w:suppressAutoHyphens w:val="0"/>
              <w:spacing w:after="0" w:line="240" w:lineRule="auto"/>
              <w:jc w:val="both"/>
              <w:rPr>
                <w:rFonts w:ascii="Arial" w:hAnsi="Arial" w:cs="Arial"/>
                <w:bCs/>
              </w:rPr>
            </w:pPr>
            <w:r w:rsidRPr="008C0BFE">
              <w:rPr>
                <w:rFonts w:ascii="Arial" w:hAnsi="Arial" w:cs="Arial"/>
                <w:bCs/>
              </w:rPr>
              <w:t>Fully Implemented</w:t>
            </w:r>
          </w:p>
        </w:tc>
      </w:tr>
      <w:tr w:rsidR="007F4DE1" w:rsidRPr="008C0BFE" w14:paraId="58FE67DD" w14:textId="77777777" w:rsidTr="00BA509A">
        <w:trPr>
          <w:trHeight w:val="300"/>
        </w:trPr>
        <w:tc>
          <w:tcPr>
            <w:tcW w:w="1602" w:type="dxa"/>
            <w:shd w:val="clear" w:color="auto" w:fill="auto"/>
            <w:noWrap/>
          </w:tcPr>
          <w:p w14:paraId="0E9064AA" w14:textId="57D227C6" w:rsidR="00FC162E" w:rsidRPr="008C0BFE" w:rsidRDefault="00B61541" w:rsidP="008F645B">
            <w:pPr>
              <w:suppressAutoHyphens w:val="0"/>
              <w:spacing w:after="0" w:line="240" w:lineRule="auto"/>
              <w:ind w:left="-79"/>
              <w:jc w:val="both"/>
              <w:rPr>
                <w:rFonts w:ascii="Arial" w:hAnsi="Arial" w:cs="Arial"/>
              </w:rPr>
            </w:pPr>
            <w:r w:rsidRPr="008C0BFE">
              <w:rPr>
                <w:rFonts w:ascii="Arial" w:hAnsi="Arial" w:cs="Arial"/>
              </w:rPr>
              <w:lastRenderedPageBreak/>
              <w:t xml:space="preserve">AO No. 3 </w:t>
            </w:r>
          </w:p>
          <w:p w14:paraId="1FA693D9" w14:textId="05A7B9D2" w:rsidR="00056E76" w:rsidRPr="008C0BFE" w:rsidRDefault="00B61541" w:rsidP="008F645B">
            <w:pPr>
              <w:suppressAutoHyphens w:val="0"/>
              <w:spacing w:after="0" w:line="240" w:lineRule="auto"/>
              <w:ind w:left="-79"/>
              <w:jc w:val="both"/>
              <w:rPr>
                <w:rFonts w:ascii="Arial" w:hAnsi="Arial" w:cs="Arial"/>
              </w:rPr>
            </w:pPr>
            <w:r w:rsidRPr="008C0BFE">
              <w:rPr>
                <w:rFonts w:ascii="Arial" w:hAnsi="Arial" w:cs="Arial"/>
              </w:rPr>
              <w:t>Page 96-102</w:t>
            </w:r>
          </w:p>
        </w:tc>
        <w:tc>
          <w:tcPr>
            <w:tcW w:w="2993" w:type="dxa"/>
            <w:shd w:val="clear" w:color="auto" w:fill="auto"/>
          </w:tcPr>
          <w:p w14:paraId="5482AFA4" w14:textId="77777777" w:rsidR="00056E76" w:rsidRPr="00E67D6B" w:rsidRDefault="00B61541" w:rsidP="008F645B">
            <w:pPr>
              <w:pStyle w:val="Default"/>
              <w:jc w:val="both"/>
              <w:rPr>
                <w:color w:val="auto"/>
                <w:sz w:val="22"/>
                <w:szCs w:val="22"/>
              </w:rPr>
            </w:pPr>
            <w:r w:rsidRPr="00E67D6B">
              <w:rPr>
                <w:color w:val="auto"/>
                <w:sz w:val="22"/>
                <w:szCs w:val="22"/>
              </w:rPr>
              <w:t>The amount billed to and collected by PCSO from the Instant Sweepstakes Authorized Corporation pertaining to the PCSO guaranteed share, Documentary Stamp Tax and Prize Fund Tax for the remaining six months of its operation was short by P76.661 million due to the understatement of the guaranteed sales by P276.804 million, contrary to Section 58 of the Implementing Rules and Regulations for Instant Sweepstakes Program</w:t>
            </w:r>
          </w:p>
        </w:tc>
        <w:tc>
          <w:tcPr>
            <w:tcW w:w="3492" w:type="dxa"/>
            <w:shd w:val="clear" w:color="auto" w:fill="auto"/>
          </w:tcPr>
          <w:p w14:paraId="34990F2E" w14:textId="77777777" w:rsidR="00B61541" w:rsidRPr="00E67D6B" w:rsidRDefault="00B61541" w:rsidP="008F645B">
            <w:pPr>
              <w:pStyle w:val="Default"/>
              <w:jc w:val="both"/>
              <w:rPr>
                <w:color w:val="auto"/>
                <w:sz w:val="22"/>
                <w:szCs w:val="22"/>
              </w:rPr>
            </w:pPr>
            <w:r w:rsidRPr="00E67D6B">
              <w:rPr>
                <w:color w:val="auto"/>
                <w:sz w:val="22"/>
                <w:szCs w:val="22"/>
              </w:rPr>
              <w:t>We recommended that Management</w:t>
            </w:r>
            <w:r w:rsidR="00711104" w:rsidRPr="00E67D6B">
              <w:rPr>
                <w:color w:val="auto"/>
                <w:sz w:val="22"/>
                <w:szCs w:val="22"/>
              </w:rPr>
              <w:t xml:space="preserve"> direct the ABD to</w:t>
            </w:r>
            <w:r w:rsidRPr="00E67D6B">
              <w:rPr>
                <w:color w:val="auto"/>
                <w:sz w:val="22"/>
                <w:szCs w:val="22"/>
              </w:rPr>
              <w:t>:</w:t>
            </w:r>
          </w:p>
          <w:p w14:paraId="6EE82110" w14:textId="77777777" w:rsidR="00B61541" w:rsidRPr="00E67D6B" w:rsidRDefault="00B61541" w:rsidP="008F645B">
            <w:pPr>
              <w:pStyle w:val="Default"/>
              <w:jc w:val="both"/>
              <w:rPr>
                <w:color w:val="auto"/>
                <w:sz w:val="22"/>
                <w:szCs w:val="22"/>
              </w:rPr>
            </w:pPr>
          </w:p>
          <w:p w14:paraId="5A495C58" w14:textId="77777777" w:rsidR="00056E76" w:rsidRPr="00E67D6B" w:rsidRDefault="00B61541" w:rsidP="006A19B9">
            <w:pPr>
              <w:pStyle w:val="Default"/>
              <w:numPr>
                <w:ilvl w:val="0"/>
                <w:numId w:val="18"/>
              </w:numPr>
              <w:ind w:left="409" w:hanging="409"/>
              <w:jc w:val="both"/>
              <w:rPr>
                <w:color w:val="auto"/>
                <w:sz w:val="22"/>
                <w:szCs w:val="22"/>
              </w:rPr>
            </w:pPr>
            <w:r w:rsidRPr="00E67D6B">
              <w:rPr>
                <w:color w:val="auto"/>
                <w:sz w:val="22"/>
                <w:szCs w:val="22"/>
              </w:rPr>
              <w:t>Prepare an adjusting entry to correct the understatement of the guaranteed sales recorded in December 2022 amounting to P46.134 million, and the understatement of the guaranteed sales recorded for January to May 2023 totaling P230.670 million</w:t>
            </w:r>
            <w:r w:rsidR="000A5A16" w:rsidRPr="00E67D6B">
              <w:rPr>
                <w:color w:val="auto"/>
                <w:sz w:val="22"/>
                <w:szCs w:val="22"/>
              </w:rPr>
              <w:t>.</w:t>
            </w:r>
          </w:p>
          <w:p w14:paraId="4B688DC9" w14:textId="77777777" w:rsidR="00B61541" w:rsidRPr="00E67D6B" w:rsidRDefault="00B61541" w:rsidP="006A19B9">
            <w:pPr>
              <w:pStyle w:val="Default"/>
              <w:ind w:left="409" w:hanging="409"/>
              <w:jc w:val="both"/>
              <w:rPr>
                <w:color w:val="auto"/>
                <w:sz w:val="22"/>
                <w:szCs w:val="22"/>
              </w:rPr>
            </w:pPr>
          </w:p>
          <w:p w14:paraId="05142E7E" w14:textId="77777777" w:rsidR="000A5A16" w:rsidRPr="00E67D6B" w:rsidRDefault="00B61541" w:rsidP="000A5A16">
            <w:pPr>
              <w:pStyle w:val="Default"/>
              <w:numPr>
                <w:ilvl w:val="0"/>
                <w:numId w:val="18"/>
              </w:numPr>
              <w:ind w:left="409" w:hanging="409"/>
              <w:jc w:val="both"/>
              <w:rPr>
                <w:color w:val="auto"/>
                <w:sz w:val="22"/>
                <w:szCs w:val="22"/>
              </w:rPr>
            </w:pPr>
            <w:r w:rsidRPr="00E67D6B">
              <w:rPr>
                <w:color w:val="auto"/>
                <w:sz w:val="22"/>
                <w:szCs w:val="22"/>
              </w:rPr>
              <w:t>Bill the ISAC, and accordingly collect therefrom, the amount of the understatement of the PCSO guaranteed share and the payments for DST and PFT, totaling P76.661 million</w:t>
            </w:r>
            <w:r w:rsidR="000A5A16" w:rsidRPr="00E67D6B">
              <w:rPr>
                <w:color w:val="auto"/>
                <w:sz w:val="22"/>
                <w:szCs w:val="22"/>
              </w:rPr>
              <w:t>.</w:t>
            </w:r>
          </w:p>
        </w:tc>
        <w:tc>
          <w:tcPr>
            <w:tcW w:w="1975" w:type="dxa"/>
            <w:shd w:val="clear" w:color="auto" w:fill="auto"/>
          </w:tcPr>
          <w:p w14:paraId="72483C69" w14:textId="77777777" w:rsidR="00056E76" w:rsidRPr="008C0BFE" w:rsidRDefault="00056E76" w:rsidP="008F645B">
            <w:pPr>
              <w:suppressAutoHyphens w:val="0"/>
              <w:spacing w:after="0" w:line="240" w:lineRule="auto"/>
              <w:jc w:val="both"/>
              <w:rPr>
                <w:rFonts w:ascii="Arial" w:hAnsi="Arial" w:cs="Arial"/>
                <w:bCs/>
              </w:rPr>
            </w:pPr>
          </w:p>
          <w:p w14:paraId="58428187" w14:textId="77777777" w:rsidR="000345F1" w:rsidRPr="008C0BFE" w:rsidRDefault="000345F1" w:rsidP="008F645B">
            <w:pPr>
              <w:suppressAutoHyphens w:val="0"/>
              <w:spacing w:after="0" w:line="240" w:lineRule="auto"/>
              <w:jc w:val="both"/>
              <w:rPr>
                <w:rFonts w:ascii="Arial" w:hAnsi="Arial" w:cs="Arial"/>
                <w:bCs/>
              </w:rPr>
            </w:pPr>
          </w:p>
          <w:p w14:paraId="0A6FFBC7" w14:textId="77777777" w:rsidR="005940C0" w:rsidRPr="008C0BFE" w:rsidRDefault="005940C0" w:rsidP="008F645B">
            <w:pPr>
              <w:suppressAutoHyphens w:val="0"/>
              <w:spacing w:after="0" w:line="240" w:lineRule="auto"/>
              <w:jc w:val="both"/>
              <w:rPr>
                <w:rFonts w:ascii="Arial" w:hAnsi="Arial" w:cs="Arial"/>
                <w:bCs/>
              </w:rPr>
            </w:pPr>
          </w:p>
          <w:p w14:paraId="051AABB5" w14:textId="77777777" w:rsidR="000345F1" w:rsidRPr="008C0BFE" w:rsidRDefault="000345F1" w:rsidP="008F645B">
            <w:pPr>
              <w:suppressAutoHyphens w:val="0"/>
              <w:spacing w:after="0" w:line="240" w:lineRule="auto"/>
              <w:jc w:val="both"/>
              <w:rPr>
                <w:rFonts w:ascii="Arial" w:hAnsi="Arial" w:cs="Arial"/>
                <w:bCs/>
              </w:rPr>
            </w:pPr>
            <w:r w:rsidRPr="008C0BFE">
              <w:rPr>
                <w:rFonts w:ascii="Arial" w:hAnsi="Arial" w:cs="Arial"/>
                <w:bCs/>
              </w:rPr>
              <w:t>Not Implemented</w:t>
            </w:r>
          </w:p>
          <w:p w14:paraId="6B39EAE2" w14:textId="77777777" w:rsidR="000345F1" w:rsidRPr="008C0BFE" w:rsidRDefault="000345F1" w:rsidP="008F645B">
            <w:pPr>
              <w:suppressAutoHyphens w:val="0"/>
              <w:spacing w:after="0" w:line="240" w:lineRule="auto"/>
              <w:jc w:val="both"/>
              <w:rPr>
                <w:rFonts w:ascii="Arial" w:hAnsi="Arial" w:cs="Arial"/>
                <w:bCs/>
              </w:rPr>
            </w:pPr>
          </w:p>
          <w:p w14:paraId="27F4DFC8" w14:textId="77777777" w:rsidR="000345F1" w:rsidRPr="008C0BFE" w:rsidRDefault="000345F1" w:rsidP="008F645B">
            <w:pPr>
              <w:suppressAutoHyphens w:val="0"/>
              <w:spacing w:after="0" w:line="240" w:lineRule="auto"/>
              <w:jc w:val="both"/>
              <w:rPr>
                <w:rFonts w:ascii="Arial" w:hAnsi="Arial" w:cs="Arial"/>
                <w:bCs/>
              </w:rPr>
            </w:pPr>
          </w:p>
          <w:p w14:paraId="7839C2E9" w14:textId="77777777" w:rsidR="000345F1" w:rsidRPr="008C0BFE" w:rsidRDefault="000345F1" w:rsidP="008F645B">
            <w:pPr>
              <w:suppressAutoHyphens w:val="0"/>
              <w:spacing w:after="0" w:line="240" w:lineRule="auto"/>
              <w:jc w:val="both"/>
              <w:rPr>
                <w:rFonts w:ascii="Arial" w:hAnsi="Arial" w:cs="Arial"/>
                <w:bCs/>
              </w:rPr>
            </w:pPr>
          </w:p>
          <w:p w14:paraId="5AF75AE1" w14:textId="77777777" w:rsidR="000345F1" w:rsidRPr="008C0BFE" w:rsidRDefault="000345F1" w:rsidP="008F645B">
            <w:pPr>
              <w:suppressAutoHyphens w:val="0"/>
              <w:spacing w:after="0" w:line="240" w:lineRule="auto"/>
              <w:jc w:val="both"/>
              <w:rPr>
                <w:rFonts w:ascii="Arial" w:hAnsi="Arial" w:cs="Arial"/>
                <w:bCs/>
              </w:rPr>
            </w:pPr>
          </w:p>
          <w:p w14:paraId="5E665BDA" w14:textId="77777777" w:rsidR="000345F1" w:rsidRPr="008C0BFE" w:rsidRDefault="000345F1" w:rsidP="008F645B">
            <w:pPr>
              <w:suppressAutoHyphens w:val="0"/>
              <w:spacing w:after="0" w:line="240" w:lineRule="auto"/>
              <w:jc w:val="both"/>
              <w:rPr>
                <w:rFonts w:ascii="Arial" w:hAnsi="Arial" w:cs="Arial"/>
                <w:bCs/>
              </w:rPr>
            </w:pPr>
          </w:p>
          <w:p w14:paraId="17DEAC8A" w14:textId="77777777" w:rsidR="000345F1" w:rsidRPr="008C0BFE" w:rsidRDefault="000345F1" w:rsidP="008F645B">
            <w:pPr>
              <w:suppressAutoHyphens w:val="0"/>
              <w:spacing w:after="0" w:line="240" w:lineRule="auto"/>
              <w:jc w:val="both"/>
              <w:rPr>
                <w:rFonts w:ascii="Arial" w:hAnsi="Arial" w:cs="Arial"/>
                <w:bCs/>
              </w:rPr>
            </w:pPr>
          </w:p>
          <w:p w14:paraId="548DE4A7" w14:textId="77777777" w:rsidR="000345F1" w:rsidRPr="008C0BFE" w:rsidRDefault="000345F1" w:rsidP="008F645B">
            <w:pPr>
              <w:suppressAutoHyphens w:val="0"/>
              <w:spacing w:after="0" w:line="240" w:lineRule="auto"/>
              <w:jc w:val="both"/>
              <w:rPr>
                <w:rFonts w:ascii="Arial" w:hAnsi="Arial" w:cs="Arial"/>
                <w:bCs/>
              </w:rPr>
            </w:pPr>
          </w:p>
          <w:p w14:paraId="6289AF2F" w14:textId="77777777" w:rsidR="000345F1" w:rsidRPr="008C0BFE" w:rsidRDefault="000345F1" w:rsidP="008F645B">
            <w:pPr>
              <w:suppressAutoHyphens w:val="0"/>
              <w:spacing w:after="0" w:line="240" w:lineRule="auto"/>
              <w:jc w:val="both"/>
              <w:rPr>
                <w:rFonts w:ascii="Arial" w:hAnsi="Arial" w:cs="Arial"/>
                <w:bCs/>
              </w:rPr>
            </w:pPr>
          </w:p>
          <w:p w14:paraId="57129A14" w14:textId="77777777" w:rsidR="000345F1" w:rsidRPr="008C0BFE" w:rsidRDefault="000345F1" w:rsidP="008F645B">
            <w:pPr>
              <w:suppressAutoHyphens w:val="0"/>
              <w:spacing w:after="0" w:line="240" w:lineRule="auto"/>
              <w:jc w:val="both"/>
              <w:rPr>
                <w:rFonts w:ascii="Arial" w:hAnsi="Arial" w:cs="Arial"/>
                <w:bCs/>
              </w:rPr>
            </w:pPr>
          </w:p>
          <w:p w14:paraId="7FADE2B4" w14:textId="77777777" w:rsidR="000345F1" w:rsidRPr="008C0BFE" w:rsidRDefault="000345F1" w:rsidP="008F645B">
            <w:pPr>
              <w:suppressAutoHyphens w:val="0"/>
              <w:spacing w:after="0" w:line="240" w:lineRule="auto"/>
              <w:jc w:val="both"/>
              <w:rPr>
                <w:rFonts w:ascii="Arial" w:hAnsi="Arial" w:cs="Arial"/>
                <w:bCs/>
              </w:rPr>
            </w:pPr>
          </w:p>
          <w:p w14:paraId="5569DADE" w14:textId="77777777" w:rsidR="000345F1" w:rsidRPr="008C0BFE" w:rsidRDefault="000345F1" w:rsidP="000345F1">
            <w:pPr>
              <w:suppressAutoHyphens w:val="0"/>
              <w:spacing w:after="0" w:line="240" w:lineRule="auto"/>
              <w:jc w:val="both"/>
              <w:rPr>
                <w:rFonts w:ascii="Arial" w:hAnsi="Arial" w:cs="Arial"/>
                <w:bCs/>
              </w:rPr>
            </w:pPr>
            <w:r w:rsidRPr="008C0BFE">
              <w:rPr>
                <w:rFonts w:ascii="Arial" w:hAnsi="Arial" w:cs="Arial"/>
                <w:bCs/>
              </w:rPr>
              <w:t>Not Implemented</w:t>
            </w:r>
          </w:p>
        </w:tc>
      </w:tr>
      <w:tr w:rsidR="007F4DE1" w:rsidRPr="008C0BFE" w14:paraId="3DFABEAE" w14:textId="77777777" w:rsidTr="00BA509A">
        <w:trPr>
          <w:trHeight w:val="3887"/>
        </w:trPr>
        <w:tc>
          <w:tcPr>
            <w:tcW w:w="1602" w:type="dxa"/>
            <w:shd w:val="clear" w:color="auto" w:fill="auto"/>
            <w:noWrap/>
          </w:tcPr>
          <w:p w14:paraId="4E4DE9E7" w14:textId="6D3F2EDF" w:rsidR="00FC162E" w:rsidRPr="008C0BFE" w:rsidRDefault="0059016F" w:rsidP="008F645B">
            <w:pPr>
              <w:suppressAutoHyphens w:val="0"/>
              <w:spacing w:after="0" w:line="240" w:lineRule="auto"/>
              <w:ind w:left="-79"/>
              <w:jc w:val="both"/>
              <w:rPr>
                <w:rFonts w:ascii="Arial" w:hAnsi="Arial" w:cs="Arial"/>
              </w:rPr>
            </w:pPr>
            <w:r w:rsidRPr="008C0BFE">
              <w:rPr>
                <w:rFonts w:ascii="Arial" w:hAnsi="Arial" w:cs="Arial"/>
              </w:rPr>
              <w:t xml:space="preserve">AO No. 4 </w:t>
            </w:r>
          </w:p>
          <w:p w14:paraId="32E374BC" w14:textId="07A489FA" w:rsidR="0059016F" w:rsidRPr="008C0BFE" w:rsidRDefault="0059016F" w:rsidP="008F645B">
            <w:pPr>
              <w:suppressAutoHyphens w:val="0"/>
              <w:spacing w:after="0" w:line="240" w:lineRule="auto"/>
              <w:ind w:left="-79"/>
              <w:jc w:val="both"/>
              <w:rPr>
                <w:rFonts w:ascii="Arial" w:hAnsi="Arial" w:cs="Arial"/>
              </w:rPr>
            </w:pPr>
            <w:r w:rsidRPr="008C0BFE">
              <w:rPr>
                <w:rFonts w:ascii="Arial" w:hAnsi="Arial" w:cs="Arial"/>
              </w:rPr>
              <w:t>Page 102-106</w:t>
            </w:r>
          </w:p>
        </w:tc>
        <w:tc>
          <w:tcPr>
            <w:tcW w:w="2993" w:type="dxa"/>
            <w:shd w:val="clear" w:color="auto" w:fill="auto"/>
          </w:tcPr>
          <w:p w14:paraId="5B0215E7" w14:textId="77777777" w:rsidR="0059016F" w:rsidRPr="00E67D6B" w:rsidRDefault="006D6FCD" w:rsidP="008F645B">
            <w:pPr>
              <w:pStyle w:val="Default"/>
              <w:jc w:val="both"/>
              <w:rPr>
                <w:color w:val="auto"/>
                <w:sz w:val="22"/>
                <w:szCs w:val="22"/>
              </w:rPr>
            </w:pPr>
            <w:r w:rsidRPr="00E67D6B">
              <w:rPr>
                <w:color w:val="auto"/>
                <w:sz w:val="22"/>
                <w:szCs w:val="22"/>
              </w:rPr>
              <w:t xml:space="preserve">The faithful representation in the financial statements of the balance of the Cash and Cash Equivalents account in the amount of P20.343 billion as of December 31, 2022, cannot be ascertained due to the : (a) Discrepancy of P50.304 million between the balances per books and the confirmed bank balances of the Main, Operating Fund, Charity Fund and Prize Fund accounts and (b) Closed bank accounts with outstanding balances in the books totaling P3.612 million (negative) and P0.483 million, contrary to Paragraph 15 of the </w:t>
            </w:r>
            <w:r w:rsidRPr="00E67D6B">
              <w:rPr>
                <w:color w:val="auto"/>
                <w:sz w:val="22"/>
                <w:szCs w:val="22"/>
              </w:rPr>
              <w:lastRenderedPageBreak/>
              <w:t>Philippine Accounting Standard 1 and QC12 of the Conceptual Framework for Financial Reporting</w:t>
            </w:r>
          </w:p>
        </w:tc>
        <w:tc>
          <w:tcPr>
            <w:tcW w:w="3492" w:type="dxa"/>
            <w:shd w:val="clear" w:color="auto" w:fill="auto"/>
          </w:tcPr>
          <w:p w14:paraId="7A0F354D" w14:textId="77777777" w:rsidR="006D6FCD" w:rsidRPr="00E67D6B" w:rsidRDefault="00711104" w:rsidP="008F645B">
            <w:pPr>
              <w:pStyle w:val="Default"/>
              <w:jc w:val="both"/>
              <w:rPr>
                <w:color w:val="auto"/>
                <w:sz w:val="22"/>
                <w:szCs w:val="22"/>
              </w:rPr>
            </w:pPr>
            <w:r w:rsidRPr="00E67D6B">
              <w:rPr>
                <w:color w:val="auto"/>
                <w:sz w:val="22"/>
                <w:szCs w:val="22"/>
              </w:rPr>
              <w:lastRenderedPageBreak/>
              <w:t>We reiterated our prior year’s audit recommendation that Management direct the concerned accounting personnel to</w:t>
            </w:r>
            <w:r w:rsidR="006D6FCD" w:rsidRPr="00E67D6B">
              <w:rPr>
                <w:color w:val="auto"/>
                <w:sz w:val="22"/>
                <w:szCs w:val="22"/>
              </w:rPr>
              <w:t>:</w:t>
            </w:r>
          </w:p>
          <w:p w14:paraId="347CCAE0" w14:textId="77777777" w:rsidR="006D6FCD" w:rsidRPr="00E67D6B" w:rsidRDefault="006D6FCD" w:rsidP="008F645B">
            <w:pPr>
              <w:pStyle w:val="Default"/>
              <w:jc w:val="both"/>
              <w:rPr>
                <w:color w:val="auto"/>
                <w:sz w:val="22"/>
                <w:szCs w:val="22"/>
              </w:rPr>
            </w:pPr>
          </w:p>
          <w:p w14:paraId="327FCF9D" w14:textId="77777777" w:rsidR="0059016F" w:rsidRPr="00E67D6B" w:rsidRDefault="006D6FCD" w:rsidP="006A19B9">
            <w:pPr>
              <w:pStyle w:val="Default"/>
              <w:numPr>
                <w:ilvl w:val="0"/>
                <w:numId w:val="19"/>
              </w:numPr>
              <w:ind w:left="409" w:hanging="409"/>
              <w:jc w:val="both"/>
              <w:rPr>
                <w:color w:val="auto"/>
                <w:sz w:val="22"/>
                <w:szCs w:val="22"/>
              </w:rPr>
            </w:pPr>
            <w:r w:rsidRPr="00E67D6B">
              <w:rPr>
                <w:color w:val="auto"/>
                <w:sz w:val="22"/>
                <w:szCs w:val="22"/>
              </w:rPr>
              <w:t>Effect the necessary adjustments, after thorough verification of the long–outstanding reconciling items, to correct the affected accounts, the negative balances totaling P3.613 million of the Cash in Bank account and P483,683.30 which pertained to the balance of closed PNB account</w:t>
            </w:r>
          </w:p>
          <w:p w14:paraId="6C4C8483" w14:textId="77777777" w:rsidR="006D6FCD" w:rsidRPr="00E67D6B" w:rsidRDefault="006D6FCD" w:rsidP="006A19B9">
            <w:pPr>
              <w:pStyle w:val="Default"/>
              <w:ind w:left="409" w:hanging="409"/>
              <w:jc w:val="both"/>
              <w:rPr>
                <w:color w:val="auto"/>
                <w:sz w:val="22"/>
                <w:szCs w:val="22"/>
              </w:rPr>
            </w:pPr>
          </w:p>
          <w:p w14:paraId="4E84848F" w14:textId="77777777" w:rsidR="006D6FCD" w:rsidRPr="00E67D6B" w:rsidRDefault="006D6FCD" w:rsidP="006A19B9">
            <w:pPr>
              <w:pStyle w:val="Default"/>
              <w:numPr>
                <w:ilvl w:val="0"/>
                <w:numId w:val="19"/>
              </w:numPr>
              <w:ind w:left="409" w:hanging="409"/>
              <w:jc w:val="both"/>
              <w:rPr>
                <w:color w:val="auto"/>
                <w:sz w:val="22"/>
                <w:szCs w:val="22"/>
              </w:rPr>
            </w:pPr>
            <w:r w:rsidRPr="00E67D6B">
              <w:rPr>
                <w:color w:val="auto"/>
                <w:sz w:val="22"/>
                <w:szCs w:val="22"/>
              </w:rPr>
              <w:lastRenderedPageBreak/>
              <w:t>Intensify the efforts in coordinating with the corresponding depository banks to clear out the details of the bank reconciling items and investigate the cause/s of the alleged unposted deposit totaling P2.092 million so that appropriate action may be undertaken</w:t>
            </w:r>
          </w:p>
        </w:tc>
        <w:tc>
          <w:tcPr>
            <w:tcW w:w="1975" w:type="dxa"/>
            <w:shd w:val="clear" w:color="auto" w:fill="auto"/>
          </w:tcPr>
          <w:p w14:paraId="4CDE3C3D" w14:textId="77777777" w:rsidR="0059016F" w:rsidRPr="008C0BFE" w:rsidRDefault="0059016F" w:rsidP="008F645B">
            <w:pPr>
              <w:suppressAutoHyphens w:val="0"/>
              <w:spacing w:after="0" w:line="240" w:lineRule="auto"/>
              <w:jc w:val="both"/>
              <w:rPr>
                <w:rFonts w:ascii="Arial" w:hAnsi="Arial" w:cs="Arial"/>
                <w:bCs/>
              </w:rPr>
            </w:pPr>
          </w:p>
          <w:p w14:paraId="04B9C548" w14:textId="77777777" w:rsidR="0002343F" w:rsidRPr="008C0BFE" w:rsidRDefault="0002343F" w:rsidP="008F645B">
            <w:pPr>
              <w:suppressAutoHyphens w:val="0"/>
              <w:spacing w:after="0" w:line="240" w:lineRule="auto"/>
              <w:jc w:val="both"/>
              <w:rPr>
                <w:rFonts w:ascii="Arial" w:hAnsi="Arial" w:cs="Arial"/>
                <w:bCs/>
              </w:rPr>
            </w:pPr>
          </w:p>
          <w:p w14:paraId="65D21BD1" w14:textId="77777777" w:rsidR="0002343F" w:rsidRPr="008C0BFE" w:rsidRDefault="0002343F" w:rsidP="008F645B">
            <w:pPr>
              <w:suppressAutoHyphens w:val="0"/>
              <w:spacing w:after="0" w:line="240" w:lineRule="auto"/>
              <w:jc w:val="both"/>
              <w:rPr>
                <w:rFonts w:ascii="Arial" w:hAnsi="Arial" w:cs="Arial"/>
                <w:bCs/>
              </w:rPr>
            </w:pPr>
          </w:p>
          <w:p w14:paraId="488217C3" w14:textId="77777777" w:rsidR="001D4DA2" w:rsidRPr="008C0BFE" w:rsidRDefault="001D4DA2" w:rsidP="008F645B">
            <w:pPr>
              <w:suppressAutoHyphens w:val="0"/>
              <w:spacing w:after="0" w:line="240" w:lineRule="auto"/>
              <w:jc w:val="both"/>
              <w:rPr>
                <w:rFonts w:ascii="Arial" w:hAnsi="Arial" w:cs="Arial"/>
                <w:bCs/>
              </w:rPr>
            </w:pPr>
          </w:p>
          <w:p w14:paraId="41D670D3" w14:textId="77777777" w:rsidR="001D4DA2" w:rsidRPr="008C0BFE" w:rsidRDefault="001D4DA2" w:rsidP="008F645B">
            <w:pPr>
              <w:suppressAutoHyphens w:val="0"/>
              <w:spacing w:after="0" w:line="240" w:lineRule="auto"/>
              <w:jc w:val="both"/>
              <w:rPr>
                <w:rFonts w:ascii="Arial" w:hAnsi="Arial" w:cs="Arial"/>
                <w:bCs/>
              </w:rPr>
            </w:pPr>
          </w:p>
          <w:p w14:paraId="5AB33873" w14:textId="77777777" w:rsidR="001D4DA2" w:rsidRPr="008C0BFE" w:rsidRDefault="001D4DA2" w:rsidP="008F645B">
            <w:pPr>
              <w:suppressAutoHyphens w:val="0"/>
              <w:spacing w:after="0" w:line="240" w:lineRule="auto"/>
              <w:jc w:val="both"/>
              <w:rPr>
                <w:rFonts w:ascii="Arial" w:hAnsi="Arial" w:cs="Arial"/>
                <w:bCs/>
              </w:rPr>
            </w:pPr>
          </w:p>
          <w:p w14:paraId="3DFC7884" w14:textId="77777777" w:rsidR="0002343F" w:rsidRPr="008C0BFE" w:rsidRDefault="0002343F" w:rsidP="008F645B">
            <w:pPr>
              <w:suppressAutoHyphens w:val="0"/>
              <w:spacing w:after="0" w:line="240" w:lineRule="auto"/>
              <w:jc w:val="both"/>
              <w:rPr>
                <w:rFonts w:ascii="Arial" w:hAnsi="Arial" w:cs="Arial"/>
                <w:bCs/>
              </w:rPr>
            </w:pPr>
            <w:r w:rsidRPr="008C0BFE">
              <w:rPr>
                <w:rFonts w:ascii="Arial" w:hAnsi="Arial" w:cs="Arial"/>
                <w:bCs/>
              </w:rPr>
              <w:t xml:space="preserve">Not Implemented </w:t>
            </w:r>
          </w:p>
          <w:p w14:paraId="19A83141" w14:textId="77777777" w:rsidR="0002343F" w:rsidRPr="008C0BFE" w:rsidRDefault="0002343F" w:rsidP="008F645B">
            <w:pPr>
              <w:suppressAutoHyphens w:val="0"/>
              <w:spacing w:after="0" w:line="240" w:lineRule="auto"/>
              <w:jc w:val="both"/>
              <w:rPr>
                <w:rFonts w:ascii="Arial" w:hAnsi="Arial" w:cs="Arial"/>
                <w:bCs/>
              </w:rPr>
            </w:pPr>
          </w:p>
          <w:p w14:paraId="64764129" w14:textId="77777777" w:rsidR="0002343F" w:rsidRPr="008C0BFE" w:rsidRDefault="00031033" w:rsidP="008F645B">
            <w:pPr>
              <w:suppressAutoHyphens w:val="0"/>
              <w:spacing w:after="0" w:line="240" w:lineRule="auto"/>
              <w:jc w:val="both"/>
              <w:rPr>
                <w:rFonts w:ascii="Arial" w:hAnsi="Arial" w:cs="Arial"/>
                <w:bCs/>
              </w:rPr>
            </w:pPr>
            <w:r w:rsidRPr="008C0BFE">
              <w:rPr>
                <w:rFonts w:ascii="Arial" w:hAnsi="Arial" w:cs="Arial"/>
                <w:bCs/>
              </w:rPr>
              <w:t>Reiterated with updates under Part II – Obse</w:t>
            </w:r>
            <w:r w:rsidR="00EB776C" w:rsidRPr="008C0BFE">
              <w:rPr>
                <w:rFonts w:ascii="Arial" w:hAnsi="Arial" w:cs="Arial"/>
                <w:bCs/>
              </w:rPr>
              <w:t>rvation and Recommendation No. 10</w:t>
            </w:r>
            <w:r w:rsidRPr="008C0BFE">
              <w:rPr>
                <w:rFonts w:ascii="Arial" w:hAnsi="Arial" w:cs="Arial"/>
                <w:bCs/>
              </w:rPr>
              <w:t xml:space="preserve"> of this report.</w:t>
            </w:r>
          </w:p>
          <w:p w14:paraId="27AEA4BA" w14:textId="77777777" w:rsidR="0002343F" w:rsidRPr="008C0BFE" w:rsidRDefault="0002343F" w:rsidP="008F645B">
            <w:pPr>
              <w:suppressAutoHyphens w:val="0"/>
              <w:spacing w:after="0" w:line="240" w:lineRule="auto"/>
              <w:jc w:val="both"/>
              <w:rPr>
                <w:rFonts w:ascii="Arial" w:hAnsi="Arial" w:cs="Arial"/>
                <w:bCs/>
              </w:rPr>
            </w:pPr>
          </w:p>
          <w:p w14:paraId="71F23D72" w14:textId="0926A061" w:rsidR="0002343F" w:rsidRDefault="0002343F" w:rsidP="008F645B">
            <w:pPr>
              <w:suppressAutoHyphens w:val="0"/>
              <w:spacing w:after="0" w:line="240" w:lineRule="auto"/>
              <w:jc w:val="both"/>
              <w:rPr>
                <w:rFonts w:ascii="Arial" w:hAnsi="Arial" w:cs="Arial"/>
                <w:bCs/>
              </w:rPr>
            </w:pPr>
          </w:p>
          <w:p w14:paraId="29E35945" w14:textId="11E4701B" w:rsidR="008C0BFE" w:rsidRDefault="008C0BFE" w:rsidP="008F645B">
            <w:pPr>
              <w:suppressAutoHyphens w:val="0"/>
              <w:spacing w:after="0" w:line="240" w:lineRule="auto"/>
              <w:jc w:val="both"/>
              <w:rPr>
                <w:rFonts w:ascii="Arial" w:hAnsi="Arial" w:cs="Arial"/>
                <w:bCs/>
              </w:rPr>
            </w:pPr>
          </w:p>
          <w:p w14:paraId="03AD6C97" w14:textId="77777777" w:rsidR="008C0BFE" w:rsidRPr="008C0BFE" w:rsidRDefault="008C0BFE" w:rsidP="008F645B">
            <w:pPr>
              <w:suppressAutoHyphens w:val="0"/>
              <w:spacing w:after="0" w:line="240" w:lineRule="auto"/>
              <w:jc w:val="both"/>
              <w:rPr>
                <w:rFonts w:ascii="Arial" w:hAnsi="Arial" w:cs="Arial"/>
                <w:bCs/>
              </w:rPr>
            </w:pPr>
          </w:p>
          <w:p w14:paraId="752C425C" w14:textId="77777777" w:rsidR="0002343F" w:rsidRPr="008C0BFE" w:rsidRDefault="00480408" w:rsidP="008F645B">
            <w:pPr>
              <w:suppressAutoHyphens w:val="0"/>
              <w:spacing w:after="0" w:line="240" w:lineRule="auto"/>
              <w:jc w:val="both"/>
              <w:rPr>
                <w:rFonts w:ascii="Arial" w:hAnsi="Arial" w:cs="Arial"/>
                <w:bCs/>
              </w:rPr>
            </w:pPr>
            <w:r w:rsidRPr="008C0BFE">
              <w:rPr>
                <w:rFonts w:ascii="Arial" w:hAnsi="Arial" w:cs="Arial"/>
                <w:bCs/>
              </w:rPr>
              <w:lastRenderedPageBreak/>
              <w:t xml:space="preserve">Fully </w:t>
            </w:r>
            <w:r w:rsidR="0002343F" w:rsidRPr="008C0BFE">
              <w:rPr>
                <w:rFonts w:ascii="Arial" w:hAnsi="Arial" w:cs="Arial"/>
                <w:bCs/>
              </w:rPr>
              <w:t xml:space="preserve">Implemented </w:t>
            </w:r>
          </w:p>
        </w:tc>
      </w:tr>
      <w:tr w:rsidR="007F4DE1" w:rsidRPr="008C0BFE" w14:paraId="3D9A02F0" w14:textId="77777777" w:rsidTr="00BA509A">
        <w:trPr>
          <w:trHeight w:val="300"/>
        </w:trPr>
        <w:tc>
          <w:tcPr>
            <w:tcW w:w="1602" w:type="dxa"/>
            <w:shd w:val="clear" w:color="auto" w:fill="auto"/>
            <w:noWrap/>
          </w:tcPr>
          <w:p w14:paraId="3B7FAD2D" w14:textId="1AB30BB9" w:rsidR="00FC162E" w:rsidRPr="008C0BFE" w:rsidRDefault="001260ED" w:rsidP="008F645B">
            <w:pPr>
              <w:suppressAutoHyphens w:val="0"/>
              <w:spacing w:after="0" w:line="240" w:lineRule="auto"/>
              <w:ind w:left="-79"/>
              <w:jc w:val="both"/>
              <w:rPr>
                <w:rFonts w:ascii="Arial" w:hAnsi="Arial" w:cs="Arial"/>
              </w:rPr>
            </w:pPr>
            <w:r w:rsidRPr="008C0BFE">
              <w:rPr>
                <w:rFonts w:ascii="Arial" w:hAnsi="Arial" w:cs="Arial"/>
              </w:rPr>
              <w:lastRenderedPageBreak/>
              <w:t xml:space="preserve">AO No. 5 </w:t>
            </w:r>
          </w:p>
          <w:p w14:paraId="5771EB68" w14:textId="1ED3B97D" w:rsidR="001260ED" w:rsidRPr="008C0BFE" w:rsidRDefault="001260ED" w:rsidP="008F645B">
            <w:pPr>
              <w:suppressAutoHyphens w:val="0"/>
              <w:spacing w:after="0" w:line="240" w:lineRule="auto"/>
              <w:ind w:left="-79"/>
              <w:jc w:val="both"/>
              <w:rPr>
                <w:rFonts w:ascii="Arial" w:hAnsi="Arial" w:cs="Arial"/>
              </w:rPr>
            </w:pPr>
            <w:r w:rsidRPr="008C0BFE">
              <w:rPr>
                <w:rFonts w:ascii="Arial" w:hAnsi="Arial" w:cs="Arial"/>
              </w:rPr>
              <w:t>Page 106-110</w:t>
            </w:r>
          </w:p>
        </w:tc>
        <w:tc>
          <w:tcPr>
            <w:tcW w:w="2993" w:type="dxa"/>
            <w:shd w:val="clear" w:color="auto" w:fill="auto"/>
          </w:tcPr>
          <w:p w14:paraId="4860D896" w14:textId="77777777" w:rsidR="001260ED" w:rsidRPr="00E67D6B" w:rsidRDefault="006C0A40" w:rsidP="008F645B">
            <w:pPr>
              <w:pStyle w:val="Default"/>
              <w:jc w:val="both"/>
              <w:rPr>
                <w:color w:val="auto"/>
                <w:sz w:val="22"/>
                <w:szCs w:val="22"/>
              </w:rPr>
            </w:pPr>
            <w:r w:rsidRPr="00E67D6B">
              <w:rPr>
                <w:color w:val="auto"/>
                <w:sz w:val="22"/>
                <w:szCs w:val="22"/>
              </w:rPr>
              <w:t>The faithful representation in the financial statements of the balance of the Accounts Receivable (AR) with a carrying amount of P5.064 billion as of December 31, 2022, cannot be ascertained in view of (a) discrepancies between the GL balances and the schedule of AR with Aging report totaling P558.437 million and P(13.133) million and (b) three (3) AR sub-accounts had abnormal (credit) balances totaling P6.531 million contrary to Paragraph 15 of the Philippine Accounting Standards No. 1 and QC26 of the Conceptual Framework for General Purpose Financial Report</w:t>
            </w:r>
          </w:p>
        </w:tc>
        <w:tc>
          <w:tcPr>
            <w:tcW w:w="3492" w:type="dxa"/>
            <w:shd w:val="clear" w:color="auto" w:fill="auto"/>
          </w:tcPr>
          <w:p w14:paraId="4661CA3C" w14:textId="77777777" w:rsidR="006C0A40" w:rsidRPr="00E67D6B" w:rsidRDefault="001D4DA2" w:rsidP="008F645B">
            <w:pPr>
              <w:pStyle w:val="Default"/>
              <w:jc w:val="both"/>
              <w:rPr>
                <w:color w:val="auto"/>
                <w:sz w:val="22"/>
                <w:szCs w:val="22"/>
              </w:rPr>
            </w:pPr>
            <w:r w:rsidRPr="00E67D6B">
              <w:rPr>
                <w:color w:val="auto"/>
                <w:sz w:val="22"/>
                <w:szCs w:val="22"/>
              </w:rPr>
              <w:t>We reiterated our previous year’s audit recommendations that Management direct the concerned personnel of the ABD and Branch Operating Sector to</w:t>
            </w:r>
            <w:r w:rsidR="006C0A40" w:rsidRPr="00E67D6B">
              <w:rPr>
                <w:color w:val="auto"/>
                <w:sz w:val="22"/>
                <w:szCs w:val="22"/>
              </w:rPr>
              <w:t>:</w:t>
            </w:r>
          </w:p>
          <w:p w14:paraId="30982E2C" w14:textId="77777777" w:rsidR="006C0A40" w:rsidRPr="00E67D6B" w:rsidRDefault="006C0A40" w:rsidP="008F645B">
            <w:pPr>
              <w:pStyle w:val="Default"/>
              <w:jc w:val="both"/>
              <w:rPr>
                <w:color w:val="auto"/>
                <w:sz w:val="22"/>
                <w:szCs w:val="22"/>
              </w:rPr>
            </w:pPr>
          </w:p>
          <w:p w14:paraId="593027AC" w14:textId="77777777" w:rsidR="001260ED" w:rsidRPr="00E67D6B" w:rsidRDefault="006C0A40" w:rsidP="006A19B9">
            <w:pPr>
              <w:pStyle w:val="Default"/>
              <w:numPr>
                <w:ilvl w:val="0"/>
                <w:numId w:val="20"/>
              </w:numPr>
              <w:ind w:left="409" w:hanging="409"/>
              <w:jc w:val="both"/>
              <w:rPr>
                <w:color w:val="auto"/>
                <w:sz w:val="22"/>
                <w:szCs w:val="22"/>
              </w:rPr>
            </w:pPr>
            <w:r w:rsidRPr="00E67D6B">
              <w:rPr>
                <w:color w:val="auto"/>
                <w:sz w:val="22"/>
                <w:szCs w:val="22"/>
              </w:rPr>
              <w:t xml:space="preserve">Examine and determine the causes of the discrepancies between the GL balances and the schedule of AR with Aging report as well as the abnormal (credit) balances totaling P558.437 million, </w:t>
            </w:r>
            <w:proofErr w:type="gramStart"/>
            <w:r w:rsidRPr="00E67D6B">
              <w:rPr>
                <w:color w:val="auto"/>
                <w:sz w:val="22"/>
                <w:szCs w:val="22"/>
              </w:rPr>
              <w:t>P(</w:t>
            </w:r>
            <w:proofErr w:type="gramEnd"/>
            <w:r w:rsidRPr="00E67D6B">
              <w:rPr>
                <w:color w:val="auto"/>
                <w:sz w:val="22"/>
                <w:szCs w:val="22"/>
              </w:rPr>
              <w:t>13.133) million and P6.531 million, respectively and make the necessary adjustments of the affected accounts to ensure that the balances of the affected accounts are fairly presented in the financial statements pursuant to Paragraph 15 of PAS 1</w:t>
            </w:r>
          </w:p>
          <w:p w14:paraId="276EDB96" w14:textId="77777777" w:rsidR="006C0A40" w:rsidRPr="00E67D6B" w:rsidRDefault="006C0A40" w:rsidP="006A19B9">
            <w:pPr>
              <w:pStyle w:val="Default"/>
              <w:ind w:left="409" w:hanging="409"/>
              <w:jc w:val="both"/>
              <w:rPr>
                <w:color w:val="auto"/>
                <w:sz w:val="22"/>
                <w:szCs w:val="22"/>
              </w:rPr>
            </w:pPr>
          </w:p>
          <w:p w14:paraId="62EAC4C2" w14:textId="77777777" w:rsidR="006C0A40" w:rsidRPr="00E67D6B" w:rsidRDefault="006C0A40" w:rsidP="006A19B9">
            <w:pPr>
              <w:pStyle w:val="Default"/>
              <w:numPr>
                <w:ilvl w:val="0"/>
                <w:numId w:val="20"/>
              </w:numPr>
              <w:ind w:left="409" w:hanging="409"/>
              <w:jc w:val="both"/>
              <w:rPr>
                <w:color w:val="auto"/>
                <w:sz w:val="22"/>
                <w:szCs w:val="22"/>
              </w:rPr>
            </w:pPr>
            <w:r w:rsidRPr="00E67D6B">
              <w:rPr>
                <w:color w:val="auto"/>
                <w:sz w:val="22"/>
                <w:szCs w:val="22"/>
              </w:rPr>
              <w:t>Prepare a complete schedule of the AR with aging report and SLs as required under Section 41(2) of PD No. 1445</w:t>
            </w:r>
          </w:p>
          <w:p w14:paraId="638B3A50" w14:textId="77777777" w:rsidR="006A19B9" w:rsidRPr="00E67D6B" w:rsidRDefault="006A19B9" w:rsidP="006A19B9">
            <w:pPr>
              <w:pStyle w:val="Default"/>
              <w:ind w:left="409"/>
              <w:jc w:val="both"/>
              <w:rPr>
                <w:color w:val="auto"/>
                <w:sz w:val="22"/>
                <w:szCs w:val="22"/>
              </w:rPr>
            </w:pPr>
          </w:p>
          <w:p w14:paraId="6F490838" w14:textId="77777777" w:rsidR="00BA509A" w:rsidRPr="00E67D6B" w:rsidRDefault="00BA509A" w:rsidP="006A19B9">
            <w:pPr>
              <w:pStyle w:val="Default"/>
              <w:ind w:left="409"/>
              <w:jc w:val="both"/>
              <w:rPr>
                <w:color w:val="auto"/>
                <w:sz w:val="22"/>
                <w:szCs w:val="22"/>
              </w:rPr>
            </w:pPr>
          </w:p>
        </w:tc>
        <w:tc>
          <w:tcPr>
            <w:tcW w:w="1975" w:type="dxa"/>
            <w:shd w:val="clear" w:color="auto" w:fill="auto"/>
          </w:tcPr>
          <w:p w14:paraId="5FCD4188" w14:textId="77777777" w:rsidR="001260ED" w:rsidRPr="008C0BFE" w:rsidRDefault="001260ED" w:rsidP="008F645B">
            <w:pPr>
              <w:suppressAutoHyphens w:val="0"/>
              <w:spacing w:after="0" w:line="240" w:lineRule="auto"/>
              <w:jc w:val="both"/>
              <w:rPr>
                <w:rFonts w:ascii="Arial" w:hAnsi="Arial" w:cs="Arial"/>
                <w:bCs/>
              </w:rPr>
            </w:pPr>
          </w:p>
          <w:p w14:paraId="6057DB8A" w14:textId="77777777" w:rsidR="006C0A40" w:rsidRPr="008C0BFE" w:rsidRDefault="006C0A40" w:rsidP="008F645B">
            <w:pPr>
              <w:suppressAutoHyphens w:val="0"/>
              <w:spacing w:after="0" w:line="240" w:lineRule="auto"/>
              <w:jc w:val="both"/>
              <w:rPr>
                <w:rFonts w:ascii="Arial" w:hAnsi="Arial" w:cs="Arial"/>
                <w:bCs/>
              </w:rPr>
            </w:pPr>
          </w:p>
          <w:p w14:paraId="258E34DF" w14:textId="77777777" w:rsidR="006C0A40" w:rsidRPr="008C0BFE" w:rsidRDefault="006C0A40" w:rsidP="008F645B">
            <w:pPr>
              <w:suppressAutoHyphens w:val="0"/>
              <w:spacing w:after="0" w:line="240" w:lineRule="auto"/>
              <w:jc w:val="both"/>
              <w:rPr>
                <w:rFonts w:ascii="Arial" w:hAnsi="Arial" w:cs="Arial"/>
                <w:bCs/>
              </w:rPr>
            </w:pPr>
          </w:p>
          <w:p w14:paraId="5B8F0C87" w14:textId="77777777" w:rsidR="001D4DA2" w:rsidRPr="008C0BFE" w:rsidRDefault="001D4DA2" w:rsidP="008F645B">
            <w:pPr>
              <w:suppressAutoHyphens w:val="0"/>
              <w:spacing w:after="0" w:line="240" w:lineRule="auto"/>
              <w:jc w:val="both"/>
              <w:rPr>
                <w:rFonts w:ascii="Arial" w:hAnsi="Arial" w:cs="Arial"/>
                <w:bCs/>
              </w:rPr>
            </w:pPr>
          </w:p>
          <w:p w14:paraId="19E075C1" w14:textId="77777777" w:rsidR="001D4DA2" w:rsidRPr="008C0BFE" w:rsidRDefault="001D4DA2" w:rsidP="008F645B">
            <w:pPr>
              <w:suppressAutoHyphens w:val="0"/>
              <w:spacing w:after="0" w:line="240" w:lineRule="auto"/>
              <w:jc w:val="both"/>
              <w:rPr>
                <w:rFonts w:ascii="Arial" w:hAnsi="Arial" w:cs="Arial"/>
                <w:bCs/>
              </w:rPr>
            </w:pPr>
          </w:p>
          <w:p w14:paraId="5312375E" w14:textId="77777777" w:rsidR="001D4DA2" w:rsidRPr="008C0BFE" w:rsidRDefault="001D4DA2" w:rsidP="008F645B">
            <w:pPr>
              <w:suppressAutoHyphens w:val="0"/>
              <w:spacing w:after="0" w:line="240" w:lineRule="auto"/>
              <w:jc w:val="both"/>
              <w:rPr>
                <w:rFonts w:ascii="Arial" w:hAnsi="Arial" w:cs="Arial"/>
                <w:bCs/>
              </w:rPr>
            </w:pPr>
          </w:p>
          <w:p w14:paraId="28665D32" w14:textId="77777777" w:rsidR="006C0A40" w:rsidRPr="008C0BFE" w:rsidRDefault="006C0A40" w:rsidP="008F645B">
            <w:pPr>
              <w:suppressAutoHyphens w:val="0"/>
              <w:spacing w:after="0" w:line="240" w:lineRule="auto"/>
              <w:jc w:val="both"/>
              <w:rPr>
                <w:rFonts w:ascii="Arial" w:hAnsi="Arial" w:cs="Arial"/>
                <w:bCs/>
              </w:rPr>
            </w:pPr>
            <w:r w:rsidRPr="008C0BFE">
              <w:rPr>
                <w:rFonts w:ascii="Arial" w:hAnsi="Arial" w:cs="Arial"/>
                <w:bCs/>
              </w:rPr>
              <w:t>Not Implemented</w:t>
            </w:r>
          </w:p>
          <w:p w14:paraId="7A121443" w14:textId="77777777" w:rsidR="006C0A40" w:rsidRPr="008C0BFE" w:rsidRDefault="006C0A40" w:rsidP="008F645B">
            <w:pPr>
              <w:suppressAutoHyphens w:val="0"/>
              <w:spacing w:after="0" w:line="240" w:lineRule="auto"/>
              <w:jc w:val="both"/>
              <w:rPr>
                <w:rFonts w:ascii="Arial" w:hAnsi="Arial" w:cs="Arial"/>
                <w:bCs/>
              </w:rPr>
            </w:pPr>
          </w:p>
          <w:p w14:paraId="22A04B06" w14:textId="77777777" w:rsidR="00031033" w:rsidRPr="008C0BFE" w:rsidRDefault="00031033" w:rsidP="00031033">
            <w:pPr>
              <w:suppressAutoHyphens w:val="0"/>
              <w:spacing w:after="0" w:line="240" w:lineRule="auto"/>
              <w:jc w:val="both"/>
              <w:rPr>
                <w:rFonts w:ascii="Arial" w:hAnsi="Arial" w:cs="Arial"/>
                <w:bCs/>
              </w:rPr>
            </w:pPr>
            <w:r w:rsidRPr="008C0BFE">
              <w:rPr>
                <w:rFonts w:ascii="Arial" w:hAnsi="Arial" w:cs="Arial"/>
                <w:bCs/>
              </w:rPr>
              <w:t xml:space="preserve">Reiterated with updates under Part II – Observation and </w:t>
            </w:r>
            <w:r w:rsidR="00EB776C" w:rsidRPr="008C0BFE">
              <w:rPr>
                <w:rFonts w:ascii="Arial" w:hAnsi="Arial" w:cs="Arial"/>
                <w:bCs/>
              </w:rPr>
              <w:t>Recommendation No. 5</w:t>
            </w:r>
            <w:r w:rsidRPr="008C0BFE">
              <w:rPr>
                <w:rFonts w:ascii="Arial" w:hAnsi="Arial" w:cs="Arial"/>
                <w:bCs/>
              </w:rPr>
              <w:t xml:space="preserve"> of this report.</w:t>
            </w:r>
          </w:p>
          <w:p w14:paraId="7A6AE23E" w14:textId="77777777" w:rsidR="006C0A40" w:rsidRPr="008C0BFE" w:rsidRDefault="006C0A40" w:rsidP="008F645B">
            <w:pPr>
              <w:suppressAutoHyphens w:val="0"/>
              <w:spacing w:after="0" w:line="240" w:lineRule="auto"/>
              <w:jc w:val="both"/>
              <w:rPr>
                <w:rFonts w:ascii="Arial" w:hAnsi="Arial" w:cs="Arial"/>
                <w:bCs/>
              </w:rPr>
            </w:pPr>
          </w:p>
          <w:p w14:paraId="71766626" w14:textId="77777777" w:rsidR="006C0A40" w:rsidRPr="008C0BFE" w:rsidRDefault="006C0A40" w:rsidP="008F645B">
            <w:pPr>
              <w:suppressAutoHyphens w:val="0"/>
              <w:spacing w:after="0" w:line="240" w:lineRule="auto"/>
              <w:jc w:val="both"/>
              <w:rPr>
                <w:rFonts w:ascii="Arial" w:hAnsi="Arial" w:cs="Arial"/>
                <w:bCs/>
              </w:rPr>
            </w:pPr>
          </w:p>
          <w:p w14:paraId="6639A2EF" w14:textId="77777777" w:rsidR="006C0A40" w:rsidRPr="008C0BFE" w:rsidRDefault="006C0A40" w:rsidP="008F645B">
            <w:pPr>
              <w:suppressAutoHyphens w:val="0"/>
              <w:spacing w:after="0" w:line="240" w:lineRule="auto"/>
              <w:jc w:val="both"/>
              <w:rPr>
                <w:rFonts w:ascii="Arial" w:hAnsi="Arial" w:cs="Arial"/>
                <w:bCs/>
              </w:rPr>
            </w:pPr>
          </w:p>
          <w:p w14:paraId="4C2C90A7" w14:textId="77777777" w:rsidR="006C0A40" w:rsidRPr="008C0BFE" w:rsidRDefault="006C0A40" w:rsidP="008F645B">
            <w:pPr>
              <w:suppressAutoHyphens w:val="0"/>
              <w:spacing w:after="0" w:line="240" w:lineRule="auto"/>
              <w:jc w:val="both"/>
              <w:rPr>
                <w:rFonts w:ascii="Arial" w:hAnsi="Arial" w:cs="Arial"/>
                <w:bCs/>
              </w:rPr>
            </w:pPr>
          </w:p>
          <w:p w14:paraId="64B62ABC" w14:textId="77777777" w:rsidR="006C0A40" w:rsidRPr="008C0BFE" w:rsidRDefault="006C0A40" w:rsidP="008F645B">
            <w:pPr>
              <w:suppressAutoHyphens w:val="0"/>
              <w:spacing w:after="0" w:line="240" w:lineRule="auto"/>
              <w:jc w:val="both"/>
              <w:rPr>
                <w:rFonts w:ascii="Arial" w:hAnsi="Arial" w:cs="Arial"/>
                <w:bCs/>
              </w:rPr>
            </w:pPr>
          </w:p>
          <w:p w14:paraId="3B9266DB" w14:textId="77777777" w:rsidR="006C0A40" w:rsidRPr="008C0BFE" w:rsidRDefault="006C0A40" w:rsidP="008F645B">
            <w:pPr>
              <w:suppressAutoHyphens w:val="0"/>
              <w:spacing w:after="0" w:line="240" w:lineRule="auto"/>
              <w:jc w:val="both"/>
              <w:rPr>
                <w:rFonts w:ascii="Arial" w:hAnsi="Arial" w:cs="Arial"/>
                <w:bCs/>
              </w:rPr>
            </w:pPr>
          </w:p>
          <w:p w14:paraId="7A80C35C" w14:textId="77777777" w:rsidR="006C0A40" w:rsidRPr="008C0BFE" w:rsidRDefault="006C0A40" w:rsidP="008F645B">
            <w:pPr>
              <w:suppressAutoHyphens w:val="0"/>
              <w:spacing w:after="0" w:line="240" w:lineRule="auto"/>
              <w:jc w:val="both"/>
              <w:rPr>
                <w:rFonts w:ascii="Arial" w:hAnsi="Arial" w:cs="Arial"/>
                <w:bCs/>
              </w:rPr>
            </w:pPr>
          </w:p>
          <w:p w14:paraId="38D39E87" w14:textId="77777777" w:rsidR="006C0A40" w:rsidRPr="008C0BFE" w:rsidRDefault="006C0A40" w:rsidP="008F645B">
            <w:pPr>
              <w:suppressAutoHyphens w:val="0"/>
              <w:spacing w:after="0" w:line="240" w:lineRule="auto"/>
              <w:jc w:val="both"/>
              <w:rPr>
                <w:rFonts w:ascii="Arial" w:hAnsi="Arial" w:cs="Arial"/>
                <w:bCs/>
              </w:rPr>
            </w:pPr>
          </w:p>
          <w:p w14:paraId="29756F7F" w14:textId="77777777" w:rsidR="006C0A40" w:rsidRPr="008C0BFE" w:rsidRDefault="006C0A40" w:rsidP="008F645B">
            <w:pPr>
              <w:suppressAutoHyphens w:val="0"/>
              <w:spacing w:after="0" w:line="240" w:lineRule="auto"/>
              <w:jc w:val="both"/>
              <w:rPr>
                <w:rFonts w:ascii="Arial" w:hAnsi="Arial" w:cs="Arial"/>
                <w:bCs/>
              </w:rPr>
            </w:pPr>
          </w:p>
          <w:p w14:paraId="1943156F" w14:textId="77777777" w:rsidR="006C0A40" w:rsidRPr="008C0BFE" w:rsidRDefault="00480408" w:rsidP="008F645B">
            <w:pPr>
              <w:suppressAutoHyphens w:val="0"/>
              <w:spacing w:after="0" w:line="240" w:lineRule="auto"/>
              <w:jc w:val="both"/>
              <w:rPr>
                <w:rFonts w:ascii="Arial" w:hAnsi="Arial" w:cs="Arial"/>
                <w:bCs/>
              </w:rPr>
            </w:pPr>
            <w:r w:rsidRPr="008C0BFE">
              <w:rPr>
                <w:rFonts w:ascii="Arial" w:hAnsi="Arial" w:cs="Arial"/>
                <w:bCs/>
              </w:rPr>
              <w:t xml:space="preserve">Fully </w:t>
            </w:r>
            <w:r w:rsidR="006C0A40" w:rsidRPr="008C0BFE">
              <w:rPr>
                <w:rFonts w:ascii="Arial" w:hAnsi="Arial" w:cs="Arial"/>
                <w:bCs/>
              </w:rPr>
              <w:t xml:space="preserve">Implemented </w:t>
            </w:r>
          </w:p>
        </w:tc>
      </w:tr>
      <w:tr w:rsidR="007F4DE1" w:rsidRPr="008C0BFE" w14:paraId="6271ED0F" w14:textId="77777777" w:rsidTr="00BA509A">
        <w:trPr>
          <w:trHeight w:val="300"/>
        </w:trPr>
        <w:tc>
          <w:tcPr>
            <w:tcW w:w="1602" w:type="dxa"/>
            <w:shd w:val="clear" w:color="auto" w:fill="auto"/>
            <w:noWrap/>
          </w:tcPr>
          <w:p w14:paraId="7A41C1C6" w14:textId="549C3E38" w:rsidR="00FC162E" w:rsidRPr="008C0BFE" w:rsidRDefault="008A4CB2" w:rsidP="008F645B">
            <w:pPr>
              <w:suppressAutoHyphens w:val="0"/>
              <w:spacing w:after="0" w:line="240" w:lineRule="auto"/>
              <w:ind w:left="-79"/>
              <w:jc w:val="both"/>
              <w:rPr>
                <w:rFonts w:ascii="Arial" w:hAnsi="Arial" w:cs="Arial"/>
              </w:rPr>
            </w:pPr>
            <w:r w:rsidRPr="008C0BFE">
              <w:rPr>
                <w:rFonts w:ascii="Arial" w:hAnsi="Arial" w:cs="Arial"/>
              </w:rPr>
              <w:t xml:space="preserve">AO No. 6 </w:t>
            </w:r>
          </w:p>
          <w:p w14:paraId="586F9331" w14:textId="08C4A02E" w:rsidR="00092879" w:rsidRPr="008C0BFE" w:rsidRDefault="008A4CB2" w:rsidP="008F645B">
            <w:pPr>
              <w:suppressAutoHyphens w:val="0"/>
              <w:spacing w:after="0" w:line="240" w:lineRule="auto"/>
              <w:ind w:left="-79"/>
              <w:jc w:val="both"/>
              <w:rPr>
                <w:rFonts w:ascii="Arial" w:hAnsi="Arial" w:cs="Arial"/>
              </w:rPr>
            </w:pPr>
            <w:r w:rsidRPr="008C0BFE">
              <w:rPr>
                <w:rFonts w:ascii="Arial" w:hAnsi="Arial" w:cs="Arial"/>
              </w:rPr>
              <w:t>Page 110-119</w:t>
            </w:r>
          </w:p>
        </w:tc>
        <w:tc>
          <w:tcPr>
            <w:tcW w:w="2993" w:type="dxa"/>
            <w:shd w:val="clear" w:color="auto" w:fill="auto"/>
          </w:tcPr>
          <w:p w14:paraId="4B6EAF1E" w14:textId="77777777" w:rsidR="001B4962" w:rsidRPr="00E67D6B" w:rsidRDefault="001B4962" w:rsidP="008F645B">
            <w:pPr>
              <w:pStyle w:val="Default"/>
              <w:jc w:val="both"/>
              <w:rPr>
                <w:color w:val="auto"/>
                <w:sz w:val="22"/>
                <w:szCs w:val="22"/>
              </w:rPr>
            </w:pPr>
            <w:r w:rsidRPr="00E67D6B">
              <w:rPr>
                <w:color w:val="auto"/>
                <w:sz w:val="22"/>
                <w:szCs w:val="22"/>
              </w:rPr>
              <w:t xml:space="preserve">The existence, completeness, validity and reliability of the Financial Liabilities totaling P9.169 billion could not be established due to the following deficiencies, contrary to Philippine Accounting Standard 1 and Sections 111 (1) and 114 (2) of Presidential Decree No. 1445: </w:t>
            </w:r>
          </w:p>
          <w:p w14:paraId="7040F673" w14:textId="77777777" w:rsidR="001B4962" w:rsidRPr="00E67D6B" w:rsidRDefault="001B4962" w:rsidP="008F645B">
            <w:pPr>
              <w:pStyle w:val="Default"/>
              <w:jc w:val="both"/>
              <w:rPr>
                <w:color w:val="auto"/>
                <w:sz w:val="22"/>
                <w:szCs w:val="22"/>
              </w:rPr>
            </w:pPr>
          </w:p>
          <w:p w14:paraId="073B90D8" w14:textId="77777777" w:rsidR="001B4962" w:rsidRPr="00E67D6B" w:rsidRDefault="001B4962" w:rsidP="008F645B">
            <w:pPr>
              <w:pStyle w:val="Default"/>
              <w:jc w:val="both"/>
              <w:rPr>
                <w:color w:val="auto"/>
                <w:sz w:val="22"/>
                <w:szCs w:val="22"/>
              </w:rPr>
            </w:pPr>
            <w:r w:rsidRPr="00E67D6B">
              <w:rPr>
                <w:color w:val="auto"/>
                <w:sz w:val="22"/>
                <w:szCs w:val="22"/>
              </w:rPr>
              <w:t xml:space="preserve">a. Discrepancy between the General Ledger (GL) balances and the supporting schedules of the Financial Liabilities amounting to P466.566 million; </w:t>
            </w:r>
          </w:p>
          <w:p w14:paraId="133053B6" w14:textId="77777777" w:rsidR="001B4962" w:rsidRPr="00E67D6B" w:rsidRDefault="001B4962" w:rsidP="008F645B">
            <w:pPr>
              <w:pStyle w:val="Default"/>
              <w:jc w:val="both"/>
              <w:rPr>
                <w:color w:val="auto"/>
                <w:sz w:val="22"/>
                <w:szCs w:val="22"/>
              </w:rPr>
            </w:pPr>
          </w:p>
          <w:p w14:paraId="40082B28" w14:textId="77777777" w:rsidR="001B4962" w:rsidRPr="00E67D6B" w:rsidRDefault="001B4962" w:rsidP="008F645B">
            <w:pPr>
              <w:pStyle w:val="Default"/>
              <w:jc w:val="both"/>
              <w:rPr>
                <w:color w:val="auto"/>
                <w:sz w:val="22"/>
                <w:szCs w:val="22"/>
              </w:rPr>
            </w:pPr>
            <w:r w:rsidRPr="00E67D6B">
              <w:rPr>
                <w:color w:val="auto"/>
                <w:sz w:val="22"/>
                <w:szCs w:val="22"/>
              </w:rPr>
              <w:t xml:space="preserve">b. Existence of long outstanding payables amounting to P462.370 million, P3.889 billion and P745.232 million for Prize Fund, Charity Fund, and AP-Miscellaneous-Operating Fund, respectively; </w:t>
            </w:r>
          </w:p>
          <w:p w14:paraId="146C86A9" w14:textId="77777777" w:rsidR="001B4962" w:rsidRPr="00E67D6B" w:rsidRDefault="001B4962" w:rsidP="008F645B">
            <w:pPr>
              <w:pStyle w:val="Default"/>
              <w:jc w:val="both"/>
              <w:rPr>
                <w:color w:val="auto"/>
                <w:sz w:val="22"/>
                <w:szCs w:val="22"/>
              </w:rPr>
            </w:pPr>
          </w:p>
          <w:p w14:paraId="2276AECE" w14:textId="77777777" w:rsidR="001B4962" w:rsidRPr="00E67D6B" w:rsidRDefault="001B4962" w:rsidP="008F645B">
            <w:pPr>
              <w:pStyle w:val="Default"/>
              <w:jc w:val="both"/>
              <w:rPr>
                <w:color w:val="auto"/>
                <w:sz w:val="22"/>
                <w:szCs w:val="22"/>
              </w:rPr>
            </w:pPr>
            <w:r w:rsidRPr="00E67D6B">
              <w:rPr>
                <w:color w:val="auto"/>
                <w:sz w:val="22"/>
                <w:szCs w:val="22"/>
              </w:rPr>
              <w:t xml:space="preserve">c. Abnormal (debit) GL balances of AP-OF Head Office account, AP-Miscellaneous Branch account amounting to P45.762 million and P35.171 million, respectively; and abnormal balances presented in AP-CF Schedule and Aging of AP-Miscellaneous (OF) amounting to P0.845 million and P90.298 million, respectively; </w:t>
            </w:r>
          </w:p>
          <w:p w14:paraId="3E1CCB29" w14:textId="77777777" w:rsidR="001B4962" w:rsidRPr="00E67D6B" w:rsidRDefault="001B4962" w:rsidP="008F645B">
            <w:pPr>
              <w:pStyle w:val="Default"/>
              <w:jc w:val="both"/>
              <w:rPr>
                <w:color w:val="auto"/>
                <w:sz w:val="22"/>
                <w:szCs w:val="22"/>
              </w:rPr>
            </w:pPr>
          </w:p>
          <w:p w14:paraId="71AAB1D1" w14:textId="77777777" w:rsidR="001B4962" w:rsidRPr="00E67D6B" w:rsidRDefault="001B4962" w:rsidP="008F645B">
            <w:pPr>
              <w:pStyle w:val="Default"/>
              <w:jc w:val="both"/>
              <w:rPr>
                <w:color w:val="auto"/>
                <w:sz w:val="22"/>
                <w:szCs w:val="22"/>
              </w:rPr>
            </w:pPr>
            <w:r w:rsidRPr="00E67D6B">
              <w:rPr>
                <w:color w:val="auto"/>
                <w:sz w:val="22"/>
                <w:szCs w:val="22"/>
              </w:rPr>
              <w:t xml:space="preserve">d. Understatement of AP-CF account in the amount of P12.140 million due to erroneous recording of a cancelled check as an issued check; and </w:t>
            </w:r>
          </w:p>
          <w:p w14:paraId="3C749B88" w14:textId="77777777" w:rsidR="001B4962" w:rsidRPr="00E67D6B" w:rsidRDefault="001B4962" w:rsidP="008F645B">
            <w:pPr>
              <w:pStyle w:val="Default"/>
              <w:jc w:val="both"/>
              <w:rPr>
                <w:color w:val="auto"/>
                <w:sz w:val="22"/>
                <w:szCs w:val="22"/>
              </w:rPr>
            </w:pPr>
          </w:p>
          <w:p w14:paraId="607F8CF1" w14:textId="77777777" w:rsidR="00092879" w:rsidRPr="00E67D6B" w:rsidRDefault="001B4962" w:rsidP="008F645B">
            <w:pPr>
              <w:pStyle w:val="Default"/>
              <w:jc w:val="both"/>
              <w:rPr>
                <w:color w:val="auto"/>
                <w:sz w:val="22"/>
                <w:szCs w:val="22"/>
              </w:rPr>
            </w:pPr>
            <w:r w:rsidRPr="00E67D6B">
              <w:rPr>
                <w:color w:val="auto"/>
                <w:sz w:val="22"/>
                <w:szCs w:val="22"/>
              </w:rPr>
              <w:t>e. Non-maintenance of SL for each creditor/payee to support the GL balances of the Financial Liabilities.</w:t>
            </w:r>
          </w:p>
          <w:p w14:paraId="184EDFE8" w14:textId="77777777" w:rsidR="00761A42" w:rsidRPr="00E67D6B" w:rsidRDefault="00761A42" w:rsidP="008F645B">
            <w:pPr>
              <w:pStyle w:val="Default"/>
              <w:jc w:val="both"/>
              <w:rPr>
                <w:color w:val="auto"/>
                <w:sz w:val="22"/>
                <w:szCs w:val="22"/>
              </w:rPr>
            </w:pPr>
          </w:p>
        </w:tc>
        <w:tc>
          <w:tcPr>
            <w:tcW w:w="3492" w:type="dxa"/>
            <w:shd w:val="clear" w:color="auto" w:fill="auto"/>
          </w:tcPr>
          <w:p w14:paraId="24F07F68" w14:textId="77777777" w:rsidR="00092879" w:rsidRPr="00E67D6B" w:rsidRDefault="00576DE3" w:rsidP="008F645B">
            <w:pPr>
              <w:pStyle w:val="Default"/>
              <w:jc w:val="both"/>
              <w:rPr>
                <w:color w:val="auto"/>
                <w:sz w:val="22"/>
                <w:szCs w:val="22"/>
              </w:rPr>
            </w:pPr>
            <w:r w:rsidRPr="00E67D6B">
              <w:rPr>
                <w:color w:val="auto"/>
                <w:sz w:val="22"/>
                <w:szCs w:val="22"/>
              </w:rPr>
              <w:t xml:space="preserve">We recommended </w:t>
            </w:r>
            <w:r w:rsidR="00984DD7" w:rsidRPr="00E67D6B">
              <w:rPr>
                <w:color w:val="auto"/>
                <w:sz w:val="22"/>
                <w:szCs w:val="22"/>
              </w:rPr>
              <w:t>Management</w:t>
            </w:r>
            <w:r w:rsidRPr="00E67D6B">
              <w:rPr>
                <w:color w:val="auto"/>
                <w:sz w:val="22"/>
                <w:szCs w:val="22"/>
              </w:rPr>
              <w:t xml:space="preserve"> to direct ABD to</w:t>
            </w:r>
            <w:r w:rsidR="00984DD7" w:rsidRPr="00E67D6B">
              <w:rPr>
                <w:color w:val="auto"/>
                <w:sz w:val="22"/>
                <w:szCs w:val="22"/>
              </w:rPr>
              <w:t>:</w:t>
            </w:r>
          </w:p>
          <w:p w14:paraId="39546E22" w14:textId="77777777" w:rsidR="00984DD7" w:rsidRPr="00E67D6B" w:rsidRDefault="00984DD7" w:rsidP="008F645B">
            <w:pPr>
              <w:pStyle w:val="Default"/>
              <w:jc w:val="both"/>
              <w:rPr>
                <w:color w:val="auto"/>
                <w:sz w:val="22"/>
                <w:szCs w:val="22"/>
              </w:rPr>
            </w:pPr>
          </w:p>
          <w:p w14:paraId="7711CE6A" w14:textId="77777777" w:rsidR="00984DD7" w:rsidRPr="00E67D6B" w:rsidRDefault="00984DD7" w:rsidP="00761A42">
            <w:pPr>
              <w:pStyle w:val="Default"/>
              <w:numPr>
                <w:ilvl w:val="0"/>
                <w:numId w:val="21"/>
              </w:numPr>
              <w:ind w:left="409" w:hanging="409"/>
              <w:jc w:val="both"/>
              <w:rPr>
                <w:color w:val="auto"/>
                <w:sz w:val="22"/>
                <w:szCs w:val="22"/>
              </w:rPr>
            </w:pPr>
            <w:r w:rsidRPr="00E67D6B">
              <w:rPr>
                <w:color w:val="auto"/>
                <w:sz w:val="22"/>
                <w:szCs w:val="22"/>
              </w:rPr>
              <w:t>Analyze and determine the causes of the discrepancies between the General Ledger balances and the supporting schedules for the Financial Liabilities and make the necessary adjustments. Henceforth, ensure that GL balances are duly supported with SL</w:t>
            </w:r>
          </w:p>
          <w:p w14:paraId="01289DF7" w14:textId="77777777" w:rsidR="00984DD7" w:rsidRPr="00E67D6B" w:rsidRDefault="00984DD7" w:rsidP="00761A42">
            <w:pPr>
              <w:pStyle w:val="Default"/>
              <w:ind w:left="409" w:hanging="409"/>
              <w:jc w:val="both"/>
              <w:rPr>
                <w:color w:val="auto"/>
                <w:sz w:val="22"/>
                <w:szCs w:val="22"/>
              </w:rPr>
            </w:pPr>
          </w:p>
          <w:p w14:paraId="0E40BE1D" w14:textId="77777777" w:rsidR="00984DD7" w:rsidRPr="00E67D6B" w:rsidRDefault="00984DD7" w:rsidP="00761A42">
            <w:pPr>
              <w:pStyle w:val="Default"/>
              <w:numPr>
                <w:ilvl w:val="0"/>
                <w:numId w:val="21"/>
              </w:numPr>
              <w:ind w:left="409" w:hanging="409"/>
              <w:jc w:val="both"/>
              <w:rPr>
                <w:color w:val="auto"/>
                <w:sz w:val="22"/>
                <w:szCs w:val="22"/>
              </w:rPr>
            </w:pPr>
            <w:r w:rsidRPr="00E67D6B">
              <w:rPr>
                <w:color w:val="auto"/>
                <w:sz w:val="22"/>
                <w:szCs w:val="22"/>
              </w:rPr>
              <w:t>Verify the validity of the long outstanding payables under Prize Fund, Charity Fund and AP-Miscellaneous-Operating Fund amounting to P462.370 million, P3.889 billion and P745.232 million, respectively, after which prepare and record the required adjusting entries</w:t>
            </w:r>
          </w:p>
          <w:p w14:paraId="64CA068C" w14:textId="77777777" w:rsidR="00984DD7" w:rsidRPr="00E67D6B" w:rsidRDefault="00984DD7" w:rsidP="00761A42">
            <w:pPr>
              <w:pStyle w:val="Default"/>
              <w:ind w:left="409" w:hanging="409"/>
              <w:jc w:val="both"/>
              <w:rPr>
                <w:color w:val="auto"/>
                <w:sz w:val="22"/>
                <w:szCs w:val="22"/>
              </w:rPr>
            </w:pPr>
          </w:p>
          <w:p w14:paraId="356A0E0D" w14:textId="77777777" w:rsidR="00984DD7" w:rsidRPr="00E67D6B" w:rsidRDefault="00984DD7" w:rsidP="00761A42">
            <w:pPr>
              <w:pStyle w:val="Default"/>
              <w:numPr>
                <w:ilvl w:val="0"/>
                <w:numId w:val="21"/>
              </w:numPr>
              <w:ind w:left="409" w:hanging="409"/>
              <w:jc w:val="both"/>
              <w:rPr>
                <w:color w:val="auto"/>
                <w:sz w:val="22"/>
                <w:szCs w:val="22"/>
              </w:rPr>
            </w:pPr>
            <w:r w:rsidRPr="00E67D6B">
              <w:rPr>
                <w:color w:val="auto"/>
                <w:sz w:val="22"/>
                <w:szCs w:val="22"/>
              </w:rPr>
              <w:t>Analyze the abnormal (debit) balances of the AP-OF, AP-CF and AP Miscellaneous accounts and book up the necessary adjustments</w:t>
            </w:r>
          </w:p>
          <w:p w14:paraId="40A9DB25" w14:textId="77777777" w:rsidR="00984DD7" w:rsidRPr="00E67D6B" w:rsidRDefault="00984DD7" w:rsidP="00761A42">
            <w:pPr>
              <w:pStyle w:val="Default"/>
              <w:ind w:left="409" w:hanging="409"/>
              <w:jc w:val="both"/>
              <w:rPr>
                <w:color w:val="auto"/>
                <w:sz w:val="22"/>
                <w:szCs w:val="22"/>
              </w:rPr>
            </w:pPr>
          </w:p>
          <w:p w14:paraId="4F48ECC9" w14:textId="77777777" w:rsidR="00031033" w:rsidRPr="00E67D6B" w:rsidRDefault="00031033" w:rsidP="00761A42">
            <w:pPr>
              <w:pStyle w:val="Default"/>
              <w:ind w:left="409" w:hanging="409"/>
              <w:jc w:val="both"/>
              <w:rPr>
                <w:color w:val="auto"/>
                <w:sz w:val="22"/>
                <w:szCs w:val="22"/>
              </w:rPr>
            </w:pPr>
          </w:p>
          <w:p w14:paraId="3BB0CCC3" w14:textId="77777777" w:rsidR="00031033" w:rsidRPr="00E67D6B" w:rsidRDefault="00031033" w:rsidP="00761A42">
            <w:pPr>
              <w:pStyle w:val="Default"/>
              <w:ind w:left="409" w:hanging="409"/>
              <w:jc w:val="both"/>
              <w:rPr>
                <w:color w:val="auto"/>
                <w:sz w:val="22"/>
                <w:szCs w:val="22"/>
              </w:rPr>
            </w:pPr>
          </w:p>
          <w:p w14:paraId="08AC2458" w14:textId="77777777" w:rsidR="00984DD7" w:rsidRPr="00E67D6B" w:rsidRDefault="00984DD7" w:rsidP="00761A42">
            <w:pPr>
              <w:pStyle w:val="Default"/>
              <w:numPr>
                <w:ilvl w:val="0"/>
                <w:numId w:val="21"/>
              </w:numPr>
              <w:ind w:left="409" w:hanging="409"/>
              <w:jc w:val="both"/>
              <w:rPr>
                <w:color w:val="auto"/>
                <w:sz w:val="22"/>
                <w:szCs w:val="22"/>
              </w:rPr>
            </w:pPr>
            <w:r w:rsidRPr="00E67D6B">
              <w:rPr>
                <w:color w:val="auto"/>
                <w:sz w:val="22"/>
                <w:szCs w:val="22"/>
              </w:rPr>
              <w:t>Prepare the SL per creditor/payee to support the General Ledger balances of the AP-PF, AP-CF, AP-GL, AP-OF and AP-Miscellaneous accounts both for Head Office and Branches</w:t>
            </w:r>
          </w:p>
        </w:tc>
        <w:tc>
          <w:tcPr>
            <w:tcW w:w="1975" w:type="dxa"/>
            <w:shd w:val="clear" w:color="auto" w:fill="auto"/>
          </w:tcPr>
          <w:p w14:paraId="4EFAECBB" w14:textId="77777777" w:rsidR="00092879" w:rsidRPr="008C0BFE" w:rsidRDefault="00092879" w:rsidP="008F645B">
            <w:pPr>
              <w:suppressAutoHyphens w:val="0"/>
              <w:spacing w:after="0" w:line="240" w:lineRule="auto"/>
              <w:jc w:val="both"/>
              <w:rPr>
                <w:rFonts w:ascii="Arial" w:hAnsi="Arial" w:cs="Arial"/>
                <w:bCs/>
              </w:rPr>
            </w:pPr>
          </w:p>
          <w:p w14:paraId="0B589495" w14:textId="77777777" w:rsidR="00984DD7" w:rsidRPr="008C0BFE" w:rsidRDefault="00984DD7" w:rsidP="008F645B">
            <w:pPr>
              <w:suppressAutoHyphens w:val="0"/>
              <w:spacing w:after="0" w:line="240" w:lineRule="auto"/>
              <w:jc w:val="both"/>
              <w:rPr>
                <w:rFonts w:ascii="Arial" w:hAnsi="Arial" w:cs="Arial"/>
                <w:bCs/>
              </w:rPr>
            </w:pPr>
          </w:p>
          <w:p w14:paraId="6048D904" w14:textId="77777777" w:rsidR="00984DD7" w:rsidRPr="008C0BFE" w:rsidRDefault="00984DD7" w:rsidP="008F645B">
            <w:pPr>
              <w:suppressAutoHyphens w:val="0"/>
              <w:spacing w:after="0" w:line="240" w:lineRule="auto"/>
              <w:jc w:val="both"/>
              <w:rPr>
                <w:rFonts w:ascii="Arial" w:hAnsi="Arial" w:cs="Arial"/>
                <w:bCs/>
              </w:rPr>
            </w:pPr>
          </w:p>
          <w:p w14:paraId="65BA53D4" w14:textId="77777777" w:rsidR="00984DD7" w:rsidRPr="008C0BFE" w:rsidRDefault="00984DD7" w:rsidP="008F645B">
            <w:pPr>
              <w:suppressAutoHyphens w:val="0"/>
              <w:spacing w:after="0" w:line="240" w:lineRule="auto"/>
              <w:jc w:val="both"/>
              <w:rPr>
                <w:rFonts w:ascii="Arial" w:hAnsi="Arial" w:cs="Arial"/>
                <w:bCs/>
              </w:rPr>
            </w:pPr>
            <w:r w:rsidRPr="008C0BFE">
              <w:rPr>
                <w:rFonts w:ascii="Arial" w:hAnsi="Arial" w:cs="Arial"/>
                <w:bCs/>
              </w:rPr>
              <w:t>Not Implemented</w:t>
            </w:r>
          </w:p>
          <w:p w14:paraId="382EE301" w14:textId="77777777" w:rsidR="00984DD7" w:rsidRPr="008C0BFE" w:rsidRDefault="00984DD7" w:rsidP="008F645B">
            <w:pPr>
              <w:suppressAutoHyphens w:val="0"/>
              <w:spacing w:after="0" w:line="240" w:lineRule="auto"/>
              <w:jc w:val="both"/>
              <w:rPr>
                <w:rFonts w:ascii="Arial" w:hAnsi="Arial" w:cs="Arial"/>
                <w:bCs/>
              </w:rPr>
            </w:pPr>
          </w:p>
          <w:p w14:paraId="79C761EB" w14:textId="77777777" w:rsidR="00031033" w:rsidRPr="008C0BFE" w:rsidRDefault="00031033" w:rsidP="00031033">
            <w:pPr>
              <w:suppressAutoHyphens w:val="0"/>
              <w:spacing w:after="0" w:line="240" w:lineRule="auto"/>
              <w:jc w:val="both"/>
              <w:rPr>
                <w:rFonts w:ascii="Arial" w:hAnsi="Arial" w:cs="Arial"/>
                <w:bCs/>
              </w:rPr>
            </w:pPr>
            <w:r w:rsidRPr="008C0BFE">
              <w:rPr>
                <w:rFonts w:ascii="Arial" w:hAnsi="Arial" w:cs="Arial"/>
                <w:bCs/>
              </w:rPr>
              <w:t>Reiterated with updates under Part II – Obse</w:t>
            </w:r>
            <w:r w:rsidR="00EB776C" w:rsidRPr="008C0BFE">
              <w:rPr>
                <w:rFonts w:ascii="Arial" w:hAnsi="Arial" w:cs="Arial"/>
                <w:bCs/>
              </w:rPr>
              <w:t>rvation and Recommendation No. 4</w:t>
            </w:r>
            <w:r w:rsidRPr="008C0BFE">
              <w:rPr>
                <w:rFonts w:ascii="Arial" w:hAnsi="Arial" w:cs="Arial"/>
                <w:bCs/>
              </w:rPr>
              <w:t xml:space="preserve"> of this report.</w:t>
            </w:r>
          </w:p>
          <w:p w14:paraId="71047C4A" w14:textId="77777777" w:rsidR="00984DD7" w:rsidRPr="008C0BFE" w:rsidRDefault="00984DD7" w:rsidP="008F645B">
            <w:pPr>
              <w:suppressAutoHyphens w:val="0"/>
              <w:spacing w:after="0" w:line="240" w:lineRule="auto"/>
              <w:jc w:val="both"/>
              <w:rPr>
                <w:rFonts w:ascii="Arial" w:hAnsi="Arial" w:cs="Arial"/>
                <w:bCs/>
              </w:rPr>
            </w:pPr>
          </w:p>
          <w:p w14:paraId="54210FE7" w14:textId="77777777" w:rsidR="00984DD7" w:rsidRPr="008C0BFE" w:rsidRDefault="00984DD7" w:rsidP="008F645B">
            <w:pPr>
              <w:suppressAutoHyphens w:val="0"/>
              <w:spacing w:after="0" w:line="240" w:lineRule="auto"/>
              <w:jc w:val="both"/>
              <w:rPr>
                <w:rFonts w:ascii="Arial" w:hAnsi="Arial" w:cs="Arial"/>
                <w:bCs/>
              </w:rPr>
            </w:pPr>
          </w:p>
          <w:p w14:paraId="2FC35302" w14:textId="77777777" w:rsidR="00984DD7" w:rsidRPr="008C0BFE" w:rsidRDefault="00984DD7" w:rsidP="008F645B">
            <w:pPr>
              <w:suppressAutoHyphens w:val="0"/>
              <w:spacing w:after="0" w:line="240" w:lineRule="auto"/>
              <w:jc w:val="both"/>
              <w:rPr>
                <w:rFonts w:ascii="Arial" w:hAnsi="Arial" w:cs="Arial"/>
                <w:bCs/>
              </w:rPr>
            </w:pPr>
            <w:r w:rsidRPr="008C0BFE">
              <w:rPr>
                <w:rFonts w:ascii="Arial" w:hAnsi="Arial" w:cs="Arial"/>
                <w:bCs/>
              </w:rPr>
              <w:t xml:space="preserve">Not Implemented </w:t>
            </w:r>
          </w:p>
          <w:p w14:paraId="73545102" w14:textId="77777777" w:rsidR="00984DD7" w:rsidRPr="008C0BFE" w:rsidRDefault="00984DD7" w:rsidP="008F645B">
            <w:pPr>
              <w:suppressAutoHyphens w:val="0"/>
              <w:spacing w:after="0" w:line="240" w:lineRule="auto"/>
              <w:jc w:val="both"/>
              <w:rPr>
                <w:rFonts w:ascii="Arial" w:hAnsi="Arial" w:cs="Arial"/>
                <w:bCs/>
              </w:rPr>
            </w:pPr>
          </w:p>
          <w:p w14:paraId="04B4BF67" w14:textId="77777777" w:rsidR="00031033" w:rsidRPr="008C0BFE" w:rsidRDefault="00031033" w:rsidP="00031033">
            <w:pPr>
              <w:suppressAutoHyphens w:val="0"/>
              <w:spacing w:after="0" w:line="240" w:lineRule="auto"/>
              <w:jc w:val="both"/>
              <w:rPr>
                <w:rFonts w:ascii="Arial" w:hAnsi="Arial" w:cs="Arial"/>
                <w:bCs/>
              </w:rPr>
            </w:pPr>
            <w:r w:rsidRPr="008C0BFE">
              <w:rPr>
                <w:rFonts w:ascii="Arial" w:hAnsi="Arial" w:cs="Arial"/>
                <w:bCs/>
              </w:rPr>
              <w:t>Reiterated with updates under Part II – Obser</w:t>
            </w:r>
            <w:r w:rsidR="00EB776C" w:rsidRPr="008C0BFE">
              <w:rPr>
                <w:rFonts w:ascii="Arial" w:hAnsi="Arial" w:cs="Arial"/>
                <w:bCs/>
              </w:rPr>
              <w:t>vation and Recommendation No. 4</w:t>
            </w:r>
            <w:r w:rsidRPr="008C0BFE">
              <w:rPr>
                <w:rFonts w:ascii="Arial" w:hAnsi="Arial" w:cs="Arial"/>
                <w:bCs/>
              </w:rPr>
              <w:t xml:space="preserve"> of this report.</w:t>
            </w:r>
          </w:p>
          <w:p w14:paraId="251F87B2" w14:textId="77777777" w:rsidR="00761A42" w:rsidRPr="008C0BFE" w:rsidRDefault="00761A42" w:rsidP="008F645B">
            <w:pPr>
              <w:suppressAutoHyphens w:val="0"/>
              <w:spacing w:after="0" w:line="240" w:lineRule="auto"/>
              <w:jc w:val="both"/>
              <w:rPr>
                <w:rFonts w:ascii="Arial" w:hAnsi="Arial" w:cs="Arial"/>
                <w:bCs/>
              </w:rPr>
            </w:pPr>
          </w:p>
          <w:p w14:paraId="45A570C2" w14:textId="77777777" w:rsidR="00BA509A" w:rsidRPr="008C0BFE" w:rsidRDefault="00BA509A" w:rsidP="008F645B">
            <w:pPr>
              <w:suppressAutoHyphens w:val="0"/>
              <w:spacing w:after="0" w:line="240" w:lineRule="auto"/>
              <w:jc w:val="both"/>
              <w:rPr>
                <w:rFonts w:ascii="Arial" w:hAnsi="Arial" w:cs="Arial"/>
                <w:bCs/>
              </w:rPr>
            </w:pPr>
          </w:p>
          <w:p w14:paraId="76E3AC0C" w14:textId="77777777" w:rsidR="00984DD7" w:rsidRPr="008C0BFE" w:rsidRDefault="00984DD7" w:rsidP="008F645B">
            <w:pPr>
              <w:suppressAutoHyphens w:val="0"/>
              <w:spacing w:after="0" w:line="240" w:lineRule="auto"/>
              <w:jc w:val="both"/>
              <w:rPr>
                <w:rFonts w:ascii="Arial" w:hAnsi="Arial" w:cs="Arial"/>
                <w:bCs/>
              </w:rPr>
            </w:pPr>
            <w:r w:rsidRPr="008C0BFE">
              <w:rPr>
                <w:rFonts w:ascii="Arial" w:hAnsi="Arial" w:cs="Arial"/>
                <w:bCs/>
              </w:rPr>
              <w:t xml:space="preserve">Not Implemented </w:t>
            </w:r>
          </w:p>
          <w:p w14:paraId="174C45F1" w14:textId="77777777" w:rsidR="00984DD7" w:rsidRPr="008C0BFE" w:rsidRDefault="00984DD7" w:rsidP="008F645B">
            <w:pPr>
              <w:suppressAutoHyphens w:val="0"/>
              <w:spacing w:after="0" w:line="240" w:lineRule="auto"/>
              <w:jc w:val="both"/>
              <w:rPr>
                <w:rFonts w:ascii="Arial" w:hAnsi="Arial" w:cs="Arial"/>
                <w:bCs/>
              </w:rPr>
            </w:pPr>
          </w:p>
          <w:p w14:paraId="6423F282" w14:textId="77777777" w:rsidR="00031033" w:rsidRPr="008C0BFE" w:rsidRDefault="00031033" w:rsidP="00031033">
            <w:pPr>
              <w:suppressAutoHyphens w:val="0"/>
              <w:spacing w:after="0" w:line="240" w:lineRule="auto"/>
              <w:jc w:val="both"/>
              <w:rPr>
                <w:rFonts w:ascii="Arial" w:hAnsi="Arial" w:cs="Arial"/>
                <w:bCs/>
              </w:rPr>
            </w:pPr>
            <w:r w:rsidRPr="008C0BFE">
              <w:rPr>
                <w:rFonts w:ascii="Arial" w:hAnsi="Arial" w:cs="Arial"/>
                <w:bCs/>
              </w:rPr>
              <w:t>Reiterated with updates under Part II – Obse</w:t>
            </w:r>
            <w:r w:rsidR="00EB776C" w:rsidRPr="008C0BFE">
              <w:rPr>
                <w:rFonts w:ascii="Arial" w:hAnsi="Arial" w:cs="Arial"/>
                <w:bCs/>
              </w:rPr>
              <w:t>rvation and Recommendation No. 4</w:t>
            </w:r>
            <w:r w:rsidRPr="008C0BFE">
              <w:rPr>
                <w:rFonts w:ascii="Arial" w:hAnsi="Arial" w:cs="Arial"/>
                <w:bCs/>
              </w:rPr>
              <w:t xml:space="preserve"> of this report.</w:t>
            </w:r>
          </w:p>
          <w:p w14:paraId="521B5BC3" w14:textId="77777777" w:rsidR="00984DD7" w:rsidRPr="008C0BFE" w:rsidRDefault="00984DD7" w:rsidP="008F645B">
            <w:pPr>
              <w:suppressAutoHyphens w:val="0"/>
              <w:spacing w:after="0" w:line="240" w:lineRule="auto"/>
              <w:jc w:val="both"/>
              <w:rPr>
                <w:rFonts w:ascii="Arial" w:hAnsi="Arial" w:cs="Arial"/>
                <w:bCs/>
              </w:rPr>
            </w:pPr>
          </w:p>
          <w:p w14:paraId="7E9C2F50" w14:textId="77777777" w:rsidR="00031033" w:rsidRPr="008C0BFE" w:rsidRDefault="00984DD7" w:rsidP="008F645B">
            <w:pPr>
              <w:suppressAutoHyphens w:val="0"/>
              <w:spacing w:after="0" w:line="240" w:lineRule="auto"/>
              <w:jc w:val="both"/>
              <w:rPr>
                <w:rFonts w:ascii="Arial" w:hAnsi="Arial" w:cs="Arial"/>
                <w:bCs/>
              </w:rPr>
            </w:pPr>
            <w:r w:rsidRPr="008C0BFE">
              <w:rPr>
                <w:rFonts w:ascii="Arial" w:hAnsi="Arial" w:cs="Arial"/>
                <w:bCs/>
              </w:rPr>
              <w:t xml:space="preserve">Not Implemented </w:t>
            </w:r>
          </w:p>
          <w:p w14:paraId="48D00A58" w14:textId="77777777" w:rsidR="00984DD7" w:rsidRPr="008C0BFE" w:rsidRDefault="00984DD7" w:rsidP="00031033">
            <w:pPr>
              <w:rPr>
                <w:rFonts w:ascii="Arial" w:hAnsi="Arial" w:cs="Arial"/>
              </w:rPr>
            </w:pPr>
          </w:p>
          <w:p w14:paraId="7029BC97" w14:textId="77777777" w:rsidR="00031033" w:rsidRPr="008C0BFE" w:rsidRDefault="00031033" w:rsidP="00031033">
            <w:pPr>
              <w:suppressAutoHyphens w:val="0"/>
              <w:spacing w:after="0" w:line="240" w:lineRule="auto"/>
              <w:jc w:val="both"/>
              <w:rPr>
                <w:rFonts w:ascii="Arial" w:hAnsi="Arial" w:cs="Arial"/>
                <w:bCs/>
              </w:rPr>
            </w:pPr>
            <w:r w:rsidRPr="008C0BFE">
              <w:rPr>
                <w:rFonts w:ascii="Arial" w:hAnsi="Arial" w:cs="Arial"/>
                <w:bCs/>
              </w:rPr>
              <w:t>Reiterated with updates under Part II – Obse</w:t>
            </w:r>
            <w:r w:rsidR="00EB776C" w:rsidRPr="008C0BFE">
              <w:rPr>
                <w:rFonts w:ascii="Arial" w:hAnsi="Arial" w:cs="Arial"/>
                <w:bCs/>
              </w:rPr>
              <w:t>rvation and Recommendation No. 4</w:t>
            </w:r>
            <w:r w:rsidRPr="008C0BFE">
              <w:rPr>
                <w:rFonts w:ascii="Arial" w:hAnsi="Arial" w:cs="Arial"/>
                <w:bCs/>
              </w:rPr>
              <w:t xml:space="preserve"> of this report.</w:t>
            </w:r>
          </w:p>
          <w:p w14:paraId="0C34D8E8" w14:textId="77777777" w:rsidR="00031033" w:rsidRPr="008C0BFE" w:rsidRDefault="00031033" w:rsidP="00031033">
            <w:pPr>
              <w:rPr>
                <w:rFonts w:ascii="Arial" w:hAnsi="Arial" w:cs="Arial"/>
              </w:rPr>
            </w:pPr>
          </w:p>
        </w:tc>
      </w:tr>
      <w:tr w:rsidR="007F4DE1" w:rsidRPr="008C0BFE" w14:paraId="45CE232A" w14:textId="77777777" w:rsidTr="00BA509A">
        <w:trPr>
          <w:trHeight w:val="300"/>
        </w:trPr>
        <w:tc>
          <w:tcPr>
            <w:tcW w:w="1602" w:type="dxa"/>
            <w:shd w:val="clear" w:color="auto" w:fill="auto"/>
            <w:noWrap/>
          </w:tcPr>
          <w:p w14:paraId="2C0F80E6" w14:textId="236F30E1" w:rsidR="00FC162E" w:rsidRPr="008C0BFE" w:rsidRDefault="00793575" w:rsidP="008F645B">
            <w:pPr>
              <w:suppressAutoHyphens w:val="0"/>
              <w:spacing w:after="0" w:line="240" w:lineRule="auto"/>
              <w:ind w:left="-79"/>
              <w:jc w:val="both"/>
              <w:rPr>
                <w:rFonts w:ascii="Arial" w:hAnsi="Arial" w:cs="Arial"/>
              </w:rPr>
            </w:pPr>
            <w:r w:rsidRPr="008C0BFE">
              <w:rPr>
                <w:rFonts w:ascii="Arial" w:hAnsi="Arial" w:cs="Arial"/>
              </w:rPr>
              <w:t xml:space="preserve">AO No. 7 </w:t>
            </w:r>
          </w:p>
          <w:p w14:paraId="47A03BCE" w14:textId="47192E3C" w:rsidR="00793575" w:rsidRPr="008C0BFE" w:rsidRDefault="00793575" w:rsidP="008F645B">
            <w:pPr>
              <w:suppressAutoHyphens w:val="0"/>
              <w:spacing w:after="0" w:line="240" w:lineRule="auto"/>
              <w:ind w:left="-79"/>
              <w:jc w:val="both"/>
              <w:rPr>
                <w:rFonts w:ascii="Arial" w:hAnsi="Arial" w:cs="Arial"/>
              </w:rPr>
            </w:pPr>
            <w:r w:rsidRPr="008C0BFE">
              <w:rPr>
                <w:rFonts w:ascii="Arial" w:hAnsi="Arial" w:cs="Arial"/>
              </w:rPr>
              <w:t>Page 119-124</w:t>
            </w:r>
          </w:p>
        </w:tc>
        <w:tc>
          <w:tcPr>
            <w:tcW w:w="2993" w:type="dxa"/>
            <w:shd w:val="clear" w:color="auto" w:fill="auto"/>
          </w:tcPr>
          <w:p w14:paraId="69232221" w14:textId="77777777" w:rsidR="00793575" w:rsidRPr="00E67D6B" w:rsidRDefault="00506EEF" w:rsidP="008F645B">
            <w:pPr>
              <w:pStyle w:val="Default"/>
              <w:jc w:val="both"/>
              <w:rPr>
                <w:color w:val="auto"/>
                <w:sz w:val="22"/>
                <w:szCs w:val="22"/>
              </w:rPr>
            </w:pPr>
            <w:r w:rsidRPr="00E67D6B">
              <w:rPr>
                <w:color w:val="auto"/>
                <w:sz w:val="22"/>
                <w:szCs w:val="22"/>
              </w:rPr>
              <w:t>The faithful representation in the financial statements of the balance of the Property, Plant and Equipment (PPE) account with a carrying amount of P996.545 million as of December 31, 2022 could not be ascertained due to: (a) Variance of P276.970 million between the balance of the PPE account per books and the Report on the Physical Count of Property, Plant and Equipment of the Head Office and various Branch Offices; and (b) Variance of P265.787 million between the carrying amount of depreciable PPE per books and the corresponding Lapsing Schedules/PPE Ledger Cards (PPELCs), thus affecting the fair presentation of the balance of the account in the Financial Statements contrary to paragraph 15 of Philippine Accounting Standard 1</w:t>
            </w:r>
          </w:p>
        </w:tc>
        <w:tc>
          <w:tcPr>
            <w:tcW w:w="3492" w:type="dxa"/>
            <w:shd w:val="clear" w:color="auto" w:fill="auto"/>
          </w:tcPr>
          <w:p w14:paraId="03E13318" w14:textId="77777777" w:rsidR="00793575" w:rsidRPr="00E67D6B" w:rsidRDefault="00576DE3" w:rsidP="008F645B">
            <w:pPr>
              <w:pStyle w:val="Default"/>
              <w:jc w:val="both"/>
              <w:rPr>
                <w:color w:val="auto"/>
                <w:sz w:val="22"/>
                <w:szCs w:val="22"/>
              </w:rPr>
            </w:pPr>
            <w:r w:rsidRPr="00E67D6B">
              <w:rPr>
                <w:color w:val="auto"/>
                <w:sz w:val="22"/>
                <w:szCs w:val="22"/>
              </w:rPr>
              <w:t xml:space="preserve">We recommended </w:t>
            </w:r>
            <w:r w:rsidR="00506EEF" w:rsidRPr="00E67D6B">
              <w:rPr>
                <w:color w:val="auto"/>
                <w:sz w:val="22"/>
                <w:szCs w:val="22"/>
              </w:rPr>
              <w:t>Management</w:t>
            </w:r>
            <w:r w:rsidRPr="00E67D6B">
              <w:rPr>
                <w:color w:val="auto"/>
                <w:sz w:val="22"/>
                <w:szCs w:val="22"/>
              </w:rPr>
              <w:t xml:space="preserve"> to</w:t>
            </w:r>
            <w:r w:rsidR="00506EEF" w:rsidRPr="00E67D6B">
              <w:rPr>
                <w:color w:val="auto"/>
                <w:sz w:val="22"/>
                <w:szCs w:val="22"/>
              </w:rPr>
              <w:t>:</w:t>
            </w:r>
          </w:p>
          <w:p w14:paraId="7171D0CB" w14:textId="77777777" w:rsidR="00506EEF" w:rsidRPr="00E67D6B" w:rsidRDefault="00506EEF" w:rsidP="008F645B">
            <w:pPr>
              <w:pStyle w:val="Default"/>
              <w:jc w:val="both"/>
              <w:rPr>
                <w:color w:val="auto"/>
                <w:sz w:val="22"/>
                <w:szCs w:val="22"/>
              </w:rPr>
            </w:pPr>
          </w:p>
          <w:p w14:paraId="3663FAFA" w14:textId="77777777" w:rsidR="00761A42" w:rsidRPr="00E67D6B" w:rsidRDefault="00506EEF" w:rsidP="00761A42">
            <w:pPr>
              <w:pStyle w:val="Default"/>
              <w:numPr>
                <w:ilvl w:val="0"/>
                <w:numId w:val="31"/>
              </w:numPr>
              <w:ind w:left="409"/>
              <w:jc w:val="both"/>
              <w:rPr>
                <w:color w:val="auto"/>
                <w:sz w:val="22"/>
                <w:szCs w:val="22"/>
              </w:rPr>
            </w:pPr>
            <w:r w:rsidRPr="00E67D6B">
              <w:rPr>
                <w:color w:val="auto"/>
                <w:sz w:val="22"/>
                <w:szCs w:val="22"/>
              </w:rPr>
              <w:t xml:space="preserve">Direct the concerned </w:t>
            </w:r>
            <w:r w:rsidR="00761A42" w:rsidRPr="00E67D6B">
              <w:rPr>
                <w:color w:val="auto"/>
                <w:sz w:val="22"/>
                <w:szCs w:val="22"/>
              </w:rPr>
              <w:t xml:space="preserve">  </w:t>
            </w:r>
            <w:r w:rsidRPr="00E67D6B">
              <w:rPr>
                <w:color w:val="auto"/>
                <w:sz w:val="22"/>
                <w:szCs w:val="22"/>
              </w:rPr>
              <w:t>personnel of ASMD to:</w:t>
            </w:r>
          </w:p>
          <w:p w14:paraId="34A00CC8" w14:textId="77777777" w:rsidR="00922511" w:rsidRPr="00E67D6B" w:rsidRDefault="00922511" w:rsidP="00922511">
            <w:pPr>
              <w:pStyle w:val="Default"/>
              <w:ind w:left="409"/>
              <w:jc w:val="both"/>
              <w:rPr>
                <w:color w:val="auto"/>
                <w:sz w:val="22"/>
                <w:szCs w:val="22"/>
              </w:rPr>
            </w:pPr>
          </w:p>
          <w:p w14:paraId="7B1724D4" w14:textId="77777777" w:rsidR="00506EEF" w:rsidRPr="00E67D6B" w:rsidRDefault="00506EEF" w:rsidP="00922511">
            <w:pPr>
              <w:pStyle w:val="Default"/>
              <w:numPr>
                <w:ilvl w:val="0"/>
                <w:numId w:val="34"/>
              </w:numPr>
              <w:ind w:left="949" w:hanging="540"/>
              <w:jc w:val="both"/>
              <w:rPr>
                <w:color w:val="auto"/>
                <w:sz w:val="22"/>
                <w:szCs w:val="22"/>
              </w:rPr>
            </w:pPr>
            <w:r w:rsidRPr="00E67D6B">
              <w:rPr>
                <w:color w:val="auto"/>
                <w:sz w:val="22"/>
                <w:szCs w:val="22"/>
              </w:rPr>
              <w:t xml:space="preserve">Include in the RPCPPE the </w:t>
            </w:r>
            <w:r w:rsidR="00761A42" w:rsidRPr="00E67D6B">
              <w:rPr>
                <w:color w:val="auto"/>
                <w:sz w:val="22"/>
                <w:szCs w:val="22"/>
              </w:rPr>
              <w:t xml:space="preserve">  </w:t>
            </w:r>
            <w:r w:rsidRPr="00E67D6B">
              <w:rPr>
                <w:color w:val="auto"/>
                <w:sz w:val="22"/>
                <w:szCs w:val="22"/>
              </w:rPr>
              <w:t>real properties and machinery &amp; equipment, the land, other land improvements, buildings, other structures, leased assets, buildings and other structures, military, police and security equipment, printing equipment, other machinery and equipment</w:t>
            </w:r>
            <w:r w:rsidR="00761A42" w:rsidRPr="00E67D6B">
              <w:rPr>
                <w:color w:val="auto"/>
                <w:sz w:val="22"/>
                <w:szCs w:val="22"/>
              </w:rPr>
              <w:t>.</w:t>
            </w:r>
          </w:p>
          <w:p w14:paraId="41ECC07E" w14:textId="77777777" w:rsidR="00922511" w:rsidRPr="00E67D6B" w:rsidRDefault="00922511" w:rsidP="00922511">
            <w:pPr>
              <w:pStyle w:val="Default"/>
              <w:ind w:left="769"/>
              <w:jc w:val="both"/>
              <w:rPr>
                <w:color w:val="auto"/>
                <w:sz w:val="22"/>
                <w:szCs w:val="22"/>
              </w:rPr>
            </w:pPr>
          </w:p>
          <w:p w14:paraId="32A175C5" w14:textId="77777777" w:rsidR="00761A42" w:rsidRPr="00E67D6B" w:rsidRDefault="00506EEF" w:rsidP="00922511">
            <w:pPr>
              <w:pStyle w:val="Default"/>
              <w:numPr>
                <w:ilvl w:val="1"/>
                <w:numId w:val="34"/>
              </w:numPr>
              <w:ind w:left="949" w:hanging="540"/>
              <w:jc w:val="both"/>
              <w:rPr>
                <w:color w:val="auto"/>
                <w:sz w:val="22"/>
                <w:szCs w:val="22"/>
              </w:rPr>
            </w:pPr>
            <w:r w:rsidRPr="00E67D6B">
              <w:rPr>
                <w:color w:val="auto"/>
                <w:sz w:val="22"/>
                <w:szCs w:val="22"/>
              </w:rPr>
              <w:t>Review the items in the RPCPPE and correct those that have been recorded twice.</w:t>
            </w:r>
          </w:p>
          <w:p w14:paraId="772FD1CB" w14:textId="77777777" w:rsidR="00922511" w:rsidRPr="00E67D6B" w:rsidRDefault="00922511" w:rsidP="00922511">
            <w:pPr>
              <w:pStyle w:val="Default"/>
              <w:ind w:left="679"/>
              <w:jc w:val="both"/>
              <w:rPr>
                <w:color w:val="auto"/>
                <w:sz w:val="22"/>
                <w:szCs w:val="22"/>
              </w:rPr>
            </w:pPr>
          </w:p>
          <w:p w14:paraId="009040AD" w14:textId="77777777" w:rsidR="00506EEF" w:rsidRPr="00E67D6B" w:rsidRDefault="00506EEF" w:rsidP="00922511">
            <w:pPr>
              <w:pStyle w:val="Default"/>
              <w:numPr>
                <w:ilvl w:val="2"/>
                <w:numId w:val="34"/>
              </w:numPr>
              <w:ind w:left="949"/>
              <w:jc w:val="both"/>
              <w:rPr>
                <w:color w:val="auto"/>
                <w:sz w:val="22"/>
                <w:szCs w:val="22"/>
              </w:rPr>
            </w:pPr>
            <w:r w:rsidRPr="00E67D6B">
              <w:rPr>
                <w:color w:val="auto"/>
                <w:sz w:val="22"/>
                <w:szCs w:val="22"/>
              </w:rPr>
              <w:t>Conduct the annual physical inventory and prepare and submit a complete RPCPPE as required under COA Circular No. 80-124 dated January 18, 1980. Property records shall be updated based on the results of the physical inventory and the RPCPPE shall be reconciled with the PPELC, PC and the GL/control accounts. Any discrepancies shall be immediately verified and adjusted</w:t>
            </w:r>
            <w:r w:rsidR="00922511" w:rsidRPr="00E67D6B">
              <w:rPr>
                <w:color w:val="auto"/>
                <w:sz w:val="22"/>
                <w:szCs w:val="22"/>
              </w:rPr>
              <w:t>.</w:t>
            </w:r>
          </w:p>
          <w:p w14:paraId="390DDDED" w14:textId="77777777" w:rsidR="00506EEF" w:rsidRPr="00E67D6B" w:rsidRDefault="00506EEF" w:rsidP="008F645B">
            <w:pPr>
              <w:pStyle w:val="Default"/>
              <w:jc w:val="both"/>
              <w:rPr>
                <w:color w:val="auto"/>
                <w:sz w:val="22"/>
                <w:szCs w:val="22"/>
              </w:rPr>
            </w:pPr>
          </w:p>
          <w:p w14:paraId="6407A5F6" w14:textId="77777777" w:rsidR="00506EEF" w:rsidRPr="00E67D6B" w:rsidRDefault="00506EEF" w:rsidP="00C869EA">
            <w:pPr>
              <w:pStyle w:val="Default"/>
              <w:ind w:left="435" w:hanging="360"/>
              <w:jc w:val="both"/>
              <w:rPr>
                <w:color w:val="auto"/>
                <w:sz w:val="22"/>
                <w:szCs w:val="22"/>
              </w:rPr>
            </w:pPr>
            <w:r w:rsidRPr="00E67D6B">
              <w:rPr>
                <w:color w:val="auto"/>
                <w:sz w:val="22"/>
                <w:szCs w:val="22"/>
              </w:rPr>
              <w:t xml:space="preserve">b. </w:t>
            </w:r>
            <w:r w:rsidR="00C869EA" w:rsidRPr="00E67D6B">
              <w:rPr>
                <w:color w:val="auto"/>
                <w:sz w:val="22"/>
                <w:szCs w:val="22"/>
              </w:rPr>
              <w:t xml:space="preserve">  </w:t>
            </w:r>
            <w:r w:rsidRPr="00E67D6B">
              <w:rPr>
                <w:color w:val="auto"/>
                <w:sz w:val="22"/>
                <w:szCs w:val="22"/>
              </w:rPr>
              <w:t xml:space="preserve">Direct the ASMD and ABD </w:t>
            </w:r>
            <w:r w:rsidR="00C869EA" w:rsidRPr="00E67D6B">
              <w:rPr>
                <w:color w:val="auto"/>
                <w:sz w:val="22"/>
                <w:szCs w:val="22"/>
              </w:rPr>
              <w:t xml:space="preserve">to </w:t>
            </w:r>
            <w:r w:rsidRPr="00E67D6B">
              <w:rPr>
                <w:color w:val="auto"/>
                <w:sz w:val="22"/>
                <w:szCs w:val="22"/>
              </w:rPr>
              <w:t>see to it that the correct amount of item of PPE are those that are recorded both in the property and accounting records</w:t>
            </w:r>
            <w:r w:rsidR="00922511" w:rsidRPr="00E67D6B">
              <w:rPr>
                <w:color w:val="auto"/>
                <w:sz w:val="22"/>
                <w:szCs w:val="22"/>
              </w:rPr>
              <w:t>.</w:t>
            </w:r>
          </w:p>
          <w:p w14:paraId="1476C402" w14:textId="77777777" w:rsidR="00922511" w:rsidRPr="00E67D6B" w:rsidRDefault="00922511" w:rsidP="00922511">
            <w:pPr>
              <w:pStyle w:val="Default"/>
              <w:ind w:left="409" w:hanging="270"/>
              <w:jc w:val="both"/>
              <w:rPr>
                <w:color w:val="auto"/>
                <w:sz w:val="22"/>
                <w:szCs w:val="22"/>
              </w:rPr>
            </w:pPr>
          </w:p>
          <w:p w14:paraId="2B4A3AF3" w14:textId="77777777" w:rsidR="00506EEF" w:rsidRPr="00E67D6B" w:rsidRDefault="00506EEF" w:rsidP="00922511">
            <w:pPr>
              <w:pStyle w:val="Default"/>
              <w:ind w:left="409" w:hanging="360"/>
              <w:jc w:val="both"/>
              <w:rPr>
                <w:color w:val="auto"/>
                <w:sz w:val="22"/>
                <w:szCs w:val="22"/>
              </w:rPr>
            </w:pPr>
            <w:r w:rsidRPr="00E67D6B">
              <w:rPr>
                <w:color w:val="auto"/>
                <w:sz w:val="22"/>
                <w:szCs w:val="22"/>
              </w:rPr>
              <w:t>c. ABD to Maintain Lapsing Schedule/PPELCs for all items of PPE accounts both at the head office and branches</w:t>
            </w:r>
            <w:r w:rsidR="00922511" w:rsidRPr="00E67D6B">
              <w:rPr>
                <w:color w:val="auto"/>
                <w:sz w:val="22"/>
                <w:szCs w:val="22"/>
              </w:rPr>
              <w:t>.</w:t>
            </w:r>
          </w:p>
          <w:p w14:paraId="59C434EC" w14:textId="77777777" w:rsidR="00922511" w:rsidRPr="00E67D6B" w:rsidRDefault="00922511" w:rsidP="00922511">
            <w:pPr>
              <w:pStyle w:val="Default"/>
              <w:ind w:left="409" w:hanging="360"/>
              <w:jc w:val="both"/>
              <w:rPr>
                <w:color w:val="auto"/>
                <w:sz w:val="22"/>
                <w:szCs w:val="22"/>
              </w:rPr>
            </w:pPr>
          </w:p>
          <w:p w14:paraId="572F27DC" w14:textId="77777777" w:rsidR="00506EEF" w:rsidRPr="00E67D6B" w:rsidRDefault="00506EEF" w:rsidP="00922511">
            <w:pPr>
              <w:pStyle w:val="Default"/>
              <w:ind w:left="409" w:hanging="360"/>
              <w:jc w:val="both"/>
              <w:rPr>
                <w:color w:val="auto"/>
                <w:sz w:val="22"/>
                <w:szCs w:val="22"/>
              </w:rPr>
            </w:pPr>
            <w:r w:rsidRPr="00E67D6B">
              <w:rPr>
                <w:color w:val="auto"/>
                <w:sz w:val="22"/>
                <w:szCs w:val="22"/>
              </w:rPr>
              <w:t>d. Furthermore, evaluate the possible application of COA Circular No. 2020-006 dated January 31, 2020 on one-time cleansing of PPE account balance to come up with a reliable PPE balances that are verifiable as to existence, condition and accountability</w:t>
            </w:r>
            <w:r w:rsidR="00922511" w:rsidRPr="00E67D6B">
              <w:rPr>
                <w:color w:val="auto"/>
                <w:sz w:val="22"/>
                <w:szCs w:val="22"/>
              </w:rPr>
              <w:t>.</w:t>
            </w:r>
          </w:p>
          <w:p w14:paraId="471912DD" w14:textId="77777777" w:rsidR="00BA509A" w:rsidRPr="00E67D6B" w:rsidRDefault="00BA509A" w:rsidP="00922511">
            <w:pPr>
              <w:pStyle w:val="Default"/>
              <w:ind w:left="409" w:hanging="360"/>
              <w:jc w:val="both"/>
              <w:rPr>
                <w:color w:val="auto"/>
                <w:sz w:val="22"/>
                <w:szCs w:val="22"/>
              </w:rPr>
            </w:pPr>
          </w:p>
        </w:tc>
        <w:tc>
          <w:tcPr>
            <w:tcW w:w="1975" w:type="dxa"/>
            <w:shd w:val="clear" w:color="auto" w:fill="auto"/>
          </w:tcPr>
          <w:p w14:paraId="27F5905D" w14:textId="77777777" w:rsidR="00793575" w:rsidRPr="008C0BFE" w:rsidRDefault="00793575" w:rsidP="008F645B">
            <w:pPr>
              <w:suppressAutoHyphens w:val="0"/>
              <w:spacing w:after="0" w:line="240" w:lineRule="auto"/>
              <w:jc w:val="both"/>
              <w:rPr>
                <w:rFonts w:ascii="Arial" w:hAnsi="Arial" w:cs="Arial"/>
                <w:bCs/>
              </w:rPr>
            </w:pPr>
          </w:p>
          <w:p w14:paraId="12AFFEBA" w14:textId="77777777" w:rsidR="00506EEF" w:rsidRPr="008C0BFE" w:rsidRDefault="00506EEF" w:rsidP="008F645B">
            <w:pPr>
              <w:suppressAutoHyphens w:val="0"/>
              <w:spacing w:after="0" w:line="240" w:lineRule="auto"/>
              <w:jc w:val="both"/>
              <w:rPr>
                <w:rFonts w:ascii="Arial" w:hAnsi="Arial" w:cs="Arial"/>
                <w:bCs/>
              </w:rPr>
            </w:pPr>
          </w:p>
          <w:p w14:paraId="04CBEF3B" w14:textId="77777777" w:rsidR="00506EEF" w:rsidRPr="008C0BFE" w:rsidRDefault="00506EEF" w:rsidP="008F645B">
            <w:pPr>
              <w:suppressAutoHyphens w:val="0"/>
              <w:spacing w:after="0" w:line="240" w:lineRule="auto"/>
              <w:jc w:val="both"/>
              <w:rPr>
                <w:rFonts w:ascii="Arial" w:hAnsi="Arial" w:cs="Arial"/>
                <w:bCs/>
              </w:rPr>
            </w:pPr>
          </w:p>
          <w:p w14:paraId="1EA54CC1" w14:textId="77777777" w:rsidR="00506EEF" w:rsidRPr="008C0BFE" w:rsidRDefault="00506EEF" w:rsidP="008F645B">
            <w:pPr>
              <w:suppressAutoHyphens w:val="0"/>
              <w:spacing w:after="0" w:line="240" w:lineRule="auto"/>
              <w:jc w:val="both"/>
              <w:rPr>
                <w:rFonts w:ascii="Arial" w:hAnsi="Arial" w:cs="Arial"/>
                <w:bCs/>
              </w:rPr>
            </w:pPr>
          </w:p>
          <w:p w14:paraId="467E42EF" w14:textId="77777777" w:rsidR="00576DE3" w:rsidRPr="008C0BFE" w:rsidRDefault="00576DE3" w:rsidP="008F645B">
            <w:pPr>
              <w:suppressAutoHyphens w:val="0"/>
              <w:spacing w:after="0" w:line="240" w:lineRule="auto"/>
              <w:jc w:val="both"/>
              <w:rPr>
                <w:rFonts w:ascii="Arial" w:hAnsi="Arial" w:cs="Arial"/>
                <w:bCs/>
              </w:rPr>
            </w:pPr>
          </w:p>
          <w:p w14:paraId="74DA94DA" w14:textId="77777777" w:rsidR="00576DE3" w:rsidRPr="008C0BFE" w:rsidRDefault="00576DE3" w:rsidP="008F645B">
            <w:pPr>
              <w:suppressAutoHyphens w:val="0"/>
              <w:spacing w:after="0" w:line="240" w:lineRule="auto"/>
              <w:jc w:val="both"/>
              <w:rPr>
                <w:rFonts w:ascii="Arial" w:hAnsi="Arial" w:cs="Arial"/>
                <w:bCs/>
              </w:rPr>
            </w:pPr>
          </w:p>
          <w:p w14:paraId="008D5AB9" w14:textId="77777777" w:rsidR="00506EEF" w:rsidRPr="008C0BFE" w:rsidRDefault="00480408" w:rsidP="008F645B">
            <w:pPr>
              <w:suppressAutoHyphens w:val="0"/>
              <w:spacing w:after="0" w:line="240" w:lineRule="auto"/>
              <w:jc w:val="both"/>
              <w:rPr>
                <w:rFonts w:ascii="Arial" w:hAnsi="Arial" w:cs="Arial"/>
                <w:bCs/>
              </w:rPr>
            </w:pPr>
            <w:r w:rsidRPr="008C0BFE">
              <w:rPr>
                <w:rFonts w:ascii="Arial" w:hAnsi="Arial" w:cs="Arial"/>
                <w:bCs/>
              </w:rPr>
              <w:t xml:space="preserve">Fully </w:t>
            </w:r>
            <w:r w:rsidR="00506EEF" w:rsidRPr="008C0BFE">
              <w:rPr>
                <w:rFonts w:ascii="Arial" w:hAnsi="Arial" w:cs="Arial"/>
                <w:bCs/>
              </w:rPr>
              <w:t>Implemented</w:t>
            </w:r>
          </w:p>
          <w:p w14:paraId="49DE117F" w14:textId="77777777" w:rsidR="00506EEF" w:rsidRPr="008C0BFE" w:rsidRDefault="00506EEF" w:rsidP="008F645B">
            <w:pPr>
              <w:suppressAutoHyphens w:val="0"/>
              <w:spacing w:after="0" w:line="240" w:lineRule="auto"/>
              <w:jc w:val="both"/>
              <w:rPr>
                <w:rFonts w:ascii="Arial" w:hAnsi="Arial" w:cs="Arial"/>
                <w:bCs/>
              </w:rPr>
            </w:pPr>
          </w:p>
          <w:p w14:paraId="67520802" w14:textId="77777777" w:rsidR="00506EEF" w:rsidRPr="008C0BFE" w:rsidRDefault="00506EEF" w:rsidP="008F645B">
            <w:pPr>
              <w:suppressAutoHyphens w:val="0"/>
              <w:spacing w:after="0" w:line="240" w:lineRule="auto"/>
              <w:jc w:val="both"/>
              <w:rPr>
                <w:rFonts w:ascii="Arial" w:hAnsi="Arial" w:cs="Arial"/>
                <w:bCs/>
              </w:rPr>
            </w:pPr>
          </w:p>
          <w:p w14:paraId="510A15FC" w14:textId="77777777" w:rsidR="00506EEF" w:rsidRPr="008C0BFE" w:rsidRDefault="00506EEF" w:rsidP="008F645B">
            <w:pPr>
              <w:suppressAutoHyphens w:val="0"/>
              <w:spacing w:after="0" w:line="240" w:lineRule="auto"/>
              <w:jc w:val="both"/>
              <w:rPr>
                <w:rFonts w:ascii="Arial" w:hAnsi="Arial" w:cs="Arial"/>
                <w:bCs/>
              </w:rPr>
            </w:pPr>
          </w:p>
          <w:p w14:paraId="0AFA358C" w14:textId="77777777" w:rsidR="00506EEF" w:rsidRPr="008C0BFE" w:rsidRDefault="00506EEF" w:rsidP="008F645B">
            <w:pPr>
              <w:suppressAutoHyphens w:val="0"/>
              <w:spacing w:after="0" w:line="240" w:lineRule="auto"/>
              <w:jc w:val="both"/>
              <w:rPr>
                <w:rFonts w:ascii="Arial" w:hAnsi="Arial" w:cs="Arial"/>
                <w:bCs/>
              </w:rPr>
            </w:pPr>
          </w:p>
          <w:p w14:paraId="3BE4FCE6" w14:textId="77777777" w:rsidR="00506EEF" w:rsidRPr="008C0BFE" w:rsidRDefault="00506EEF" w:rsidP="008F645B">
            <w:pPr>
              <w:suppressAutoHyphens w:val="0"/>
              <w:spacing w:after="0" w:line="240" w:lineRule="auto"/>
              <w:jc w:val="both"/>
              <w:rPr>
                <w:rFonts w:ascii="Arial" w:hAnsi="Arial" w:cs="Arial"/>
                <w:bCs/>
              </w:rPr>
            </w:pPr>
          </w:p>
          <w:p w14:paraId="5AC6D081" w14:textId="77777777" w:rsidR="00506EEF" w:rsidRPr="008C0BFE" w:rsidRDefault="00506EEF" w:rsidP="008F645B">
            <w:pPr>
              <w:suppressAutoHyphens w:val="0"/>
              <w:spacing w:after="0" w:line="240" w:lineRule="auto"/>
              <w:jc w:val="both"/>
              <w:rPr>
                <w:rFonts w:ascii="Arial" w:hAnsi="Arial" w:cs="Arial"/>
                <w:bCs/>
              </w:rPr>
            </w:pPr>
          </w:p>
          <w:p w14:paraId="1839D39C" w14:textId="77777777" w:rsidR="00506EEF" w:rsidRPr="008C0BFE" w:rsidRDefault="00506EEF" w:rsidP="008F645B">
            <w:pPr>
              <w:suppressAutoHyphens w:val="0"/>
              <w:spacing w:after="0" w:line="240" w:lineRule="auto"/>
              <w:jc w:val="both"/>
              <w:rPr>
                <w:rFonts w:ascii="Arial" w:hAnsi="Arial" w:cs="Arial"/>
                <w:bCs/>
              </w:rPr>
            </w:pPr>
          </w:p>
          <w:p w14:paraId="7D77CCFA" w14:textId="77777777" w:rsidR="00506EEF" w:rsidRPr="008C0BFE" w:rsidRDefault="00506EEF" w:rsidP="008F645B">
            <w:pPr>
              <w:suppressAutoHyphens w:val="0"/>
              <w:spacing w:after="0" w:line="240" w:lineRule="auto"/>
              <w:jc w:val="both"/>
              <w:rPr>
                <w:rFonts w:ascii="Arial" w:hAnsi="Arial" w:cs="Arial"/>
                <w:bCs/>
              </w:rPr>
            </w:pPr>
          </w:p>
          <w:p w14:paraId="77FF93B2" w14:textId="77777777" w:rsidR="00506EEF" w:rsidRPr="008C0BFE" w:rsidRDefault="00506EEF" w:rsidP="008F645B">
            <w:pPr>
              <w:suppressAutoHyphens w:val="0"/>
              <w:spacing w:after="0" w:line="240" w:lineRule="auto"/>
              <w:jc w:val="both"/>
              <w:rPr>
                <w:rFonts w:ascii="Arial" w:hAnsi="Arial" w:cs="Arial"/>
                <w:bCs/>
              </w:rPr>
            </w:pPr>
          </w:p>
          <w:p w14:paraId="22D1FDB1" w14:textId="77777777" w:rsidR="00506EEF" w:rsidRPr="008C0BFE" w:rsidRDefault="00506EEF" w:rsidP="008F645B">
            <w:pPr>
              <w:suppressAutoHyphens w:val="0"/>
              <w:spacing w:after="0" w:line="240" w:lineRule="auto"/>
              <w:jc w:val="both"/>
              <w:rPr>
                <w:rFonts w:ascii="Arial" w:hAnsi="Arial" w:cs="Arial"/>
                <w:bCs/>
              </w:rPr>
            </w:pPr>
          </w:p>
          <w:p w14:paraId="6CFE23AC" w14:textId="77777777" w:rsidR="00576DE3" w:rsidRPr="008C0BFE" w:rsidRDefault="00576DE3" w:rsidP="008F645B">
            <w:pPr>
              <w:suppressAutoHyphens w:val="0"/>
              <w:spacing w:after="0" w:line="240" w:lineRule="auto"/>
              <w:jc w:val="both"/>
              <w:rPr>
                <w:rFonts w:ascii="Arial" w:hAnsi="Arial" w:cs="Arial"/>
                <w:bCs/>
              </w:rPr>
            </w:pPr>
          </w:p>
          <w:p w14:paraId="6CAB7C69" w14:textId="77777777" w:rsidR="00922511" w:rsidRPr="008C0BFE" w:rsidRDefault="00922511" w:rsidP="008F645B">
            <w:pPr>
              <w:suppressAutoHyphens w:val="0"/>
              <w:spacing w:after="0" w:line="240" w:lineRule="auto"/>
              <w:jc w:val="both"/>
              <w:rPr>
                <w:rFonts w:ascii="Arial" w:hAnsi="Arial" w:cs="Arial"/>
                <w:bCs/>
              </w:rPr>
            </w:pPr>
          </w:p>
          <w:p w14:paraId="09D0BCF6" w14:textId="77777777" w:rsidR="00922511" w:rsidRPr="008C0BFE" w:rsidRDefault="00922511" w:rsidP="008F645B">
            <w:pPr>
              <w:suppressAutoHyphens w:val="0"/>
              <w:spacing w:after="0" w:line="240" w:lineRule="auto"/>
              <w:jc w:val="both"/>
              <w:rPr>
                <w:rFonts w:ascii="Arial" w:hAnsi="Arial" w:cs="Arial"/>
                <w:bCs/>
              </w:rPr>
            </w:pPr>
          </w:p>
          <w:p w14:paraId="27EDE3BD" w14:textId="77777777" w:rsidR="00922511" w:rsidRPr="008C0BFE" w:rsidRDefault="00922511" w:rsidP="008F645B">
            <w:pPr>
              <w:suppressAutoHyphens w:val="0"/>
              <w:spacing w:after="0" w:line="240" w:lineRule="auto"/>
              <w:jc w:val="both"/>
              <w:rPr>
                <w:rFonts w:ascii="Arial" w:hAnsi="Arial" w:cs="Arial"/>
                <w:bCs/>
              </w:rPr>
            </w:pPr>
          </w:p>
          <w:p w14:paraId="47D01E8C" w14:textId="77777777" w:rsidR="00506EEF" w:rsidRPr="008C0BFE" w:rsidRDefault="00480408" w:rsidP="008F645B">
            <w:pPr>
              <w:suppressAutoHyphens w:val="0"/>
              <w:spacing w:after="0" w:line="240" w:lineRule="auto"/>
              <w:jc w:val="both"/>
              <w:rPr>
                <w:rFonts w:ascii="Arial" w:hAnsi="Arial" w:cs="Arial"/>
                <w:bCs/>
              </w:rPr>
            </w:pPr>
            <w:r w:rsidRPr="008C0BFE">
              <w:rPr>
                <w:rFonts w:ascii="Arial" w:hAnsi="Arial" w:cs="Arial"/>
                <w:bCs/>
              </w:rPr>
              <w:t xml:space="preserve">Fully </w:t>
            </w:r>
            <w:r w:rsidR="00506EEF" w:rsidRPr="008C0BFE">
              <w:rPr>
                <w:rFonts w:ascii="Arial" w:hAnsi="Arial" w:cs="Arial"/>
                <w:bCs/>
              </w:rPr>
              <w:t>Implemented</w:t>
            </w:r>
          </w:p>
          <w:p w14:paraId="1630C8DD" w14:textId="77777777" w:rsidR="00506EEF" w:rsidRPr="008C0BFE" w:rsidRDefault="00506EEF" w:rsidP="008F645B">
            <w:pPr>
              <w:suppressAutoHyphens w:val="0"/>
              <w:spacing w:after="0" w:line="240" w:lineRule="auto"/>
              <w:jc w:val="both"/>
              <w:rPr>
                <w:rFonts w:ascii="Arial" w:hAnsi="Arial" w:cs="Arial"/>
                <w:bCs/>
              </w:rPr>
            </w:pPr>
          </w:p>
          <w:p w14:paraId="68967E41" w14:textId="77777777" w:rsidR="00506EEF" w:rsidRPr="008C0BFE" w:rsidRDefault="00506EEF" w:rsidP="008F645B">
            <w:pPr>
              <w:suppressAutoHyphens w:val="0"/>
              <w:spacing w:after="0" w:line="240" w:lineRule="auto"/>
              <w:jc w:val="both"/>
              <w:rPr>
                <w:rFonts w:ascii="Arial" w:hAnsi="Arial" w:cs="Arial"/>
                <w:bCs/>
              </w:rPr>
            </w:pPr>
          </w:p>
          <w:p w14:paraId="707677C0" w14:textId="77777777" w:rsidR="00506EEF" w:rsidRPr="008C0BFE" w:rsidRDefault="00506EEF" w:rsidP="008F645B">
            <w:pPr>
              <w:suppressAutoHyphens w:val="0"/>
              <w:spacing w:after="0" w:line="240" w:lineRule="auto"/>
              <w:jc w:val="both"/>
              <w:rPr>
                <w:rFonts w:ascii="Arial" w:hAnsi="Arial" w:cs="Arial"/>
                <w:bCs/>
              </w:rPr>
            </w:pPr>
          </w:p>
          <w:p w14:paraId="0BDCEF6C" w14:textId="77777777" w:rsidR="00506EEF" w:rsidRPr="008C0BFE" w:rsidRDefault="00506EEF" w:rsidP="008F645B">
            <w:pPr>
              <w:suppressAutoHyphens w:val="0"/>
              <w:spacing w:after="0" w:line="240" w:lineRule="auto"/>
              <w:jc w:val="both"/>
              <w:rPr>
                <w:rFonts w:ascii="Arial" w:hAnsi="Arial" w:cs="Arial"/>
                <w:bCs/>
              </w:rPr>
            </w:pPr>
            <w:r w:rsidRPr="008C0BFE">
              <w:rPr>
                <w:rFonts w:ascii="Arial" w:hAnsi="Arial" w:cs="Arial"/>
                <w:bCs/>
              </w:rPr>
              <w:t xml:space="preserve">Not Implemented </w:t>
            </w:r>
          </w:p>
          <w:p w14:paraId="35D9C0A7" w14:textId="77777777" w:rsidR="00506EEF" w:rsidRPr="008C0BFE" w:rsidRDefault="00506EEF" w:rsidP="008F645B">
            <w:pPr>
              <w:suppressAutoHyphens w:val="0"/>
              <w:spacing w:after="0" w:line="240" w:lineRule="auto"/>
              <w:jc w:val="both"/>
              <w:rPr>
                <w:rFonts w:ascii="Arial" w:hAnsi="Arial" w:cs="Arial"/>
                <w:bCs/>
              </w:rPr>
            </w:pPr>
          </w:p>
          <w:p w14:paraId="7DC085E7" w14:textId="77777777" w:rsidR="00031033" w:rsidRPr="008C0BFE" w:rsidRDefault="00031033" w:rsidP="00031033">
            <w:pPr>
              <w:suppressAutoHyphens w:val="0"/>
              <w:spacing w:after="0" w:line="240" w:lineRule="auto"/>
              <w:jc w:val="both"/>
              <w:rPr>
                <w:rFonts w:ascii="Arial" w:hAnsi="Arial" w:cs="Arial"/>
                <w:bCs/>
              </w:rPr>
            </w:pPr>
            <w:r w:rsidRPr="008C0BFE">
              <w:rPr>
                <w:rFonts w:ascii="Arial" w:hAnsi="Arial" w:cs="Arial"/>
                <w:bCs/>
              </w:rPr>
              <w:t>Reiterated with updates under Part II – Obse</w:t>
            </w:r>
            <w:r w:rsidR="002D5F84" w:rsidRPr="008C0BFE">
              <w:rPr>
                <w:rFonts w:ascii="Arial" w:hAnsi="Arial" w:cs="Arial"/>
                <w:bCs/>
              </w:rPr>
              <w:t>rvation and Recommendation No. 6</w:t>
            </w:r>
            <w:r w:rsidRPr="008C0BFE">
              <w:rPr>
                <w:rFonts w:ascii="Arial" w:hAnsi="Arial" w:cs="Arial"/>
                <w:bCs/>
              </w:rPr>
              <w:t xml:space="preserve"> of this report.</w:t>
            </w:r>
          </w:p>
          <w:p w14:paraId="5DDDFACF" w14:textId="77777777" w:rsidR="00506EEF" w:rsidRPr="008C0BFE" w:rsidRDefault="00506EEF" w:rsidP="008F645B">
            <w:pPr>
              <w:suppressAutoHyphens w:val="0"/>
              <w:spacing w:after="0" w:line="240" w:lineRule="auto"/>
              <w:jc w:val="both"/>
              <w:rPr>
                <w:rFonts w:ascii="Arial" w:hAnsi="Arial" w:cs="Arial"/>
                <w:bCs/>
              </w:rPr>
            </w:pPr>
          </w:p>
          <w:p w14:paraId="27EBB5D6" w14:textId="77777777" w:rsidR="00506EEF" w:rsidRPr="008C0BFE" w:rsidRDefault="00506EEF" w:rsidP="008F645B">
            <w:pPr>
              <w:suppressAutoHyphens w:val="0"/>
              <w:spacing w:after="0" w:line="240" w:lineRule="auto"/>
              <w:jc w:val="both"/>
              <w:rPr>
                <w:rFonts w:ascii="Arial" w:hAnsi="Arial" w:cs="Arial"/>
                <w:bCs/>
              </w:rPr>
            </w:pPr>
          </w:p>
          <w:p w14:paraId="18AB9608" w14:textId="77777777" w:rsidR="00506EEF" w:rsidRPr="008C0BFE" w:rsidRDefault="00506EEF" w:rsidP="008F645B">
            <w:pPr>
              <w:suppressAutoHyphens w:val="0"/>
              <w:spacing w:after="0" w:line="240" w:lineRule="auto"/>
              <w:jc w:val="both"/>
              <w:rPr>
                <w:rFonts w:ascii="Arial" w:hAnsi="Arial" w:cs="Arial"/>
                <w:bCs/>
              </w:rPr>
            </w:pPr>
          </w:p>
          <w:p w14:paraId="09A768BB" w14:textId="77777777" w:rsidR="00506EEF" w:rsidRPr="008C0BFE" w:rsidRDefault="00506EEF" w:rsidP="008F645B">
            <w:pPr>
              <w:suppressAutoHyphens w:val="0"/>
              <w:spacing w:after="0" w:line="240" w:lineRule="auto"/>
              <w:jc w:val="both"/>
              <w:rPr>
                <w:rFonts w:ascii="Arial" w:hAnsi="Arial" w:cs="Arial"/>
                <w:bCs/>
              </w:rPr>
            </w:pPr>
          </w:p>
          <w:p w14:paraId="76698DC5" w14:textId="77777777" w:rsidR="00506EEF" w:rsidRPr="008C0BFE" w:rsidRDefault="00506EEF" w:rsidP="008F645B">
            <w:pPr>
              <w:suppressAutoHyphens w:val="0"/>
              <w:spacing w:after="0" w:line="240" w:lineRule="auto"/>
              <w:jc w:val="both"/>
              <w:rPr>
                <w:rFonts w:ascii="Arial" w:hAnsi="Arial" w:cs="Arial"/>
                <w:bCs/>
              </w:rPr>
            </w:pPr>
          </w:p>
          <w:p w14:paraId="4A70B57A" w14:textId="77777777" w:rsidR="00506EEF" w:rsidRPr="008C0BFE" w:rsidRDefault="00506EEF" w:rsidP="008F645B">
            <w:pPr>
              <w:suppressAutoHyphens w:val="0"/>
              <w:spacing w:after="0" w:line="240" w:lineRule="auto"/>
              <w:jc w:val="both"/>
              <w:rPr>
                <w:rFonts w:ascii="Arial" w:hAnsi="Arial" w:cs="Arial"/>
                <w:bCs/>
              </w:rPr>
            </w:pPr>
          </w:p>
          <w:p w14:paraId="60EEED59" w14:textId="77777777" w:rsidR="00506EEF" w:rsidRPr="008C0BFE" w:rsidRDefault="00506EEF" w:rsidP="008F645B">
            <w:pPr>
              <w:suppressAutoHyphens w:val="0"/>
              <w:spacing w:after="0" w:line="240" w:lineRule="auto"/>
              <w:jc w:val="both"/>
              <w:rPr>
                <w:rFonts w:ascii="Arial" w:hAnsi="Arial" w:cs="Arial"/>
                <w:bCs/>
              </w:rPr>
            </w:pPr>
          </w:p>
          <w:p w14:paraId="49145BFA" w14:textId="77777777" w:rsidR="00506EEF" w:rsidRPr="008C0BFE" w:rsidRDefault="00506EEF" w:rsidP="008F645B">
            <w:pPr>
              <w:suppressAutoHyphens w:val="0"/>
              <w:spacing w:after="0" w:line="240" w:lineRule="auto"/>
              <w:jc w:val="both"/>
              <w:rPr>
                <w:rFonts w:ascii="Arial" w:hAnsi="Arial" w:cs="Arial"/>
                <w:bCs/>
              </w:rPr>
            </w:pPr>
          </w:p>
          <w:p w14:paraId="2D196E32" w14:textId="77777777" w:rsidR="00506EEF" w:rsidRPr="008C0BFE" w:rsidRDefault="00506EEF" w:rsidP="008F645B">
            <w:pPr>
              <w:suppressAutoHyphens w:val="0"/>
              <w:spacing w:after="0" w:line="240" w:lineRule="auto"/>
              <w:jc w:val="both"/>
              <w:rPr>
                <w:rFonts w:ascii="Arial" w:hAnsi="Arial" w:cs="Arial"/>
                <w:bCs/>
              </w:rPr>
            </w:pPr>
          </w:p>
          <w:p w14:paraId="43A54EFA" w14:textId="77777777" w:rsidR="00506EEF" w:rsidRPr="008C0BFE" w:rsidRDefault="00506EEF" w:rsidP="008F645B">
            <w:pPr>
              <w:suppressAutoHyphens w:val="0"/>
              <w:spacing w:after="0" w:line="240" w:lineRule="auto"/>
              <w:jc w:val="both"/>
              <w:rPr>
                <w:rFonts w:ascii="Arial" w:hAnsi="Arial" w:cs="Arial"/>
                <w:bCs/>
              </w:rPr>
            </w:pPr>
          </w:p>
          <w:p w14:paraId="37D3AC5B" w14:textId="77777777" w:rsidR="00506EEF" w:rsidRPr="008C0BFE" w:rsidRDefault="00506EEF" w:rsidP="008F645B">
            <w:pPr>
              <w:suppressAutoHyphens w:val="0"/>
              <w:spacing w:after="0" w:line="240" w:lineRule="auto"/>
              <w:jc w:val="both"/>
              <w:rPr>
                <w:rFonts w:ascii="Arial" w:hAnsi="Arial" w:cs="Arial"/>
                <w:bCs/>
              </w:rPr>
            </w:pPr>
          </w:p>
          <w:p w14:paraId="4E87E93D" w14:textId="77777777" w:rsidR="00506EEF" w:rsidRPr="008C0BFE" w:rsidRDefault="00480408" w:rsidP="008F645B">
            <w:pPr>
              <w:suppressAutoHyphens w:val="0"/>
              <w:spacing w:after="0" w:line="240" w:lineRule="auto"/>
              <w:jc w:val="both"/>
              <w:rPr>
                <w:rFonts w:ascii="Arial" w:hAnsi="Arial" w:cs="Arial"/>
                <w:bCs/>
              </w:rPr>
            </w:pPr>
            <w:r w:rsidRPr="008C0BFE">
              <w:rPr>
                <w:rFonts w:ascii="Arial" w:hAnsi="Arial" w:cs="Arial"/>
                <w:bCs/>
              </w:rPr>
              <w:t xml:space="preserve">Fully </w:t>
            </w:r>
            <w:r w:rsidR="00506EEF" w:rsidRPr="008C0BFE">
              <w:rPr>
                <w:rFonts w:ascii="Arial" w:hAnsi="Arial" w:cs="Arial"/>
                <w:bCs/>
              </w:rPr>
              <w:t xml:space="preserve">Implemented </w:t>
            </w:r>
          </w:p>
          <w:p w14:paraId="4F0B9C41" w14:textId="77777777" w:rsidR="00506EEF" w:rsidRPr="008C0BFE" w:rsidRDefault="00506EEF" w:rsidP="008F645B">
            <w:pPr>
              <w:suppressAutoHyphens w:val="0"/>
              <w:spacing w:after="0" w:line="240" w:lineRule="auto"/>
              <w:jc w:val="both"/>
              <w:rPr>
                <w:rFonts w:ascii="Arial" w:hAnsi="Arial" w:cs="Arial"/>
                <w:bCs/>
              </w:rPr>
            </w:pPr>
          </w:p>
          <w:p w14:paraId="0B765451" w14:textId="77777777" w:rsidR="00506EEF" w:rsidRPr="008C0BFE" w:rsidRDefault="00506EEF" w:rsidP="008F645B">
            <w:pPr>
              <w:suppressAutoHyphens w:val="0"/>
              <w:spacing w:after="0" w:line="240" w:lineRule="auto"/>
              <w:jc w:val="both"/>
              <w:rPr>
                <w:rFonts w:ascii="Arial" w:hAnsi="Arial" w:cs="Arial"/>
                <w:bCs/>
              </w:rPr>
            </w:pPr>
          </w:p>
          <w:p w14:paraId="558D4DB7" w14:textId="77777777" w:rsidR="00506EEF" w:rsidRPr="008C0BFE" w:rsidRDefault="00506EEF" w:rsidP="008F645B">
            <w:pPr>
              <w:suppressAutoHyphens w:val="0"/>
              <w:spacing w:after="0" w:line="240" w:lineRule="auto"/>
              <w:jc w:val="both"/>
              <w:rPr>
                <w:rFonts w:ascii="Arial" w:hAnsi="Arial" w:cs="Arial"/>
                <w:bCs/>
              </w:rPr>
            </w:pPr>
          </w:p>
          <w:p w14:paraId="28EB385A" w14:textId="77777777" w:rsidR="00506EEF" w:rsidRPr="008C0BFE" w:rsidRDefault="00506EEF" w:rsidP="008F645B">
            <w:pPr>
              <w:suppressAutoHyphens w:val="0"/>
              <w:spacing w:after="0" w:line="240" w:lineRule="auto"/>
              <w:jc w:val="both"/>
              <w:rPr>
                <w:rFonts w:ascii="Arial" w:hAnsi="Arial" w:cs="Arial"/>
                <w:bCs/>
              </w:rPr>
            </w:pPr>
          </w:p>
          <w:p w14:paraId="62DDAA7D" w14:textId="77777777" w:rsidR="00576DE3" w:rsidRPr="008C0BFE" w:rsidRDefault="00576DE3" w:rsidP="008F645B">
            <w:pPr>
              <w:suppressAutoHyphens w:val="0"/>
              <w:spacing w:after="0" w:line="240" w:lineRule="auto"/>
              <w:jc w:val="both"/>
              <w:rPr>
                <w:rFonts w:ascii="Arial" w:hAnsi="Arial" w:cs="Arial"/>
                <w:bCs/>
              </w:rPr>
            </w:pPr>
          </w:p>
          <w:p w14:paraId="6CE2566C" w14:textId="77777777" w:rsidR="00506EEF" w:rsidRPr="008C0BFE" w:rsidRDefault="00480408" w:rsidP="008F645B">
            <w:pPr>
              <w:suppressAutoHyphens w:val="0"/>
              <w:spacing w:after="0" w:line="240" w:lineRule="auto"/>
              <w:jc w:val="both"/>
              <w:rPr>
                <w:rFonts w:ascii="Arial" w:hAnsi="Arial" w:cs="Arial"/>
                <w:bCs/>
              </w:rPr>
            </w:pPr>
            <w:r w:rsidRPr="008C0BFE">
              <w:rPr>
                <w:rFonts w:ascii="Arial" w:hAnsi="Arial" w:cs="Arial"/>
                <w:bCs/>
              </w:rPr>
              <w:t xml:space="preserve">Fully </w:t>
            </w:r>
            <w:r w:rsidR="00506EEF" w:rsidRPr="008C0BFE">
              <w:rPr>
                <w:rFonts w:ascii="Arial" w:hAnsi="Arial" w:cs="Arial"/>
                <w:bCs/>
              </w:rPr>
              <w:t xml:space="preserve">Implemented </w:t>
            </w:r>
          </w:p>
          <w:p w14:paraId="421A6558" w14:textId="77777777" w:rsidR="00506EEF" w:rsidRPr="008C0BFE" w:rsidRDefault="00506EEF" w:rsidP="008F645B">
            <w:pPr>
              <w:suppressAutoHyphens w:val="0"/>
              <w:spacing w:after="0" w:line="240" w:lineRule="auto"/>
              <w:jc w:val="both"/>
              <w:rPr>
                <w:rFonts w:ascii="Arial" w:hAnsi="Arial" w:cs="Arial"/>
                <w:bCs/>
              </w:rPr>
            </w:pPr>
          </w:p>
          <w:p w14:paraId="09AEC168" w14:textId="77777777" w:rsidR="00506EEF" w:rsidRPr="008C0BFE" w:rsidRDefault="00506EEF" w:rsidP="008F645B">
            <w:pPr>
              <w:suppressAutoHyphens w:val="0"/>
              <w:spacing w:after="0" w:line="240" w:lineRule="auto"/>
              <w:jc w:val="both"/>
              <w:rPr>
                <w:rFonts w:ascii="Arial" w:hAnsi="Arial" w:cs="Arial"/>
                <w:bCs/>
              </w:rPr>
            </w:pPr>
          </w:p>
          <w:p w14:paraId="103E5D7E" w14:textId="77777777" w:rsidR="00506EEF" w:rsidRPr="008C0BFE" w:rsidRDefault="00506EEF" w:rsidP="008F645B">
            <w:pPr>
              <w:suppressAutoHyphens w:val="0"/>
              <w:spacing w:after="0" w:line="240" w:lineRule="auto"/>
              <w:jc w:val="both"/>
              <w:rPr>
                <w:rFonts w:ascii="Arial" w:hAnsi="Arial" w:cs="Arial"/>
                <w:bCs/>
              </w:rPr>
            </w:pPr>
          </w:p>
          <w:p w14:paraId="439572C8" w14:textId="77777777" w:rsidR="00576DE3" w:rsidRPr="008C0BFE" w:rsidRDefault="00576DE3" w:rsidP="008F645B">
            <w:pPr>
              <w:suppressAutoHyphens w:val="0"/>
              <w:spacing w:after="0" w:line="240" w:lineRule="auto"/>
              <w:jc w:val="both"/>
              <w:rPr>
                <w:rFonts w:ascii="Arial" w:hAnsi="Arial" w:cs="Arial"/>
                <w:bCs/>
              </w:rPr>
            </w:pPr>
          </w:p>
          <w:p w14:paraId="57612B7C" w14:textId="77777777" w:rsidR="00506EEF" w:rsidRPr="008C0BFE" w:rsidRDefault="00480408" w:rsidP="008F645B">
            <w:pPr>
              <w:suppressAutoHyphens w:val="0"/>
              <w:spacing w:after="0" w:line="240" w:lineRule="auto"/>
              <w:jc w:val="both"/>
              <w:rPr>
                <w:rFonts w:ascii="Arial" w:hAnsi="Arial" w:cs="Arial"/>
                <w:bCs/>
              </w:rPr>
            </w:pPr>
            <w:r w:rsidRPr="008C0BFE">
              <w:rPr>
                <w:rFonts w:ascii="Arial" w:hAnsi="Arial" w:cs="Arial"/>
                <w:bCs/>
              </w:rPr>
              <w:t xml:space="preserve">Fully </w:t>
            </w:r>
            <w:r w:rsidR="00506EEF" w:rsidRPr="008C0BFE">
              <w:rPr>
                <w:rFonts w:ascii="Arial" w:hAnsi="Arial" w:cs="Arial"/>
                <w:bCs/>
              </w:rPr>
              <w:t>Implemented</w:t>
            </w:r>
          </w:p>
        </w:tc>
      </w:tr>
      <w:tr w:rsidR="007F4DE1" w:rsidRPr="008C0BFE" w14:paraId="65B842C4" w14:textId="77777777" w:rsidTr="00BA509A">
        <w:trPr>
          <w:trHeight w:val="300"/>
        </w:trPr>
        <w:tc>
          <w:tcPr>
            <w:tcW w:w="1602" w:type="dxa"/>
            <w:shd w:val="clear" w:color="auto" w:fill="auto"/>
            <w:noWrap/>
          </w:tcPr>
          <w:p w14:paraId="4214810B" w14:textId="181D7851" w:rsidR="00FC162E" w:rsidRPr="008C0BFE" w:rsidRDefault="00BC6876" w:rsidP="008F645B">
            <w:pPr>
              <w:suppressAutoHyphens w:val="0"/>
              <w:spacing w:after="0" w:line="240" w:lineRule="auto"/>
              <w:ind w:left="-79"/>
              <w:jc w:val="both"/>
              <w:rPr>
                <w:rFonts w:ascii="Arial" w:hAnsi="Arial" w:cs="Arial"/>
              </w:rPr>
            </w:pPr>
            <w:r w:rsidRPr="008C0BFE">
              <w:rPr>
                <w:rFonts w:ascii="Arial" w:hAnsi="Arial" w:cs="Arial"/>
              </w:rPr>
              <w:t xml:space="preserve">AO No. 8 </w:t>
            </w:r>
          </w:p>
          <w:p w14:paraId="1027EA69" w14:textId="09CE1551" w:rsidR="00BC6876" w:rsidRPr="008C0BFE" w:rsidRDefault="00BC6876" w:rsidP="008F645B">
            <w:pPr>
              <w:suppressAutoHyphens w:val="0"/>
              <w:spacing w:after="0" w:line="240" w:lineRule="auto"/>
              <w:ind w:left="-79"/>
              <w:jc w:val="both"/>
              <w:rPr>
                <w:rFonts w:ascii="Arial" w:hAnsi="Arial" w:cs="Arial"/>
              </w:rPr>
            </w:pPr>
            <w:r w:rsidRPr="008C0BFE">
              <w:rPr>
                <w:rFonts w:ascii="Arial" w:hAnsi="Arial" w:cs="Arial"/>
              </w:rPr>
              <w:t>Page 124-127</w:t>
            </w:r>
          </w:p>
        </w:tc>
        <w:tc>
          <w:tcPr>
            <w:tcW w:w="2993" w:type="dxa"/>
            <w:shd w:val="clear" w:color="auto" w:fill="auto"/>
          </w:tcPr>
          <w:p w14:paraId="6658840D" w14:textId="77777777" w:rsidR="00BC6876" w:rsidRPr="00E67D6B" w:rsidRDefault="004468EE" w:rsidP="008F645B">
            <w:pPr>
              <w:pStyle w:val="Default"/>
              <w:jc w:val="both"/>
              <w:rPr>
                <w:color w:val="auto"/>
                <w:sz w:val="22"/>
                <w:szCs w:val="22"/>
              </w:rPr>
            </w:pPr>
            <w:r w:rsidRPr="00E67D6B">
              <w:rPr>
                <w:color w:val="auto"/>
                <w:sz w:val="22"/>
                <w:szCs w:val="22"/>
              </w:rPr>
              <w:t>The Semi-Expendable Machinery and Equipment Expenses, Retained Earnings and Accumulated Depreciation–Office Equipment accounts were overstated by P5.383 million, P1.166 million and P4.217 million, respectively, due to incorrect recording of semi-expendable properties previously classified as Property, Plant and Equipment contrary to Paragraph 15 of Philippine Accounting Standard 1. Moreover, management failed to maintain the prescribed forms, registries, and reports required under COA Circular No. 2022-004, dated May 31, 2022</w:t>
            </w:r>
            <w:r w:rsidR="00BA509A" w:rsidRPr="00E67D6B">
              <w:rPr>
                <w:color w:val="auto"/>
                <w:sz w:val="22"/>
                <w:szCs w:val="22"/>
              </w:rPr>
              <w:t>.</w:t>
            </w:r>
          </w:p>
          <w:p w14:paraId="6CCED29E" w14:textId="77777777" w:rsidR="00BA509A" w:rsidRPr="00E67D6B" w:rsidRDefault="00BA509A" w:rsidP="008F645B">
            <w:pPr>
              <w:pStyle w:val="Default"/>
              <w:jc w:val="both"/>
              <w:rPr>
                <w:color w:val="auto"/>
                <w:sz w:val="22"/>
                <w:szCs w:val="22"/>
              </w:rPr>
            </w:pPr>
          </w:p>
        </w:tc>
        <w:tc>
          <w:tcPr>
            <w:tcW w:w="3492" w:type="dxa"/>
            <w:shd w:val="clear" w:color="auto" w:fill="auto"/>
          </w:tcPr>
          <w:p w14:paraId="5572E6D1" w14:textId="77777777" w:rsidR="00BC6876" w:rsidRPr="00E67D6B" w:rsidRDefault="004468EE" w:rsidP="008F645B">
            <w:pPr>
              <w:pStyle w:val="Default"/>
              <w:jc w:val="both"/>
              <w:rPr>
                <w:color w:val="auto"/>
                <w:sz w:val="22"/>
                <w:szCs w:val="22"/>
              </w:rPr>
            </w:pPr>
            <w:r w:rsidRPr="00E67D6B">
              <w:rPr>
                <w:color w:val="auto"/>
                <w:sz w:val="22"/>
                <w:szCs w:val="22"/>
              </w:rPr>
              <w:t>We recommended</w:t>
            </w:r>
            <w:r w:rsidR="001F522B" w:rsidRPr="00E67D6B">
              <w:rPr>
                <w:color w:val="auto"/>
                <w:sz w:val="22"/>
                <w:szCs w:val="22"/>
              </w:rPr>
              <w:t xml:space="preserve"> </w:t>
            </w:r>
            <w:r w:rsidRPr="00E67D6B">
              <w:rPr>
                <w:color w:val="auto"/>
                <w:sz w:val="22"/>
                <w:szCs w:val="22"/>
              </w:rPr>
              <w:t>Management</w:t>
            </w:r>
            <w:r w:rsidR="001F522B" w:rsidRPr="00E67D6B">
              <w:rPr>
                <w:color w:val="auto"/>
                <w:sz w:val="22"/>
                <w:szCs w:val="22"/>
              </w:rPr>
              <w:t xml:space="preserve"> to</w:t>
            </w:r>
            <w:r w:rsidRPr="00E67D6B">
              <w:rPr>
                <w:color w:val="auto"/>
                <w:sz w:val="22"/>
                <w:szCs w:val="22"/>
              </w:rPr>
              <w:t>:</w:t>
            </w:r>
          </w:p>
          <w:p w14:paraId="340DBDAA" w14:textId="77777777" w:rsidR="004468EE" w:rsidRPr="00E67D6B" w:rsidRDefault="004468EE" w:rsidP="008F645B">
            <w:pPr>
              <w:pStyle w:val="Default"/>
              <w:jc w:val="both"/>
              <w:rPr>
                <w:color w:val="auto"/>
                <w:sz w:val="22"/>
                <w:szCs w:val="22"/>
              </w:rPr>
            </w:pPr>
          </w:p>
          <w:p w14:paraId="0E31DF27" w14:textId="77777777" w:rsidR="004468EE" w:rsidRPr="00E67D6B" w:rsidRDefault="004468EE" w:rsidP="00922511">
            <w:pPr>
              <w:pStyle w:val="Default"/>
              <w:numPr>
                <w:ilvl w:val="0"/>
                <w:numId w:val="22"/>
              </w:numPr>
              <w:ind w:left="409" w:hanging="409"/>
              <w:jc w:val="both"/>
              <w:rPr>
                <w:color w:val="auto"/>
                <w:sz w:val="22"/>
                <w:szCs w:val="22"/>
              </w:rPr>
            </w:pPr>
            <w:r w:rsidRPr="00E67D6B">
              <w:rPr>
                <w:color w:val="auto"/>
                <w:sz w:val="22"/>
                <w:szCs w:val="22"/>
              </w:rPr>
              <w:t>Direct the ABD personnel to provide an adjusting entry to adjust the overstatement of the Semi-Expendable Machinery and Equipment Expenses, RE and Accumulated Depreciation– Office Equipment accounts of P5.383 million, P1.166 million and P4.217 million, respectively</w:t>
            </w:r>
            <w:r w:rsidR="00922511" w:rsidRPr="00E67D6B">
              <w:rPr>
                <w:color w:val="auto"/>
                <w:sz w:val="22"/>
                <w:szCs w:val="22"/>
              </w:rPr>
              <w:t>.</w:t>
            </w:r>
          </w:p>
          <w:p w14:paraId="2A4A9E15" w14:textId="77777777" w:rsidR="004468EE" w:rsidRPr="00E67D6B" w:rsidRDefault="004468EE" w:rsidP="004468EE">
            <w:pPr>
              <w:pStyle w:val="Default"/>
              <w:ind w:left="720"/>
              <w:jc w:val="both"/>
              <w:rPr>
                <w:color w:val="auto"/>
                <w:sz w:val="22"/>
                <w:szCs w:val="22"/>
              </w:rPr>
            </w:pPr>
          </w:p>
          <w:p w14:paraId="0B9F46FA" w14:textId="77777777" w:rsidR="004468EE" w:rsidRPr="00E67D6B" w:rsidRDefault="004468EE" w:rsidP="00922511">
            <w:pPr>
              <w:pStyle w:val="Default"/>
              <w:numPr>
                <w:ilvl w:val="0"/>
                <w:numId w:val="22"/>
              </w:numPr>
              <w:ind w:left="409" w:hanging="450"/>
              <w:jc w:val="both"/>
              <w:rPr>
                <w:color w:val="auto"/>
                <w:sz w:val="22"/>
                <w:szCs w:val="22"/>
              </w:rPr>
            </w:pPr>
            <w:r w:rsidRPr="00E67D6B">
              <w:rPr>
                <w:color w:val="auto"/>
                <w:sz w:val="22"/>
                <w:szCs w:val="22"/>
              </w:rPr>
              <w:t>Direct all concerned personnel to prepare and maintain the forms, registry and reports required under Section 4.7 of COA Circular No. 2022-004 dated May 31, 2022</w:t>
            </w:r>
            <w:r w:rsidR="00922511" w:rsidRPr="00E67D6B">
              <w:rPr>
                <w:color w:val="auto"/>
                <w:sz w:val="22"/>
                <w:szCs w:val="22"/>
              </w:rPr>
              <w:t>.</w:t>
            </w:r>
          </w:p>
        </w:tc>
        <w:tc>
          <w:tcPr>
            <w:tcW w:w="1975" w:type="dxa"/>
            <w:shd w:val="clear" w:color="auto" w:fill="auto"/>
          </w:tcPr>
          <w:p w14:paraId="787292E6" w14:textId="77777777" w:rsidR="00BC6876" w:rsidRPr="008C0BFE" w:rsidRDefault="00BC6876" w:rsidP="008F645B">
            <w:pPr>
              <w:suppressAutoHyphens w:val="0"/>
              <w:spacing w:after="0" w:line="240" w:lineRule="auto"/>
              <w:jc w:val="both"/>
              <w:rPr>
                <w:rFonts w:ascii="Arial" w:hAnsi="Arial" w:cs="Arial"/>
                <w:bCs/>
              </w:rPr>
            </w:pPr>
          </w:p>
          <w:p w14:paraId="5E7A7697" w14:textId="77777777" w:rsidR="004468EE" w:rsidRPr="008C0BFE" w:rsidRDefault="004468EE" w:rsidP="008F645B">
            <w:pPr>
              <w:suppressAutoHyphens w:val="0"/>
              <w:spacing w:after="0" w:line="240" w:lineRule="auto"/>
              <w:jc w:val="both"/>
              <w:rPr>
                <w:rFonts w:ascii="Arial" w:hAnsi="Arial" w:cs="Arial"/>
                <w:bCs/>
              </w:rPr>
            </w:pPr>
          </w:p>
          <w:p w14:paraId="1B247492" w14:textId="77777777" w:rsidR="004468EE" w:rsidRPr="008C0BFE" w:rsidRDefault="004468EE" w:rsidP="008F645B">
            <w:pPr>
              <w:suppressAutoHyphens w:val="0"/>
              <w:spacing w:after="0" w:line="240" w:lineRule="auto"/>
              <w:jc w:val="both"/>
              <w:rPr>
                <w:rFonts w:ascii="Arial" w:hAnsi="Arial" w:cs="Arial"/>
                <w:bCs/>
              </w:rPr>
            </w:pPr>
          </w:p>
          <w:p w14:paraId="5FF979F5" w14:textId="77777777" w:rsidR="004468EE" w:rsidRPr="008C0BFE" w:rsidRDefault="00480408" w:rsidP="008F645B">
            <w:pPr>
              <w:suppressAutoHyphens w:val="0"/>
              <w:spacing w:after="0" w:line="240" w:lineRule="auto"/>
              <w:jc w:val="both"/>
              <w:rPr>
                <w:rFonts w:ascii="Arial" w:hAnsi="Arial" w:cs="Arial"/>
                <w:bCs/>
              </w:rPr>
            </w:pPr>
            <w:r w:rsidRPr="008C0BFE">
              <w:rPr>
                <w:rFonts w:ascii="Arial" w:hAnsi="Arial" w:cs="Arial"/>
                <w:bCs/>
              </w:rPr>
              <w:t xml:space="preserve">Fully </w:t>
            </w:r>
            <w:r w:rsidR="004468EE" w:rsidRPr="008C0BFE">
              <w:rPr>
                <w:rFonts w:ascii="Arial" w:hAnsi="Arial" w:cs="Arial"/>
                <w:bCs/>
              </w:rPr>
              <w:t>Implemented</w:t>
            </w:r>
          </w:p>
          <w:p w14:paraId="00C89283" w14:textId="77777777" w:rsidR="004468EE" w:rsidRPr="008C0BFE" w:rsidRDefault="004468EE" w:rsidP="008F645B">
            <w:pPr>
              <w:suppressAutoHyphens w:val="0"/>
              <w:spacing w:after="0" w:line="240" w:lineRule="auto"/>
              <w:jc w:val="both"/>
              <w:rPr>
                <w:rFonts w:ascii="Arial" w:hAnsi="Arial" w:cs="Arial"/>
                <w:bCs/>
              </w:rPr>
            </w:pPr>
          </w:p>
          <w:p w14:paraId="29A94B49" w14:textId="77777777" w:rsidR="004468EE" w:rsidRPr="008C0BFE" w:rsidRDefault="004468EE" w:rsidP="008F645B">
            <w:pPr>
              <w:suppressAutoHyphens w:val="0"/>
              <w:spacing w:after="0" w:line="240" w:lineRule="auto"/>
              <w:jc w:val="both"/>
              <w:rPr>
                <w:rFonts w:ascii="Arial" w:hAnsi="Arial" w:cs="Arial"/>
                <w:bCs/>
              </w:rPr>
            </w:pPr>
          </w:p>
          <w:p w14:paraId="5EBA02FD" w14:textId="77777777" w:rsidR="004468EE" w:rsidRPr="008C0BFE" w:rsidRDefault="004468EE" w:rsidP="008F645B">
            <w:pPr>
              <w:suppressAutoHyphens w:val="0"/>
              <w:spacing w:after="0" w:line="240" w:lineRule="auto"/>
              <w:jc w:val="both"/>
              <w:rPr>
                <w:rFonts w:ascii="Arial" w:hAnsi="Arial" w:cs="Arial"/>
                <w:bCs/>
              </w:rPr>
            </w:pPr>
          </w:p>
          <w:p w14:paraId="21119697" w14:textId="77777777" w:rsidR="004468EE" w:rsidRPr="008C0BFE" w:rsidRDefault="004468EE" w:rsidP="008F645B">
            <w:pPr>
              <w:suppressAutoHyphens w:val="0"/>
              <w:spacing w:after="0" w:line="240" w:lineRule="auto"/>
              <w:jc w:val="both"/>
              <w:rPr>
                <w:rFonts w:ascii="Arial" w:hAnsi="Arial" w:cs="Arial"/>
                <w:bCs/>
              </w:rPr>
            </w:pPr>
          </w:p>
          <w:p w14:paraId="3ACAE597" w14:textId="77777777" w:rsidR="004468EE" w:rsidRPr="008C0BFE" w:rsidRDefault="004468EE" w:rsidP="008F645B">
            <w:pPr>
              <w:suppressAutoHyphens w:val="0"/>
              <w:spacing w:after="0" w:line="240" w:lineRule="auto"/>
              <w:jc w:val="both"/>
              <w:rPr>
                <w:rFonts w:ascii="Arial" w:hAnsi="Arial" w:cs="Arial"/>
                <w:bCs/>
              </w:rPr>
            </w:pPr>
          </w:p>
          <w:p w14:paraId="14D69751" w14:textId="77777777" w:rsidR="004468EE" w:rsidRPr="008C0BFE" w:rsidRDefault="004468EE" w:rsidP="008F645B">
            <w:pPr>
              <w:suppressAutoHyphens w:val="0"/>
              <w:spacing w:after="0" w:line="240" w:lineRule="auto"/>
              <w:jc w:val="both"/>
              <w:rPr>
                <w:rFonts w:ascii="Arial" w:hAnsi="Arial" w:cs="Arial"/>
                <w:bCs/>
              </w:rPr>
            </w:pPr>
          </w:p>
          <w:p w14:paraId="0777C084" w14:textId="77777777" w:rsidR="004468EE" w:rsidRPr="008C0BFE" w:rsidRDefault="004468EE" w:rsidP="008F645B">
            <w:pPr>
              <w:suppressAutoHyphens w:val="0"/>
              <w:spacing w:after="0" w:line="240" w:lineRule="auto"/>
              <w:jc w:val="both"/>
              <w:rPr>
                <w:rFonts w:ascii="Arial" w:hAnsi="Arial" w:cs="Arial"/>
                <w:bCs/>
              </w:rPr>
            </w:pPr>
          </w:p>
          <w:p w14:paraId="18214360" w14:textId="77777777" w:rsidR="004468EE" w:rsidRPr="008C0BFE" w:rsidRDefault="004468EE" w:rsidP="008F645B">
            <w:pPr>
              <w:suppressAutoHyphens w:val="0"/>
              <w:spacing w:after="0" w:line="240" w:lineRule="auto"/>
              <w:jc w:val="both"/>
              <w:rPr>
                <w:rFonts w:ascii="Arial" w:hAnsi="Arial" w:cs="Arial"/>
                <w:bCs/>
              </w:rPr>
            </w:pPr>
          </w:p>
          <w:p w14:paraId="4F226EEC" w14:textId="77777777" w:rsidR="004468EE" w:rsidRPr="008C0BFE" w:rsidRDefault="004468EE" w:rsidP="008F645B">
            <w:pPr>
              <w:suppressAutoHyphens w:val="0"/>
              <w:spacing w:after="0" w:line="240" w:lineRule="auto"/>
              <w:jc w:val="both"/>
              <w:rPr>
                <w:rFonts w:ascii="Arial" w:hAnsi="Arial" w:cs="Arial"/>
                <w:bCs/>
              </w:rPr>
            </w:pPr>
          </w:p>
          <w:p w14:paraId="770644A6" w14:textId="77777777" w:rsidR="004468EE" w:rsidRPr="008C0BFE" w:rsidRDefault="004468EE" w:rsidP="008F645B">
            <w:pPr>
              <w:suppressAutoHyphens w:val="0"/>
              <w:spacing w:after="0" w:line="240" w:lineRule="auto"/>
              <w:jc w:val="both"/>
              <w:rPr>
                <w:rFonts w:ascii="Arial" w:hAnsi="Arial" w:cs="Arial"/>
                <w:bCs/>
              </w:rPr>
            </w:pPr>
          </w:p>
          <w:p w14:paraId="46848A3E" w14:textId="77777777" w:rsidR="004468EE" w:rsidRPr="008C0BFE" w:rsidRDefault="00480408" w:rsidP="008F645B">
            <w:pPr>
              <w:suppressAutoHyphens w:val="0"/>
              <w:spacing w:after="0" w:line="240" w:lineRule="auto"/>
              <w:jc w:val="both"/>
              <w:rPr>
                <w:rFonts w:ascii="Arial" w:hAnsi="Arial" w:cs="Arial"/>
                <w:bCs/>
              </w:rPr>
            </w:pPr>
            <w:r w:rsidRPr="008C0BFE">
              <w:rPr>
                <w:rFonts w:ascii="Arial" w:hAnsi="Arial" w:cs="Arial"/>
                <w:bCs/>
              </w:rPr>
              <w:t xml:space="preserve">Fully </w:t>
            </w:r>
            <w:r w:rsidR="004468EE" w:rsidRPr="008C0BFE">
              <w:rPr>
                <w:rFonts w:ascii="Arial" w:hAnsi="Arial" w:cs="Arial"/>
                <w:bCs/>
              </w:rPr>
              <w:t>Implemented</w:t>
            </w:r>
          </w:p>
        </w:tc>
      </w:tr>
      <w:tr w:rsidR="007F4DE1" w:rsidRPr="008C0BFE" w14:paraId="45662B94" w14:textId="77777777" w:rsidTr="00BA509A">
        <w:trPr>
          <w:trHeight w:val="300"/>
        </w:trPr>
        <w:tc>
          <w:tcPr>
            <w:tcW w:w="1602" w:type="dxa"/>
            <w:shd w:val="clear" w:color="auto" w:fill="auto"/>
            <w:noWrap/>
          </w:tcPr>
          <w:p w14:paraId="104EC64F" w14:textId="5FE1B57B" w:rsidR="00FC162E" w:rsidRPr="008C0BFE" w:rsidRDefault="00DD7973" w:rsidP="008F645B">
            <w:pPr>
              <w:suppressAutoHyphens w:val="0"/>
              <w:spacing w:after="0" w:line="240" w:lineRule="auto"/>
              <w:ind w:left="-79"/>
              <w:jc w:val="both"/>
              <w:rPr>
                <w:rFonts w:ascii="Arial" w:hAnsi="Arial" w:cs="Arial"/>
              </w:rPr>
            </w:pPr>
            <w:r w:rsidRPr="008C0BFE">
              <w:rPr>
                <w:rFonts w:ascii="Arial" w:hAnsi="Arial" w:cs="Arial"/>
              </w:rPr>
              <w:t xml:space="preserve">AO No. 9 </w:t>
            </w:r>
          </w:p>
          <w:p w14:paraId="68E635AA" w14:textId="580343D9" w:rsidR="00DD7973" w:rsidRPr="008C0BFE" w:rsidRDefault="00DD7973" w:rsidP="008F645B">
            <w:pPr>
              <w:suppressAutoHyphens w:val="0"/>
              <w:spacing w:after="0" w:line="240" w:lineRule="auto"/>
              <w:ind w:left="-79"/>
              <w:jc w:val="both"/>
              <w:rPr>
                <w:rFonts w:ascii="Arial" w:hAnsi="Arial" w:cs="Arial"/>
              </w:rPr>
            </w:pPr>
            <w:r w:rsidRPr="008C0BFE">
              <w:rPr>
                <w:rFonts w:ascii="Arial" w:hAnsi="Arial" w:cs="Arial"/>
              </w:rPr>
              <w:t>Page 127-130</w:t>
            </w:r>
          </w:p>
        </w:tc>
        <w:tc>
          <w:tcPr>
            <w:tcW w:w="2993" w:type="dxa"/>
            <w:shd w:val="clear" w:color="auto" w:fill="auto"/>
          </w:tcPr>
          <w:p w14:paraId="62A59A24" w14:textId="77777777" w:rsidR="00DD7973" w:rsidRPr="00E67D6B" w:rsidRDefault="008479E6" w:rsidP="008F645B">
            <w:pPr>
              <w:pStyle w:val="Default"/>
              <w:jc w:val="both"/>
              <w:rPr>
                <w:color w:val="auto"/>
                <w:sz w:val="22"/>
                <w:szCs w:val="22"/>
              </w:rPr>
            </w:pPr>
            <w:r w:rsidRPr="00E67D6B">
              <w:rPr>
                <w:color w:val="auto"/>
                <w:sz w:val="22"/>
                <w:szCs w:val="22"/>
              </w:rPr>
              <w:t>Journal Entry Voucher for the donation of the 12 units of Patient Transport Vehicle (PTV) to Local Government Units involving a total amount of P23.868 million was drawn despite the absence of Deeds of Donation, contrary to Section 5 of the Implementing Rules and Regulations for the Medical Transport Vehicle Donation Program. Likewise, two PTVs for donation still in the custody of PCSO were already recorded as donated, thereby understating the Other Assets-Mobile Clinics/Ambulance for Donation account and overstating the Charity Expenses-Other Charity Expenses-Ambulance Donation Program account both by P3.978 million</w:t>
            </w:r>
            <w:r w:rsidR="00BA509A" w:rsidRPr="00E67D6B">
              <w:rPr>
                <w:color w:val="auto"/>
                <w:sz w:val="22"/>
                <w:szCs w:val="22"/>
              </w:rPr>
              <w:t>.</w:t>
            </w:r>
          </w:p>
          <w:p w14:paraId="061739B0" w14:textId="77777777" w:rsidR="00BA509A" w:rsidRPr="00E67D6B" w:rsidRDefault="00BA509A" w:rsidP="008F645B">
            <w:pPr>
              <w:pStyle w:val="Default"/>
              <w:jc w:val="both"/>
              <w:rPr>
                <w:color w:val="auto"/>
                <w:sz w:val="22"/>
                <w:szCs w:val="22"/>
              </w:rPr>
            </w:pPr>
          </w:p>
        </w:tc>
        <w:tc>
          <w:tcPr>
            <w:tcW w:w="3492" w:type="dxa"/>
            <w:shd w:val="clear" w:color="auto" w:fill="auto"/>
          </w:tcPr>
          <w:p w14:paraId="440CC9E9" w14:textId="77777777" w:rsidR="00DD7973" w:rsidRPr="00E67D6B" w:rsidRDefault="00375C1E" w:rsidP="008F645B">
            <w:pPr>
              <w:pStyle w:val="Default"/>
              <w:jc w:val="both"/>
              <w:rPr>
                <w:color w:val="auto"/>
                <w:sz w:val="22"/>
                <w:szCs w:val="22"/>
              </w:rPr>
            </w:pPr>
            <w:r w:rsidRPr="00E67D6B">
              <w:rPr>
                <w:color w:val="auto"/>
                <w:sz w:val="22"/>
                <w:szCs w:val="22"/>
              </w:rPr>
              <w:t xml:space="preserve">We recommended </w:t>
            </w:r>
            <w:r w:rsidR="008479E6" w:rsidRPr="00E67D6B">
              <w:rPr>
                <w:color w:val="auto"/>
                <w:sz w:val="22"/>
                <w:szCs w:val="22"/>
              </w:rPr>
              <w:t>Management</w:t>
            </w:r>
            <w:r w:rsidRPr="00E67D6B">
              <w:rPr>
                <w:color w:val="auto"/>
                <w:sz w:val="22"/>
                <w:szCs w:val="22"/>
              </w:rPr>
              <w:t xml:space="preserve"> to direct the ABD to</w:t>
            </w:r>
            <w:r w:rsidR="008479E6" w:rsidRPr="00E67D6B">
              <w:rPr>
                <w:color w:val="auto"/>
                <w:sz w:val="22"/>
                <w:szCs w:val="22"/>
              </w:rPr>
              <w:t>:</w:t>
            </w:r>
          </w:p>
          <w:p w14:paraId="39AAD998" w14:textId="77777777" w:rsidR="008479E6" w:rsidRPr="00E67D6B" w:rsidRDefault="008479E6" w:rsidP="008F645B">
            <w:pPr>
              <w:pStyle w:val="Default"/>
              <w:jc w:val="both"/>
              <w:rPr>
                <w:color w:val="auto"/>
                <w:sz w:val="22"/>
                <w:szCs w:val="22"/>
              </w:rPr>
            </w:pPr>
          </w:p>
          <w:p w14:paraId="6A6A6FE9" w14:textId="77777777" w:rsidR="008479E6" w:rsidRPr="00E67D6B" w:rsidRDefault="008479E6" w:rsidP="00922511">
            <w:pPr>
              <w:pStyle w:val="Default"/>
              <w:numPr>
                <w:ilvl w:val="0"/>
                <w:numId w:val="23"/>
              </w:numPr>
              <w:ind w:left="409" w:hanging="450"/>
              <w:jc w:val="both"/>
              <w:rPr>
                <w:color w:val="auto"/>
                <w:sz w:val="22"/>
                <w:szCs w:val="22"/>
              </w:rPr>
            </w:pPr>
            <w:r w:rsidRPr="00E67D6B">
              <w:rPr>
                <w:color w:val="auto"/>
                <w:sz w:val="22"/>
                <w:szCs w:val="22"/>
              </w:rPr>
              <w:t>Ensure that JEVs drawn to record the release of PTVs were supported with DODs</w:t>
            </w:r>
            <w:r w:rsidR="00922511" w:rsidRPr="00E67D6B">
              <w:rPr>
                <w:color w:val="auto"/>
                <w:sz w:val="22"/>
                <w:szCs w:val="22"/>
              </w:rPr>
              <w:t>.</w:t>
            </w:r>
          </w:p>
          <w:p w14:paraId="105439BB" w14:textId="77777777" w:rsidR="008479E6" w:rsidRPr="00E67D6B" w:rsidRDefault="008479E6" w:rsidP="008479E6">
            <w:pPr>
              <w:pStyle w:val="Default"/>
              <w:ind w:left="720"/>
              <w:jc w:val="both"/>
              <w:rPr>
                <w:color w:val="auto"/>
                <w:sz w:val="22"/>
                <w:szCs w:val="22"/>
              </w:rPr>
            </w:pPr>
          </w:p>
          <w:p w14:paraId="0A37669F" w14:textId="77777777" w:rsidR="008479E6" w:rsidRPr="00E67D6B" w:rsidRDefault="008479E6" w:rsidP="00922511">
            <w:pPr>
              <w:pStyle w:val="Default"/>
              <w:numPr>
                <w:ilvl w:val="0"/>
                <w:numId w:val="23"/>
              </w:numPr>
              <w:ind w:left="409" w:hanging="409"/>
              <w:jc w:val="both"/>
              <w:rPr>
                <w:color w:val="auto"/>
                <w:sz w:val="22"/>
                <w:szCs w:val="22"/>
              </w:rPr>
            </w:pPr>
            <w:r w:rsidRPr="00E67D6B">
              <w:rPr>
                <w:color w:val="auto"/>
                <w:sz w:val="22"/>
                <w:szCs w:val="22"/>
              </w:rPr>
              <w:t>Prepare the necessary adjusting entries to correct the understatement of Other Assets-Mobile Clinics/Ambulance for Donation account and Retained Earning – Charity Fund amounting to P3.978 million resulting from the erroneous recording of the PTV units still for donation</w:t>
            </w:r>
            <w:r w:rsidR="00922511" w:rsidRPr="00E67D6B">
              <w:rPr>
                <w:color w:val="auto"/>
                <w:sz w:val="22"/>
                <w:szCs w:val="22"/>
              </w:rPr>
              <w:t>.</w:t>
            </w:r>
          </w:p>
        </w:tc>
        <w:tc>
          <w:tcPr>
            <w:tcW w:w="1975" w:type="dxa"/>
            <w:shd w:val="clear" w:color="auto" w:fill="auto"/>
          </w:tcPr>
          <w:p w14:paraId="0A689145" w14:textId="77777777" w:rsidR="00DD7973" w:rsidRPr="008C0BFE" w:rsidRDefault="00DD7973" w:rsidP="008F645B">
            <w:pPr>
              <w:suppressAutoHyphens w:val="0"/>
              <w:spacing w:after="0" w:line="240" w:lineRule="auto"/>
              <w:jc w:val="both"/>
              <w:rPr>
                <w:rFonts w:ascii="Arial" w:hAnsi="Arial" w:cs="Arial"/>
                <w:bCs/>
              </w:rPr>
            </w:pPr>
          </w:p>
          <w:p w14:paraId="6899BDAF" w14:textId="77777777" w:rsidR="008479E6" w:rsidRPr="008C0BFE" w:rsidRDefault="008479E6" w:rsidP="008F645B">
            <w:pPr>
              <w:suppressAutoHyphens w:val="0"/>
              <w:spacing w:after="0" w:line="240" w:lineRule="auto"/>
              <w:jc w:val="both"/>
              <w:rPr>
                <w:rFonts w:ascii="Arial" w:hAnsi="Arial" w:cs="Arial"/>
                <w:bCs/>
              </w:rPr>
            </w:pPr>
          </w:p>
          <w:p w14:paraId="6D0ED690" w14:textId="77777777" w:rsidR="008479E6" w:rsidRPr="008C0BFE" w:rsidRDefault="008479E6" w:rsidP="008F645B">
            <w:pPr>
              <w:suppressAutoHyphens w:val="0"/>
              <w:spacing w:after="0" w:line="240" w:lineRule="auto"/>
              <w:jc w:val="both"/>
              <w:rPr>
                <w:rFonts w:ascii="Arial" w:hAnsi="Arial" w:cs="Arial"/>
                <w:bCs/>
              </w:rPr>
            </w:pPr>
          </w:p>
          <w:p w14:paraId="6D4A330B" w14:textId="77777777" w:rsidR="008479E6" w:rsidRPr="008C0BFE" w:rsidRDefault="00480408" w:rsidP="008F645B">
            <w:pPr>
              <w:suppressAutoHyphens w:val="0"/>
              <w:spacing w:after="0" w:line="240" w:lineRule="auto"/>
              <w:jc w:val="both"/>
              <w:rPr>
                <w:rFonts w:ascii="Arial" w:hAnsi="Arial" w:cs="Arial"/>
                <w:bCs/>
              </w:rPr>
            </w:pPr>
            <w:r w:rsidRPr="008C0BFE">
              <w:rPr>
                <w:rFonts w:ascii="Arial" w:hAnsi="Arial" w:cs="Arial"/>
                <w:bCs/>
              </w:rPr>
              <w:t xml:space="preserve">Fully </w:t>
            </w:r>
            <w:r w:rsidR="008479E6" w:rsidRPr="008C0BFE">
              <w:rPr>
                <w:rFonts w:ascii="Arial" w:hAnsi="Arial" w:cs="Arial"/>
                <w:bCs/>
              </w:rPr>
              <w:t>Implemented</w:t>
            </w:r>
          </w:p>
          <w:p w14:paraId="52951A04" w14:textId="77777777" w:rsidR="008479E6" w:rsidRPr="008C0BFE" w:rsidRDefault="008479E6" w:rsidP="008F645B">
            <w:pPr>
              <w:suppressAutoHyphens w:val="0"/>
              <w:spacing w:after="0" w:line="240" w:lineRule="auto"/>
              <w:jc w:val="both"/>
              <w:rPr>
                <w:rFonts w:ascii="Arial" w:hAnsi="Arial" w:cs="Arial"/>
                <w:bCs/>
              </w:rPr>
            </w:pPr>
          </w:p>
          <w:p w14:paraId="3D13F062" w14:textId="77777777" w:rsidR="008479E6" w:rsidRPr="008C0BFE" w:rsidRDefault="008479E6" w:rsidP="008F645B">
            <w:pPr>
              <w:suppressAutoHyphens w:val="0"/>
              <w:spacing w:after="0" w:line="240" w:lineRule="auto"/>
              <w:jc w:val="both"/>
              <w:rPr>
                <w:rFonts w:ascii="Arial" w:hAnsi="Arial" w:cs="Arial"/>
                <w:bCs/>
              </w:rPr>
            </w:pPr>
          </w:p>
          <w:p w14:paraId="40F9ACC7" w14:textId="77777777" w:rsidR="008479E6" w:rsidRPr="008C0BFE" w:rsidRDefault="00480408" w:rsidP="008F645B">
            <w:pPr>
              <w:suppressAutoHyphens w:val="0"/>
              <w:spacing w:after="0" w:line="240" w:lineRule="auto"/>
              <w:jc w:val="both"/>
              <w:rPr>
                <w:rFonts w:ascii="Arial" w:hAnsi="Arial" w:cs="Arial"/>
                <w:bCs/>
              </w:rPr>
            </w:pPr>
            <w:r w:rsidRPr="008C0BFE">
              <w:rPr>
                <w:rFonts w:ascii="Arial" w:hAnsi="Arial" w:cs="Arial"/>
                <w:bCs/>
              </w:rPr>
              <w:t xml:space="preserve">Fully </w:t>
            </w:r>
            <w:r w:rsidR="008479E6" w:rsidRPr="008C0BFE">
              <w:rPr>
                <w:rFonts w:ascii="Arial" w:hAnsi="Arial" w:cs="Arial"/>
                <w:bCs/>
              </w:rPr>
              <w:t>Implemented</w:t>
            </w:r>
          </w:p>
        </w:tc>
      </w:tr>
      <w:tr w:rsidR="007F4DE1" w:rsidRPr="008C0BFE" w14:paraId="48C9C49A" w14:textId="77777777" w:rsidTr="00BA509A">
        <w:trPr>
          <w:trHeight w:val="300"/>
        </w:trPr>
        <w:tc>
          <w:tcPr>
            <w:tcW w:w="1602" w:type="dxa"/>
            <w:shd w:val="clear" w:color="auto" w:fill="auto"/>
            <w:noWrap/>
          </w:tcPr>
          <w:p w14:paraId="06A9980A" w14:textId="102E698B" w:rsidR="00FC162E" w:rsidRPr="008C0BFE" w:rsidRDefault="008479E6" w:rsidP="00BA509A">
            <w:pPr>
              <w:suppressAutoHyphens w:val="0"/>
              <w:spacing w:after="0" w:line="240" w:lineRule="auto"/>
              <w:jc w:val="both"/>
              <w:rPr>
                <w:rFonts w:ascii="Arial" w:hAnsi="Arial" w:cs="Arial"/>
              </w:rPr>
            </w:pPr>
            <w:r w:rsidRPr="008C0BFE">
              <w:rPr>
                <w:rFonts w:ascii="Arial" w:hAnsi="Arial" w:cs="Arial"/>
              </w:rPr>
              <w:t xml:space="preserve">AO No. </w:t>
            </w:r>
          </w:p>
          <w:p w14:paraId="7BA2AC12" w14:textId="4E96B4F9" w:rsidR="008479E6" w:rsidRPr="008C0BFE" w:rsidRDefault="008479E6" w:rsidP="00BA509A">
            <w:pPr>
              <w:suppressAutoHyphens w:val="0"/>
              <w:spacing w:after="0" w:line="240" w:lineRule="auto"/>
              <w:jc w:val="both"/>
              <w:rPr>
                <w:rFonts w:ascii="Arial" w:hAnsi="Arial" w:cs="Arial"/>
              </w:rPr>
            </w:pPr>
            <w:r w:rsidRPr="008C0BFE">
              <w:rPr>
                <w:rFonts w:ascii="Arial" w:hAnsi="Arial" w:cs="Arial"/>
              </w:rPr>
              <w:t>10 Page 130-132</w:t>
            </w:r>
          </w:p>
        </w:tc>
        <w:tc>
          <w:tcPr>
            <w:tcW w:w="2993" w:type="dxa"/>
            <w:shd w:val="clear" w:color="auto" w:fill="auto"/>
          </w:tcPr>
          <w:p w14:paraId="2AB0308B" w14:textId="77777777" w:rsidR="008479E6" w:rsidRPr="00E67D6B" w:rsidRDefault="00E561FD" w:rsidP="008F645B">
            <w:pPr>
              <w:pStyle w:val="Default"/>
              <w:jc w:val="both"/>
              <w:rPr>
                <w:color w:val="auto"/>
                <w:sz w:val="22"/>
                <w:szCs w:val="22"/>
              </w:rPr>
            </w:pPr>
            <w:r w:rsidRPr="00E67D6B">
              <w:rPr>
                <w:color w:val="auto"/>
                <w:sz w:val="22"/>
                <w:szCs w:val="22"/>
              </w:rPr>
              <w:t>The validity and reliability of the Miscellaneous Payable-Congressional Claims (STL) account as of December 31, 2022, amounting to P156.951 million could not be established due to (a) the long outstanding claims by the Congressional Districts (CD) from the STL Charity Fund, and (b) the non-maintenance of Subsidiary Ledgers to support the General Ledger balance of the account with details of the amount due each CD, contrary to Paragraph 15 of Philippine Accounting Standard 1 and Sections 111 and 114 (2) of Presidential Decree No. 1445</w:t>
            </w:r>
            <w:r w:rsidR="00BA509A" w:rsidRPr="00E67D6B">
              <w:rPr>
                <w:color w:val="auto"/>
                <w:sz w:val="22"/>
                <w:szCs w:val="22"/>
              </w:rPr>
              <w:t>.</w:t>
            </w:r>
          </w:p>
          <w:p w14:paraId="4442FDAB" w14:textId="77777777" w:rsidR="00922511" w:rsidRPr="00E67D6B" w:rsidRDefault="00922511" w:rsidP="008F645B">
            <w:pPr>
              <w:pStyle w:val="Default"/>
              <w:jc w:val="both"/>
              <w:rPr>
                <w:color w:val="auto"/>
                <w:sz w:val="22"/>
                <w:szCs w:val="22"/>
              </w:rPr>
            </w:pPr>
          </w:p>
        </w:tc>
        <w:tc>
          <w:tcPr>
            <w:tcW w:w="3492" w:type="dxa"/>
            <w:shd w:val="clear" w:color="auto" w:fill="auto"/>
          </w:tcPr>
          <w:p w14:paraId="590A534D" w14:textId="77777777" w:rsidR="008479E6" w:rsidRPr="00E67D6B" w:rsidRDefault="00375C1E" w:rsidP="008F645B">
            <w:pPr>
              <w:pStyle w:val="Default"/>
              <w:jc w:val="both"/>
              <w:rPr>
                <w:color w:val="auto"/>
                <w:sz w:val="22"/>
                <w:szCs w:val="22"/>
              </w:rPr>
            </w:pPr>
            <w:r w:rsidRPr="00E67D6B">
              <w:rPr>
                <w:color w:val="auto"/>
                <w:sz w:val="22"/>
                <w:szCs w:val="22"/>
              </w:rPr>
              <w:t xml:space="preserve">We recommended </w:t>
            </w:r>
            <w:r w:rsidR="00E561FD" w:rsidRPr="00E67D6B">
              <w:rPr>
                <w:color w:val="auto"/>
                <w:sz w:val="22"/>
                <w:szCs w:val="22"/>
              </w:rPr>
              <w:t>Management</w:t>
            </w:r>
            <w:r w:rsidRPr="00E67D6B">
              <w:rPr>
                <w:color w:val="auto"/>
                <w:sz w:val="22"/>
                <w:szCs w:val="22"/>
              </w:rPr>
              <w:t xml:space="preserve"> to</w:t>
            </w:r>
            <w:r w:rsidR="00E561FD" w:rsidRPr="00E67D6B">
              <w:rPr>
                <w:color w:val="auto"/>
                <w:sz w:val="22"/>
                <w:szCs w:val="22"/>
              </w:rPr>
              <w:t>:</w:t>
            </w:r>
          </w:p>
          <w:p w14:paraId="7C2A8411" w14:textId="77777777" w:rsidR="00E561FD" w:rsidRPr="00E67D6B" w:rsidRDefault="00E561FD" w:rsidP="008F645B">
            <w:pPr>
              <w:pStyle w:val="Default"/>
              <w:jc w:val="both"/>
              <w:rPr>
                <w:color w:val="auto"/>
                <w:sz w:val="22"/>
                <w:szCs w:val="22"/>
              </w:rPr>
            </w:pPr>
          </w:p>
          <w:p w14:paraId="06196AE1" w14:textId="77777777" w:rsidR="00E561FD" w:rsidRPr="00E67D6B" w:rsidRDefault="00E561FD" w:rsidP="00922511">
            <w:pPr>
              <w:pStyle w:val="Default"/>
              <w:numPr>
                <w:ilvl w:val="0"/>
                <w:numId w:val="24"/>
              </w:numPr>
              <w:ind w:left="409" w:hanging="409"/>
              <w:jc w:val="both"/>
              <w:rPr>
                <w:color w:val="auto"/>
                <w:sz w:val="22"/>
                <w:szCs w:val="22"/>
              </w:rPr>
            </w:pPr>
            <w:r w:rsidRPr="00E67D6B">
              <w:rPr>
                <w:color w:val="auto"/>
                <w:sz w:val="22"/>
                <w:szCs w:val="22"/>
              </w:rPr>
              <w:t>Conduct an assessment on the validity of the long outstanding MPCC Claims and accordingly make the necessary adjustments in the books of accounts</w:t>
            </w:r>
            <w:r w:rsidR="00BA509A" w:rsidRPr="00E67D6B">
              <w:rPr>
                <w:color w:val="auto"/>
                <w:sz w:val="22"/>
                <w:szCs w:val="22"/>
              </w:rPr>
              <w:t>.</w:t>
            </w:r>
          </w:p>
          <w:p w14:paraId="1825E008" w14:textId="77777777" w:rsidR="00E561FD" w:rsidRPr="00E67D6B" w:rsidRDefault="00E561FD" w:rsidP="00E561FD">
            <w:pPr>
              <w:pStyle w:val="Default"/>
              <w:ind w:left="720"/>
              <w:jc w:val="both"/>
              <w:rPr>
                <w:color w:val="auto"/>
                <w:sz w:val="22"/>
                <w:szCs w:val="22"/>
              </w:rPr>
            </w:pPr>
          </w:p>
          <w:p w14:paraId="00103F6B" w14:textId="77777777" w:rsidR="00E561FD" w:rsidRPr="00E67D6B" w:rsidRDefault="00E561FD" w:rsidP="00922511">
            <w:pPr>
              <w:pStyle w:val="Default"/>
              <w:numPr>
                <w:ilvl w:val="0"/>
                <w:numId w:val="24"/>
              </w:numPr>
              <w:ind w:left="409" w:hanging="409"/>
              <w:jc w:val="both"/>
              <w:rPr>
                <w:color w:val="auto"/>
                <w:sz w:val="22"/>
                <w:szCs w:val="22"/>
              </w:rPr>
            </w:pPr>
            <w:r w:rsidRPr="00E67D6B">
              <w:rPr>
                <w:color w:val="auto"/>
                <w:sz w:val="22"/>
                <w:szCs w:val="22"/>
              </w:rPr>
              <w:t>Direct the ABD to maintain SL for all valid claims</w:t>
            </w:r>
            <w:r w:rsidR="00BA509A" w:rsidRPr="00E67D6B">
              <w:rPr>
                <w:color w:val="auto"/>
                <w:sz w:val="22"/>
                <w:szCs w:val="22"/>
              </w:rPr>
              <w:t>.</w:t>
            </w:r>
          </w:p>
        </w:tc>
        <w:tc>
          <w:tcPr>
            <w:tcW w:w="1975" w:type="dxa"/>
            <w:shd w:val="clear" w:color="auto" w:fill="auto"/>
          </w:tcPr>
          <w:p w14:paraId="0A5D9B4E" w14:textId="77777777" w:rsidR="008479E6" w:rsidRPr="008C0BFE" w:rsidRDefault="008479E6" w:rsidP="008F645B">
            <w:pPr>
              <w:suppressAutoHyphens w:val="0"/>
              <w:spacing w:after="0" w:line="240" w:lineRule="auto"/>
              <w:jc w:val="both"/>
              <w:rPr>
                <w:rFonts w:ascii="Arial" w:hAnsi="Arial" w:cs="Arial"/>
                <w:bCs/>
              </w:rPr>
            </w:pPr>
          </w:p>
          <w:p w14:paraId="441BB1FD" w14:textId="77777777" w:rsidR="00E561FD" w:rsidRPr="008C0BFE" w:rsidRDefault="00E561FD" w:rsidP="008F645B">
            <w:pPr>
              <w:suppressAutoHyphens w:val="0"/>
              <w:spacing w:after="0" w:line="240" w:lineRule="auto"/>
              <w:jc w:val="both"/>
              <w:rPr>
                <w:rFonts w:ascii="Arial" w:hAnsi="Arial" w:cs="Arial"/>
                <w:bCs/>
              </w:rPr>
            </w:pPr>
          </w:p>
          <w:p w14:paraId="7588164F" w14:textId="77777777" w:rsidR="00E561FD" w:rsidRPr="008C0BFE" w:rsidRDefault="00E561FD" w:rsidP="008F645B">
            <w:pPr>
              <w:suppressAutoHyphens w:val="0"/>
              <w:spacing w:after="0" w:line="240" w:lineRule="auto"/>
              <w:jc w:val="both"/>
              <w:rPr>
                <w:rFonts w:ascii="Arial" w:hAnsi="Arial" w:cs="Arial"/>
                <w:bCs/>
              </w:rPr>
            </w:pPr>
          </w:p>
          <w:p w14:paraId="00CCD5CE" w14:textId="77777777" w:rsidR="00E561FD" w:rsidRPr="008C0BFE" w:rsidRDefault="00E561FD" w:rsidP="008F645B">
            <w:pPr>
              <w:suppressAutoHyphens w:val="0"/>
              <w:spacing w:after="0" w:line="240" w:lineRule="auto"/>
              <w:jc w:val="both"/>
              <w:rPr>
                <w:rFonts w:ascii="Arial" w:hAnsi="Arial" w:cs="Arial"/>
                <w:bCs/>
              </w:rPr>
            </w:pPr>
            <w:r w:rsidRPr="008C0BFE">
              <w:rPr>
                <w:rFonts w:ascii="Arial" w:hAnsi="Arial" w:cs="Arial"/>
                <w:bCs/>
              </w:rPr>
              <w:t>Not Implemented</w:t>
            </w:r>
          </w:p>
          <w:p w14:paraId="4D32F21D" w14:textId="77777777" w:rsidR="00E561FD" w:rsidRPr="008C0BFE" w:rsidRDefault="00E561FD" w:rsidP="008F645B">
            <w:pPr>
              <w:suppressAutoHyphens w:val="0"/>
              <w:spacing w:after="0" w:line="240" w:lineRule="auto"/>
              <w:jc w:val="both"/>
              <w:rPr>
                <w:rFonts w:ascii="Arial" w:hAnsi="Arial" w:cs="Arial"/>
                <w:bCs/>
              </w:rPr>
            </w:pPr>
          </w:p>
          <w:p w14:paraId="367F17CE" w14:textId="77777777" w:rsidR="00E561FD" w:rsidRPr="008C0BFE" w:rsidRDefault="00E561FD" w:rsidP="008F645B">
            <w:pPr>
              <w:suppressAutoHyphens w:val="0"/>
              <w:spacing w:after="0" w:line="240" w:lineRule="auto"/>
              <w:jc w:val="both"/>
              <w:rPr>
                <w:rFonts w:ascii="Arial" w:hAnsi="Arial" w:cs="Arial"/>
                <w:bCs/>
              </w:rPr>
            </w:pPr>
          </w:p>
          <w:p w14:paraId="44C113E6" w14:textId="77777777" w:rsidR="00E561FD" w:rsidRPr="008C0BFE" w:rsidRDefault="00E561FD" w:rsidP="008F645B">
            <w:pPr>
              <w:suppressAutoHyphens w:val="0"/>
              <w:spacing w:after="0" w:line="240" w:lineRule="auto"/>
              <w:jc w:val="both"/>
              <w:rPr>
                <w:rFonts w:ascii="Arial" w:hAnsi="Arial" w:cs="Arial"/>
                <w:bCs/>
              </w:rPr>
            </w:pPr>
          </w:p>
          <w:p w14:paraId="3E254522" w14:textId="77777777" w:rsidR="00E561FD" w:rsidRPr="008C0BFE" w:rsidRDefault="00E561FD" w:rsidP="008F645B">
            <w:pPr>
              <w:suppressAutoHyphens w:val="0"/>
              <w:spacing w:after="0" w:line="240" w:lineRule="auto"/>
              <w:jc w:val="both"/>
              <w:rPr>
                <w:rFonts w:ascii="Arial" w:hAnsi="Arial" w:cs="Arial"/>
                <w:bCs/>
              </w:rPr>
            </w:pPr>
          </w:p>
          <w:p w14:paraId="36D9F661" w14:textId="77777777" w:rsidR="00E561FD" w:rsidRPr="008C0BFE" w:rsidRDefault="00E561FD" w:rsidP="008F645B">
            <w:pPr>
              <w:suppressAutoHyphens w:val="0"/>
              <w:spacing w:after="0" w:line="240" w:lineRule="auto"/>
              <w:jc w:val="both"/>
              <w:rPr>
                <w:rFonts w:ascii="Arial" w:hAnsi="Arial" w:cs="Arial"/>
                <w:bCs/>
              </w:rPr>
            </w:pPr>
          </w:p>
          <w:p w14:paraId="62CDB696" w14:textId="77777777" w:rsidR="00E561FD" w:rsidRPr="008C0BFE" w:rsidRDefault="00E561FD" w:rsidP="008F645B">
            <w:pPr>
              <w:suppressAutoHyphens w:val="0"/>
              <w:spacing w:after="0" w:line="240" w:lineRule="auto"/>
              <w:jc w:val="both"/>
              <w:rPr>
                <w:rFonts w:ascii="Arial" w:hAnsi="Arial" w:cs="Arial"/>
                <w:bCs/>
              </w:rPr>
            </w:pPr>
          </w:p>
          <w:p w14:paraId="745700E2" w14:textId="77777777" w:rsidR="00E561FD" w:rsidRPr="008C0BFE" w:rsidRDefault="00E561FD" w:rsidP="008F645B">
            <w:pPr>
              <w:suppressAutoHyphens w:val="0"/>
              <w:spacing w:after="0" w:line="240" w:lineRule="auto"/>
              <w:jc w:val="both"/>
              <w:rPr>
                <w:rFonts w:ascii="Arial" w:hAnsi="Arial" w:cs="Arial"/>
                <w:bCs/>
              </w:rPr>
            </w:pPr>
            <w:r w:rsidRPr="008C0BFE">
              <w:rPr>
                <w:rFonts w:ascii="Arial" w:hAnsi="Arial" w:cs="Arial"/>
                <w:bCs/>
              </w:rPr>
              <w:t>Not Implemented</w:t>
            </w:r>
          </w:p>
        </w:tc>
      </w:tr>
      <w:tr w:rsidR="007F4DE1" w:rsidRPr="008C0BFE" w14:paraId="274DCD9F" w14:textId="77777777" w:rsidTr="00BA509A">
        <w:trPr>
          <w:trHeight w:val="300"/>
        </w:trPr>
        <w:tc>
          <w:tcPr>
            <w:tcW w:w="10062" w:type="dxa"/>
            <w:gridSpan w:val="4"/>
            <w:shd w:val="clear" w:color="auto" w:fill="auto"/>
            <w:noWrap/>
          </w:tcPr>
          <w:p w14:paraId="7F88345D" w14:textId="77777777" w:rsidR="004D1F34" w:rsidRPr="008C0BFE" w:rsidRDefault="004D1F34" w:rsidP="008F645B">
            <w:pPr>
              <w:suppressAutoHyphens w:val="0"/>
              <w:spacing w:after="0" w:line="240" w:lineRule="auto"/>
              <w:jc w:val="both"/>
              <w:rPr>
                <w:rFonts w:ascii="Arial" w:hAnsi="Arial" w:cs="Arial"/>
                <w:bCs/>
              </w:rPr>
            </w:pPr>
            <w:r w:rsidRPr="008C0BFE">
              <w:rPr>
                <w:rFonts w:ascii="Arial" w:hAnsi="Arial" w:cs="Arial"/>
                <w:b/>
                <w:bCs/>
                <w:u w:val="single"/>
              </w:rPr>
              <w:t>Non-Financial</w:t>
            </w:r>
          </w:p>
        </w:tc>
      </w:tr>
      <w:tr w:rsidR="007F4DE1" w:rsidRPr="008C0BFE" w14:paraId="533E3283" w14:textId="77777777" w:rsidTr="00BA509A">
        <w:trPr>
          <w:trHeight w:val="300"/>
        </w:trPr>
        <w:tc>
          <w:tcPr>
            <w:tcW w:w="1602" w:type="dxa"/>
            <w:shd w:val="clear" w:color="auto" w:fill="auto"/>
            <w:noWrap/>
          </w:tcPr>
          <w:p w14:paraId="6ED60DB9" w14:textId="42287E0E" w:rsidR="004D1F34" w:rsidRPr="008C0BFE" w:rsidRDefault="004D1F34" w:rsidP="00E67D6B">
            <w:pPr>
              <w:suppressAutoHyphens w:val="0"/>
              <w:spacing w:after="0" w:line="240" w:lineRule="auto"/>
              <w:ind w:left="-79"/>
              <w:rPr>
                <w:rFonts w:ascii="Arial" w:hAnsi="Arial" w:cs="Arial"/>
                <w:b/>
                <w:bCs/>
                <w:u w:val="single"/>
              </w:rPr>
            </w:pPr>
            <w:r w:rsidRPr="008C0BFE">
              <w:rPr>
                <w:rFonts w:ascii="Arial" w:hAnsi="Arial" w:cs="Arial"/>
              </w:rPr>
              <w:t>AO No. 11 Page 133-135</w:t>
            </w:r>
          </w:p>
        </w:tc>
        <w:tc>
          <w:tcPr>
            <w:tcW w:w="2993" w:type="dxa"/>
            <w:shd w:val="clear" w:color="auto" w:fill="auto"/>
          </w:tcPr>
          <w:p w14:paraId="24D95E8E" w14:textId="77777777" w:rsidR="004D1F34" w:rsidRPr="00E67D6B" w:rsidRDefault="006B7F13" w:rsidP="008F645B">
            <w:pPr>
              <w:pStyle w:val="Default"/>
              <w:jc w:val="both"/>
              <w:rPr>
                <w:color w:val="auto"/>
                <w:sz w:val="22"/>
                <w:szCs w:val="22"/>
              </w:rPr>
            </w:pPr>
            <w:r w:rsidRPr="00E67D6B">
              <w:rPr>
                <w:color w:val="auto"/>
                <w:sz w:val="22"/>
                <w:szCs w:val="22"/>
              </w:rPr>
              <w:t xml:space="preserve">Allocations of the Net Receipts from gaming operations of PCSO for the CY 2022 to the Prize, Charity and Operating Funds were short by P462.089 million, P252.049 million and P126.024 million, respectively, or a total of P840.162 million due to the misapplication of the two (2) percent printing cost to arrive at the Net Receipts contrary to Section 6 of the Republic Act No. 1169, as amended by Batas </w:t>
            </w:r>
            <w:proofErr w:type="spellStart"/>
            <w:r w:rsidRPr="00E67D6B">
              <w:rPr>
                <w:color w:val="auto"/>
                <w:sz w:val="22"/>
                <w:szCs w:val="22"/>
              </w:rPr>
              <w:t>Pambansa</w:t>
            </w:r>
            <w:proofErr w:type="spellEnd"/>
            <w:r w:rsidRPr="00E67D6B">
              <w:rPr>
                <w:color w:val="auto"/>
                <w:sz w:val="22"/>
                <w:szCs w:val="22"/>
              </w:rPr>
              <w:t xml:space="preserve"> </w:t>
            </w:r>
            <w:proofErr w:type="spellStart"/>
            <w:r w:rsidRPr="00E67D6B">
              <w:rPr>
                <w:color w:val="auto"/>
                <w:sz w:val="22"/>
                <w:szCs w:val="22"/>
              </w:rPr>
              <w:t>Blg</w:t>
            </w:r>
            <w:proofErr w:type="spellEnd"/>
            <w:r w:rsidRPr="00E67D6B">
              <w:rPr>
                <w:color w:val="auto"/>
                <w:sz w:val="22"/>
                <w:szCs w:val="22"/>
              </w:rPr>
              <w:t>. 42 and Presidential Decree No. 1157</w:t>
            </w:r>
            <w:r w:rsidR="00BA509A" w:rsidRPr="00E67D6B">
              <w:rPr>
                <w:color w:val="auto"/>
                <w:sz w:val="22"/>
                <w:szCs w:val="22"/>
              </w:rPr>
              <w:t>.</w:t>
            </w:r>
          </w:p>
        </w:tc>
        <w:tc>
          <w:tcPr>
            <w:tcW w:w="3492" w:type="dxa"/>
            <w:shd w:val="clear" w:color="auto" w:fill="auto"/>
          </w:tcPr>
          <w:p w14:paraId="420D3A3D" w14:textId="77777777" w:rsidR="006B7F13" w:rsidRPr="00E67D6B" w:rsidRDefault="00375C1E" w:rsidP="008F645B">
            <w:pPr>
              <w:pStyle w:val="Default"/>
              <w:jc w:val="both"/>
              <w:rPr>
                <w:color w:val="auto"/>
                <w:sz w:val="22"/>
                <w:szCs w:val="22"/>
              </w:rPr>
            </w:pPr>
            <w:r w:rsidRPr="00E67D6B">
              <w:rPr>
                <w:color w:val="auto"/>
                <w:sz w:val="22"/>
                <w:szCs w:val="22"/>
              </w:rPr>
              <w:t xml:space="preserve">We recommended </w:t>
            </w:r>
            <w:r w:rsidR="002D5F84" w:rsidRPr="00E67D6B">
              <w:rPr>
                <w:color w:val="auto"/>
                <w:sz w:val="22"/>
                <w:szCs w:val="22"/>
              </w:rPr>
              <w:t xml:space="preserve">Management </w:t>
            </w:r>
            <w:r w:rsidRPr="00E67D6B">
              <w:rPr>
                <w:color w:val="auto"/>
                <w:sz w:val="22"/>
                <w:szCs w:val="22"/>
              </w:rPr>
              <w:t>to:</w:t>
            </w:r>
          </w:p>
          <w:p w14:paraId="10800909" w14:textId="77777777" w:rsidR="006B7F13" w:rsidRPr="00E67D6B" w:rsidRDefault="006B7F13" w:rsidP="008F645B">
            <w:pPr>
              <w:pStyle w:val="Default"/>
              <w:jc w:val="both"/>
              <w:rPr>
                <w:color w:val="auto"/>
                <w:sz w:val="22"/>
                <w:szCs w:val="22"/>
              </w:rPr>
            </w:pPr>
          </w:p>
          <w:p w14:paraId="1AE74DB4" w14:textId="77777777" w:rsidR="004D1F34" w:rsidRPr="00E67D6B" w:rsidRDefault="006B7F13" w:rsidP="000A5A16">
            <w:pPr>
              <w:pStyle w:val="Default"/>
              <w:numPr>
                <w:ilvl w:val="0"/>
                <w:numId w:val="25"/>
              </w:numPr>
              <w:ind w:left="409" w:hanging="409"/>
              <w:jc w:val="both"/>
              <w:rPr>
                <w:color w:val="auto"/>
                <w:sz w:val="22"/>
                <w:szCs w:val="22"/>
              </w:rPr>
            </w:pPr>
            <w:r w:rsidRPr="00E67D6B">
              <w:rPr>
                <w:color w:val="auto"/>
                <w:sz w:val="22"/>
                <w:szCs w:val="22"/>
              </w:rPr>
              <w:t>Consider the actual printing cost in the computation of the Net Receipts, which shall not exceed two percent of the Gross Receipts in compliance with Section 6 of RA No. 1169, as amended. Subsequently, allocate the Net Receipts to the different funds in accordance with the rates indicated in the RA</w:t>
            </w:r>
            <w:r w:rsidR="000A5A16" w:rsidRPr="00E67D6B">
              <w:rPr>
                <w:color w:val="auto"/>
                <w:sz w:val="22"/>
                <w:szCs w:val="22"/>
              </w:rPr>
              <w:t>.</w:t>
            </w:r>
          </w:p>
          <w:p w14:paraId="369CA50B" w14:textId="77777777" w:rsidR="006B7F13" w:rsidRPr="00E67D6B" w:rsidRDefault="006B7F13" w:rsidP="00922511">
            <w:pPr>
              <w:pStyle w:val="Default"/>
              <w:ind w:left="409" w:hanging="360"/>
              <w:jc w:val="both"/>
              <w:rPr>
                <w:color w:val="auto"/>
                <w:sz w:val="22"/>
                <w:szCs w:val="22"/>
              </w:rPr>
            </w:pPr>
          </w:p>
          <w:p w14:paraId="327468BE" w14:textId="77777777" w:rsidR="006B7F13" w:rsidRPr="00E67D6B" w:rsidRDefault="006B7F13" w:rsidP="000A5A16">
            <w:pPr>
              <w:pStyle w:val="Default"/>
              <w:numPr>
                <w:ilvl w:val="0"/>
                <w:numId w:val="25"/>
              </w:numPr>
              <w:ind w:left="409" w:hanging="409"/>
              <w:jc w:val="both"/>
              <w:rPr>
                <w:color w:val="auto"/>
                <w:sz w:val="22"/>
                <w:szCs w:val="22"/>
              </w:rPr>
            </w:pPr>
            <w:r w:rsidRPr="00E67D6B">
              <w:rPr>
                <w:color w:val="auto"/>
                <w:sz w:val="22"/>
                <w:szCs w:val="22"/>
              </w:rPr>
              <w:t>Provide the additional fund allocations for Prize, Charity and Operating funds amounting to P462.089 million, P252.049 million and P126.024 million, respectively</w:t>
            </w:r>
            <w:r w:rsidR="000A5A16" w:rsidRPr="00E67D6B">
              <w:rPr>
                <w:color w:val="auto"/>
                <w:sz w:val="22"/>
                <w:szCs w:val="22"/>
              </w:rPr>
              <w:t>.</w:t>
            </w:r>
          </w:p>
          <w:p w14:paraId="36E32162" w14:textId="77777777" w:rsidR="000A5A16" w:rsidRPr="00E67D6B" w:rsidRDefault="000A5A16" w:rsidP="000A5A16">
            <w:pPr>
              <w:pStyle w:val="Default"/>
              <w:ind w:left="409"/>
              <w:jc w:val="both"/>
              <w:rPr>
                <w:color w:val="auto"/>
                <w:sz w:val="22"/>
                <w:szCs w:val="22"/>
              </w:rPr>
            </w:pPr>
          </w:p>
        </w:tc>
        <w:tc>
          <w:tcPr>
            <w:tcW w:w="1975" w:type="dxa"/>
            <w:shd w:val="clear" w:color="auto" w:fill="auto"/>
          </w:tcPr>
          <w:p w14:paraId="428476B5" w14:textId="77777777" w:rsidR="004D1F34" w:rsidRPr="008C0BFE" w:rsidRDefault="004D1F34" w:rsidP="008F645B">
            <w:pPr>
              <w:suppressAutoHyphens w:val="0"/>
              <w:spacing w:after="0" w:line="240" w:lineRule="auto"/>
              <w:jc w:val="both"/>
              <w:rPr>
                <w:rFonts w:ascii="Arial" w:hAnsi="Arial" w:cs="Arial"/>
                <w:bCs/>
              </w:rPr>
            </w:pPr>
          </w:p>
          <w:p w14:paraId="6ECAC9E1" w14:textId="77777777" w:rsidR="006B7F13" w:rsidRPr="008C0BFE" w:rsidRDefault="006B7F13" w:rsidP="008F645B">
            <w:pPr>
              <w:suppressAutoHyphens w:val="0"/>
              <w:spacing w:after="0" w:line="240" w:lineRule="auto"/>
              <w:jc w:val="both"/>
              <w:rPr>
                <w:rFonts w:ascii="Arial" w:hAnsi="Arial" w:cs="Arial"/>
                <w:bCs/>
              </w:rPr>
            </w:pPr>
          </w:p>
          <w:p w14:paraId="74AFAB8E" w14:textId="77777777" w:rsidR="006B7F13" w:rsidRPr="008C0BFE" w:rsidRDefault="006B7F13" w:rsidP="008F645B">
            <w:pPr>
              <w:suppressAutoHyphens w:val="0"/>
              <w:spacing w:after="0" w:line="240" w:lineRule="auto"/>
              <w:jc w:val="both"/>
              <w:rPr>
                <w:rFonts w:ascii="Arial" w:hAnsi="Arial" w:cs="Arial"/>
                <w:bCs/>
              </w:rPr>
            </w:pPr>
          </w:p>
          <w:p w14:paraId="1255594E" w14:textId="77777777" w:rsidR="006B7F13" w:rsidRPr="008C0BFE" w:rsidRDefault="00480408" w:rsidP="008F645B">
            <w:pPr>
              <w:suppressAutoHyphens w:val="0"/>
              <w:spacing w:after="0" w:line="240" w:lineRule="auto"/>
              <w:jc w:val="both"/>
              <w:rPr>
                <w:rFonts w:ascii="Arial" w:hAnsi="Arial" w:cs="Arial"/>
                <w:bCs/>
              </w:rPr>
            </w:pPr>
            <w:r w:rsidRPr="008C0BFE">
              <w:rPr>
                <w:rFonts w:ascii="Arial" w:hAnsi="Arial" w:cs="Arial"/>
                <w:bCs/>
              </w:rPr>
              <w:t xml:space="preserve">Fully </w:t>
            </w:r>
            <w:r w:rsidR="006B7F13" w:rsidRPr="008C0BFE">
              <w:rPr>
                <w:rFonts w:ascii="Arial" w:hAnsi="Arial" w:cs="Arial"/>
                <w:bCs/>
              </w:rPr>
              <w:t>Implemented</w:t>
            </w:r>
          </w:p>
          <w:p w14:paraId="6F4FBC68" w14:textId="77777777" w:rsidR="006B7F13" w:rsidRPr="008C0BFE" w:rsidRDefault="006B7F13" w:rsidP="008F645B">
            <w:pPr>
              <w:suppressAutoHyphens w:val="0"/>
              <w:spacing w:after="0" w:line="240" w:lineRule="auto"/>
              <w:jc w:val="both"/>
              <w:rPr>
                <w:rFonts w:ascii="Arial" w:hAnsi="Arial" w:cs="Arial"/>
                <w:bCs/>
              </w:rPr>
            </w:pPr>
          </w:p>
          <w:p w14:paraId="60FBCF06" w14:textId="77777777" w:rsidR="006B7F13" w:rsidRPr="008C0BFE" w:rsidRDefault="006B7F13" w:rsidP="008F645B">
            <w:pPr>
              <w:suppressAutoHyphens w:val="0"/>
              <w:spacing w:after="0" w:line="240" w:lineRule="auto"/>
              <w:jc w:val="both"/>
              <w:rPr>
                <w:rFonts w:ascii="Arial" w:hAnsi="Arial" w:cs="Arial"/>
                <w:bCs/>
              </w:rPr>
            </w:pPr>
          </w:p>
          <w:p w14:paraId="37421317" w14:textId="77777777" w:rsidR="006B7F13" w:rsidRPr="008C0BFE" w:rsidRDefault="006B7F13" w:rsidP="008F645B">
            <w:pPr>
              <w:suppressAutoHyphens w:val="0"/>
              <w:spacing w:after="0" w:line="240" w:lineRule="auto"/>
              <w:jc w:val="both"/>
              <w:rPr>
                <w:rFonts w:ascii="Arial" w:hAnsi="Arial" w:cs="Arial"/>
                <w:bCs/>
              </w:rPr>
            </w:pPr>
          </w:p>
          <w:p w14:paraId="7CE32122" w14:textId="77777777" w:rsidR="006B7F13" w:rsidRPr="008C0BFE" w:rsidRDefault="006B7F13" w:rsidP="008F645B">
            <w:pPr>
              <w:suppressAutoHyphens w:val="0"/>
              <w:spacing w:after="0" w:line="240" w:lineRule="auto"/>
              <w:jc w:val="both"/>
              <w:rPr>
                <w:rFonts w:ascii="Arial" w:hAnsi="Arial" w:cs="Arial"/>
                <w:bCs/>
              </w:rPr>
            </w:pPr>
          </w:p>
          <w:p w14:paraId="307B1601" w14:textId="77777777" w:rsidR="006B7F13" w:rsidRPr="008C0BFE" w:rsidRDefault="006B7F13" w:rsidP="008F645B">
            <w:pPr>
              <w:suppressAutoHyphens w:val="0"/>
              <w:spacing w:after="0" w:line="240" w:lineRule="auto"/>
              <w:jc w:val="both"/>
              <w:rPr>
                <w:rFonts w:ascii="Arial" w:hAnsi="Arial" w:cs="Arial"/>
                <w:bCs/>
              </w:rPr>
            </w:pPr>
          </w:p>
          <w:p w14:paraId="7D07F98E" w14:textId="77777777" w:rsidR="006B7F13" w:rsidRPr="008C0BFE" w:rsidRDefault="006B7F13" w:rsidP="008F645B">
            <w:pPr>
              <w:suppressAutoHyphens w:val="0"/>
              <w:spacing w:after="0" w:line="240" w:lineRule="auto"/>
              <w:jc w:val="both"/>
              <w:rPr>
                <w:rFonts w:ascii="Arial" w:hAnsi="Arial" w:cs="Arial"/>
                <w:bCs/>
              </w:rPr>
            </w:pPr>
          </w:p>
          <w:p w14:paraId="35FDAA95" w14:textId="77777777" w:rsidR="006B7F13" w:rsidRPr="008C0BFE" w:rsidRDefault="006B7F13" w:rsidP="008F645B">
            <w:pPr>
              <w:suppressAutoHyphens w:val="0"/>
              <w:spacing w:after="0" w:line="240" w:lineRule="auto"/>
              <w:jc w:val="both"/>
              <w:rPr>
                <w:rFonts w:ascii="Arial" w:hAnsi="Arial" w:cs="Arial"/>
                <w:bCs/>
              </w:rPr>
            </w:pPr>
          </w:p>
          <w:p w14:paraId="5F85E27B" w14:textId="77777777" w:rsidR="006B7F13" w:rsidRPr="008C0BFE" w:rsidRDefault="006B7F13" w:rsidP="008F645B">
            <w:pPr>
              <w:suppressAutoHyphens w:val="0"/>
              <w:spacing w:after="0" w:line="240" w:lineRule="auto"/>
              <w:jc w:val="both"/>
              <w:rPr>
                <w:rFonts w:ascii="Arial" w:hAnsi="Arial" w:cs="Arial"/>
                <w:bCs/>
              </w:rPr>
            </w:pPr>
          </w:p>
          <w:p w14:paraId="2E4E660C" w14:textId="77777777" w:rsidR="006B7F13" w:rsidRPr="008C0BFE" w:rsidRDefault="006B7F13" w:rsidP="008F645B">
            <w:pPr>
              <w:suppressAutoHyphens w:val="0"/>
              <w:spacing w:after="0" w:line="240" w:lineRule="auto"/>
              <w:jc w:val="both"/>
              <w:rPr>
                <w:rFonts w:ascii="Arial" w:hAnsi="Arial" w:cs="Arial"/>
                <w:bCs/>
              </w:rPr>
            </w:pPr>
          </w:p>
          <w:p w14:paraId="10AD9A47" w14:textId="77777777" w:rsidR="006B7F13" w:rsidRPr="008C0BFE" w:rsidRDefault="006B7F13" w:rsidP="008F645B">
            <w:pPr>
              <w:suppressAutoHyphens w:val="0"/>
              <w:spacing w:after="0" w:line="240" w:lineRule="auto"/>
              <w:jc w:val="both"/>
              <w:rPr>
                <w:rFonts w:ascii="Arial" w:hAnsi="Arial" w:cs="Arial"/>
                <w:bCs/>
              </w:rPr>
            </w:pPr>
          </w:p>
          <w:p w14:paraId="122291C0" w14:textId="77777777" w:rsidR="006B7F13" w:rsidRPr="008C0BFE" w:rsidRDefault="00480408" w:rsidP="008F645B">
            <w:pPr>
              <w:suppressAutoHyphens w:val="0"/>
              <w:spacing w:after="0" w:line="240" w:lineRule="auto"/>
              <w:jc w:val="both"/>
              <w:rPr>
                <w:rFonts w:ascii="Arial" w:hAnsi="Arial" w:cs="Arial"/>
                <w:bCs/>
              </w:rPr>
            </w:pPr>
            <w:r w:rsidRPr="008C0BFE">
              <w:rPr>
                <w:rFonts w:ascii="Arial" w:hAnsi="Arial" w:cs="Arial"/>
                <w:bCs/>
              </w:rPr>
              <w:t xml:space="preserve">Fully </w:t>
            </w:r>
            <w:r w:rsidR="006B7F13" w:rsidRPr="008C0BFE">
              <w:rPr>
                <w:rFonts w:ascii="Arial" w:hAnsi="Arial" w:cs="Arial"/>
                <w:bCs/>
              </w:rPr>
              <w:t>Implemented</w:t>
            </w:r>
          </w:p>
        </w:tc>
      </w:tr>
      <w:tr w:rsidR="007F4DE1" w:rsidRPr="008C0BFE" w14:paraId="75486AA7" w14:textId="77777777" w:rsidTr="00BA509A">
        <w:trPr>
          <w:trHeight w:val="300"/>
        </w:trPr>
        <w:tc>
          <w:tcPr>
            <w:tcW w:w="1602" w:type="dxa"/>
            <w:shd w:val="clear" w:color="auto" w:fill="auto"/>
            <w:noWrap/>
          </w:tcPr>
          <w:p w14:paraId="1424BB89" w14:textId="025AD6C1" w:rsidR="00275AC5" w:rsidRPr="008C0BFE" w:rsidRDefault="00275AC5" w:rsidP="00E67D6B">
            <w:pPr>
              <w:suppressAutoHyphens w:val="0"/>
              <w:spacing w:after="0" w:line="240" w:lineRule="auto"/>
              <w:ind w:left="-79"/>
              <w:rPr>
                <w:rFonts w:ascii="Arial" w:hAnsi="Arial" w:cs="Arial"/>
              </w:rPr>
            </w:pPr>
            <w:r w:rsidRPr="008C0BFE">
              <w:rPr>
                <w:rFonts w:ascii="Arial" w:hAnsi="Arial" w:cs="Arial"/>
              </w:rPr>
              <w:t>AO No. 12 Page 135-138</w:t>
            </w:r>
          </w:p>
        </w:tc>
        <w:tc>
          <w:tcPr>
            <w:tcW w:w="2993" w:type="dxa"/>
            <w:shd w:val="clear" w:color="auto" w:fill="auto"/>
          </w:tcPr>
          <w:p w14:paraId="603B387B" w14:textId="77777777" w:rsidR="00275AC5" w:rsidRPr="00E67D6B" w:rsidRDefault="002813A7" w:rsidP="008F645B">
            <w:pPr>
              <w:pStyle w:val="Default"/>
              <w:jc w:val="both"/>
              <w:rPr>
                <w:color w:val="auto"/>
                <w:sz w:val="22"/>
                <w:szCs w:val="22"/>
              </w:rPr>
            </w:pPr>
            <w:r w:rsidRPr="00E67D6B">
              <w:rPr>
                <w:color w:val="auto"/>
                <w:sz w:val="22"/>
                <w:szCs w:val="22"/>
              </w:rPr>
              <w:t>The expenses recorded under the Prize Fund of Small Town Lottery totaling P14.370 billion for calendar year 2022 were not duly supported with documents required under Section 18 (</w:t>
            </w:r>
            <w:proofErr w:type="spellStart"/>
            <w:r w:rsidRPr="00E67D6B">
              <w:rPr>
                <w:color w:val="auto"/>
                <w:sz w:val="22"/>
                <w:szCs w:val="22"/>
              </w:rPr>
              <w:t>f.ii</w:t>
            </w:r>
            <w:proofErr w:type="spellEnd"/>
            <w:r w:rsidRPr="00E67D6B">
              <w:rPr>
                <w:color w:val="auto"/>
                <w:sz w:val="22"/>
                <w:szCs w:val="22"/>
              </w:rPr>
              <w:t xml:space="preserve"> and </w:t>
            </w:r>
            <w:proofErr w:type="spellStart"/>
            <w:r w:rsidRPr="00E67D6B">
              <w:rPr>
                <w:color w:val="auto"/>
                <w:sz w:val="22"/>
                <w:szCs w:val="22"/>
              </w:rPr>
              <w:t>f.iii</w:t>
            </w:r>
            <w:proofErr w:type="spellEnd"/>
            <w:r w:rsidRPr="00E67D6B">
              <w:rPr>
                <w:color w:val="auto"/>
                <w:sz w:val="22"/>
                <w:szCs w:val="22"/>
              </w:rPr>
              <w:t>) of the 2020 Revised Implementing Rules and Regulations for STL, constituting non-conformance with Section 4(6) of Presidential Decree No. 1445</w:t>
            </w:r>
          </w:p>
        </w:tc>
        <w:tc>
          <w:tcPr>
            <w:tcW w:w="3492" w:type="dxa"/>
            <w:shd w:val="clear" w:color="auto" w:fill="auto"/>
          </w:tcPr>
          <w:p w14:paraId="5AF2ABFC" w14:textId="77777777" w:rsidR="00275AC5" w:rsidRPr="00E67D6B" w:rsidRDefault="00375C1E" w:rsidP="008F645B">
            <w:pPr>
              <w:pStyle w:val="Default"/>
              <w:jc w:val="both"/>
              <w:rPr>
                <w:color w:val="auto"/>
                <w:sz w:val="22"/>
                <w:szCs w:val="22"/>
              </w:rPr>
            </w:pPr>
            <w:r w:rsidRPr="00E67D6B">
              <w:rPr>
                <w:color w:val="auto"/>
                <w:sz w:val="22"/>
                <w:szCs w:val="22"/>
              </w:rPr>
              <w:t>We recommended Management to:</w:t>
            </w:r>
          </w:p>
          <w:p w14:paraId="2ABCD291" w14:textId="77777777" w:rsidR="002813A7" w:rsidRPr="00E67D6B" w:rsidRDefault="002813A7" w:rsidP="008F645B">
            <w:pPr>
              <w:pStyle w:val="Default"/>
              <w:jc w:val="both"/>
              <w:rPr>
                <w:color w:val="auto"/>
                <w:sz w:val="22"/>
                <w:szCs w:val="22"/>
              </w:rPr>
            </w:pPr>
          </w:p>
          <w:p w14:paraId="28E6CD5C" w14:textId="77777777" w:rsidR="002813A7" w:rsidRPr="00E67D6B" w:rsidRDefault="002813A7" w:rsidP="000A5A16">
            <w:pPr>
              <w:pStyle w:val="Default"/>
              <w:numPr>
                <w:ilvl w:val="0"/>
                <w:numId w:val="26"/>
              </w:numPr>
              <w:ind w:left="409" w:hanging="409"/>
              <w:jc w:val="both"/>
              <w:rPr>
                <w:color w:val="auto"/>
                <w:sz w:val="22"/>
                <w:szCs w:val="22"/>
              </w:rPr>
            </w:pPr>
            <w:r w:rsidRPr="00E67D6B">
              <w:rPr>
                <w:color w:val="auto"/>
                <w:sz w:val="22"/>
                <w:szCs w:val="22"/>
              </w:rPr>
              <w:t>Require the ABD to submit the summary of all prizes and winnings paid and charged against the Prize Fund and the summary of the payroll and/or commissions paid to sales representatives</w:t>
            </w:r>
            <w:r w:rsidR="000A5A16" w:rsidRPr="00E67D6B">
              <w:rPr>
                <w:color w:val="auto"/>
                <w:sz w:val="22"/>
                <w:szCs w:val="22"/>
              </w:rPr>
              <w:t>.</w:t>
            </w:r>
          </w:p>
          <w:p w14:paraId="3960FD3E" w14:textId="77777777" w:rsidR="002813A7" w:rsidRPr="00E67D6B" w:rsidRDefault="002813A7" w:rsidP="000A5A16">
            <w:pPr>
              <w:pStyle w:val="Default"/>
              <w:ind w:left="409" w:hanging="409"/>
              <w:jc w:val="both"/>
              <w:rPr>
                <w:color w:val="auto"/>
                <w:sz w:val="22"/>
                <w:szCs w:val="22"/>
              </w:rPr>
            </w:pPr>
          </w:p>
          <w:p w14:paraId="58DFFD8D" w14:textId="77777777" w:rsidR="002813A7" w:rsidRPr="00E67D6B" w:rsidRDefault="002813A7" w:rsidP="000A5A16">
            <w:pPr>
              <w:pStyle w:val="Default"/>
              <w:numPr>
                <w:ilvl w:val="0"/>
                <w:numId w:val="26"/>
              </w:numPr>
              <w:ind w:left="409" w:hanging="409"/>
              <w:jc w:val="both"/>
              <w:rPr>
                <w:color w:val="auto"/>
                <w:sz w:val="22"/>
                <w:szCs w:val="22"/>
              </w:rPr>
            </w:pPr>
            <w:r w:rsidRPr="00E67D6B">
              <w:rPr>
                <w:color w:val="auto"/>
                <w:sz w:val="22"/>
                <w:szCs w:val="22"/>
              </w:rPr>
              <w:t>Require the AAC to issue Official Receipt pertaining to the commission from STL Operations paid by PCSO and use it as an attachment to the recorded Agent’s Commission Expense</w:t>
            </w:r>
            <w:r w:rsidR="000A5A16" w:rsidRPr="00E67D6B">
              <w:rPr>
                <w:color w:val="auto"/>
                <w:sz w:val="22"/>
                <w:szCs w:val="22"/>
              </w:rPr>
              <w:t>.</w:t>
            </w:r>
          </w:p>
          <w:p w14:paraId="240EF5BF" w14:textId="77777777" w:rsidR="002813A7" w:rsidRPr="00E67D6B" w:rsidRDefault="002813A7" w:rsidP="000A5A16">
            <w:pPr>
              <w:pStyle w:val="Default"/>
              <w:ind w:left="409" w:hanging="409"/>
              <w:jc w:val="both"/>
              <w:rPr>
                <w:color w:val="auto"/>
                <w:sz w:val="22"/>
                <w:szCs w:val="22"/>
              </w:rPr>
            </w:pPr>
          </w:p>
          <w:p w14:paraId="6CF66CF6" w14:textId="77777777" w:rsidR="002813A7" w:rsidRPr="00E67D6B" w:rsidRDefault="002813A7" w:rsidP="000A5A16">
            <w:pPr>
              <w:pStyle w:val="Default"/>
              <w:numPr>
                <w:ilvl w:val="0"/>
                <w:numId w:val="26"/>
              </w:numPr>
              <w:ind w:left="409" w:hanging="409"/>
              <w:jc w:val="both"/>
              <w:rPr>
                <w:color w:val="auto"/>
                <w:sz w:val="22"/>
                <w:szCs w:val="22"/>
              </w:rPr>
            </w:pPr>
            <w:r w:rsidRPr="00E67D6B">
              <w:rPr>
                <w:color w:val="auto"/>
                <w:sz w:val="22"/>
                <w:szCs w:val="22"/>
              </w:rPr>
              <w:t>Ensure that the recorded expenses charged to STL Prize Fund are supported with complete documents evidencing the disbursement of fund</w:t>
            </w:r>
            <w:r w:rsidR="000A5A16" w:rsidRPr="00E67D6B">
              <w:rPr>
                <w:color w:val="auto"/>
                <w:sz w:val="22"/>
                <w:szCs w:val="22"/>
              </w:rPr>
              <w:t>.</w:t>
            </w:r>
          </w:p>
          <w:p w14:paraId="44BF0BA2" w14:textId="77777777" w:rsidR="000A5A16" w:rsidRPr="00E67D6B" w:rsidRDefault="000A5A16" w:rsidP="000A5A16">
            <w:pPr>
              <w:pStyle w:val="Default"/>
              <w:ind w:left="409"/>
              <w:jc w:val="both"/>
              <w:rPr>
                <w:color w:val="auto"/>
                <w:sz w:val="22"/>
                <w:szCs w:val="22"/>
              </w:rPr>
            </w:pPr>
          </w:p>
        </w:tc>
        <w:tc>
          <w:tcPr>
            <w:tcW w:w="1975" w:type="dxa"/>
            <w:shd w:val="clear" w:color="auto" w:fill="auto"/>
          </w:tcPr>
          <w:p w14:paraId="702E1FD6" w14:textId="77777777" w:rsidR="00275AC5" w:rsidRPr="008C0BFE" w:rsidRDefault="00275AC5" w:rsidP="008F645B">
            <w:pPr>
              <w:suppressAutoHyphens w:val="0"/>
              <w:spacing w:after="0" w:line="240" w:lineRule="auto"/>
              <w:jc w:val="both"/>
              <w:rPr>
                <w:rFonts w:ascii="Arial" w:hAnsi="Arial" w:cs="Arial"/>
                <w:bCs/>
              </w:rPr>
            </w:pPr>
          </w:p>
          <w:p w14:paraId="34885AB7" w14:textId="77777777" w:rsidR="002813A7" w:rsidRPr="008C0BFE" w:rsidRDefault="002813A7" w:rsidP="008F645B">
            <w:pPr>
              <w:suppressAutoHyphens w:val="0"/>
              <w:spacing w:after="0" w:line="240" w:lineRule="auto"/>
              <w:jc w:val="both"/>
              <w:rPr>
                <w:rFonts w:ascii="Arial" w:hAnsi="Arial" w:cs="Arial"/>
                <w:bCs/>
              </w:rPr>
            </w:pPr>
          </w:p>
          <w:p w14:paraId="6E0CEFA0" w14:textId="77777777" w:rsidR="002813A7" w:rsidRPr="008C0BFE" w:rsidRDefault="002813A7" w:rsidP="008F645B">
            <w:pPr>
              <w:suppressAutoHyphens w:val="0"/>
              <w:spacing w:after="0" w:line="240" w:lineRule="auto"/>
              <w:jc w:val="both"/>
              <w:rPr>
                <w:rFonts w:ascii="Arial" w:hAnsi="Arial" w:cs="Arial"/>
                <w:bCs/>
              </w:rPr>
            </w:pPr>
          </w:p>
          <w:p w14:paraId="389E1417" w14:textId="77777777" w:rsidR="002813A7" w:rsidRPr="008C0BFE" w:rsidRDefault="002813A7" w:rsidP="008F645B">
            <w:pPr>
              <w:suppressAutoHyphens w:val="0"/>
              <w:spacing w:after="0" w:line="240" w:lineRule="auto"/>
              <w:jc w:val="both"/>
              <w:rPr>
                <w:rFonts w:ascii="Arial" w:hAnsi="Arial" w:cs="Arial"/>
                <w:bCs/>
              </w:rPr>
            </w:pPr>
            <w:r w:rsidRPr="008C0BFE">
              <w:rPr>
                <w:rFonts w:ascii="Arial" w:hAnsi="Arial" w:cs="Arial"/>
                <w:bCs/>
              </w:rPr>
              <w:t>Not Implemented</w:t>
            </w:r>
          </w:p>
          <w:p w14:paraId="23758D6D" w14:textId="77777777" w:rsidR="002813A7" w:rsidRPr="008C0BFE" w:rsidRDefault="002813A7" w:rsidP="008F645B">
            <w:pPr>
              <w:suppressAutoHyphens w:val="0"/>
              <w:spacing w:after="0" w:line="240" w:lineRule="auto"/>
              <w:jc w:val="both"/>
              <w:rPr>
                <w:rFonts w:ascii="Arial" w:hAnsi="Arial" w:cs="Arial"/>
                <w:bCs/>
              </w:rPr>
            </w:pPr>
          </w:p>
          <w:p w14:paraId="6FBF5015" w14:textId="77777777" w:rsidR="002813A7" w:rsidRPr="008C0BFE" w:rsidRDefault="002813A7" w:rsidP="008F645B">
            <w:pPr>
              <w:suppressAutoHyphens w:val="0"/>
              <w:spacing w:after="0" w:line="240" w:lineRule="auto"/>
              <w:jc w:val="both"/>
              <w:rPr>
                <w:rFonts w:ascii="Arial" w:hAnsi="Arial" w:cs="Arial"/>
                <w:bCs/>
              </w:rPr>
            </w:pPr>
          </w:p>
          <w:p w14:paraId="19702C65" w14:textId="77777777" w:rsidR="002813A7" w:rsidRPr="008C0BFE" w:rsidRDefault="002813A7" w:rsidP="008F645B">
            <w:pPr>
              <w:suppressAutoHyphens w:val="0"/>
              <w:spacing w:after="0" w:line="240" w:lineRule="auto"/>
              <w:jc w:val="both"/>
              <w:rPr>
                <w:rFonts w:ascii="Arial" w:hAnsi="Arial" w:cs="Arial"/>
                <w:bCs/>
              </w:rPr>
            </w:pPr>
          </w:p>
          <w:p w14:paraId="7F63CE6B" w14:textId="77777777" w:rsidR="002813A7" w:rsidRPr="008C0BFE" w:rsidRDefault="002813A7" w:rsidP="008F645B">
            <w:pPr>
              <w:suppressAutoHyphens w:val="0"/>
              <w:spacing w:after="0" w:line="240" w:lineRule="auto"/>
              <w:jc w:val="both"/>
              <w:rPr>
                <w:rFonts w:ascii="Arial" w:hAnsi="Arial" w:cs="Arial"/>
                <w:bCs/>
              </w:rPr>
            </w:pPr>
          </w:p>
          <w:p w14:paraId="32F2D3C3" w14:textId="77777777" w:rsidR="002813A7" w:rsidRPr="008C0BFE" w:rsidRDefault="002813A7" w:rsidP="008F645B">
            <w:pPr>
              <w:suppressAutoHyphens w:val="0"/>
              <w:spacing w:after="0" w:line="240" w:lineRule="auto"/>
              <w:jc w:val="both"/>
              <w:rPr>
                <w:rFonts w:ascii="Arial" w:hAnsi="Arial" w:cs="Arial"/>
                <w:bCs/>
              </w:rPr>
            </w:pPr>
          </w:p>
          <w:p w14:paraId="28B2A11B" w14:textId="77777777" w:rsidR="002813A7" w:rsidRPr="008C0BFE" w:rsidRDefault="002813A7" w:rsidP="008F645B">
            <w:pPr>
              <w:suppressAutoHyphens w:val="0"/>
              <w:spacing w:after="0" w:line="240" w:lineRule="auto"/>
              <w:jc w:val="both"/>
              <w:rPr>
                <w:rFonts w:ascii="Arial" w:hAnsi="Arial" w:cs="Arial"/>
                <w:bCs/>
              </w:rPr>
            </w:pPr>
          </w:p>
          <w:p w14:paraId="67DB444D" w14:textId="77777777" w:rsidR="002813A7" w:rsidRPr="008C0BFE" w:rsidRDefault="002813A7" w:rsidP="008F645B">
            <w:pPr>
              <w:suppressAutoHyphens w:val="0"/>
              <w:spacing w:after="0" w:line="240" w:lineRule="auto"/>
              <w:jc w:val="both"/>
              <w:rPr>
                <w:rFonts w:ascii="Arial" w:hAnsi="Arial" w:cs="Arial"/>
                <w:bCs/>
              </w:rPr>
            </w:pPr>
          </w:p>
          <w:p w14:paraId="219EF6B9" w14:textId="77777777" w:rsidR="002813A7" w:rsidRPr="008C0BFE" w:rsidRDefault="002813A7" w:rsidP="008F645B">
            <w:pPr>
              <w:suppressAutoHyphens w:val="0"/>
              <w:spacing w:after="0" w:line="240" w:lineRule="auto"/>
              <w:jc w:val="both"/>
              <w:rPr>
                <w:rFonts w:ascii="Arial" w:hAnsi="Arial" w:cs="Arial"/>
                <w:bCs/>
              </w:rPr>
            </w:pPr>
            <w:r w:rsidRPr="008C0BFE">
              <w:rPr>
                <w:rFonts w:ascii="Arial" w:hAnsi="Arial" w:cs="Arial"/>
                <w:bCs/>
              </w:rPr>
              <w:t>Not Implemented</w:t>
            </w:r>
          </w:p>
          <w:p w14:paraId="6A6BE9C7" w14:textId="77777777" w:rsidR="002813A7" w:rsidRPr="008C0BFE" w:rsidRDefault="002813A7" w:rsidP="008F645B">
            <w:pPr>
              <w:suppressAutoHyphens w:val="0"/>
              <w:spacing w:after="0" w:line="240" w:lineRule="auto"/>
              <w:jc w:val="both"/>
              <w:rPr>
                <w:rFonts w:ascii="Arial" w:hAnsi="Arial" w:cs="Arial"/>
                <w:bCs/>
              </w:rPr>
            </w:pPr>
          </w:p>
          <w:p w14:paraId="48F45793" w14:textId="77777777" w:rsidR="002813A7" w:rsidRPr="008C0BFE" w:rsidRDefault="002813A7" w:rsidP="008F645B">
            <w:pPr>
              <w:suppressAutoHyphens w:val="0"/>
              <w:spacing w:after="0" w:line="240" w:lineRule="auto"/>
              <w:jc w:val="both"/>
              <w:rPr>
                <w:rFonts w:ascii="Arial" w:hAnsi="Arial" w:cs="Arial"/>
                <w:bCs/>
              </w:rPr>
            </w:pPr>
          </w:p>
          <w:p w14:paraId="60D08BE6" w14:textId="77777777" w:rsidR="002813A7" w:rsidRPr="008C0BFE" w:rsidRDefault="002813A7" w:rsidP="008F645B">
            <w:pPr>
              <w:suppressAutoHyphens w:val="0"/>
              <w:spacing w:after="0" w:line="240" w:lineRule="auto"/>
              <w:jc w:val="both"/>
              <w:rPr>
                <w:rFonts w:ascii="Arial" w:hAnsi="Arial" w:cs="Arial"/>
                <w:bCs/>
              </w:rPr>
            </w:pPr>
          </w:p>
          <w:p w14:paraId="3B93ED2B" w14:textId="77777777" w:rsidR="002813A7" w:rsidRPr="008C0BFE" w:rsidRDefault="002813A7" w:rsidP="008F645B">
            <w:pPr>
              <w:suppressAutoHyphens w:val="0"/>
              <w:spacing w:after="0" w:line="240" w:lineRule="auto"/>
              <w:jc w:val="both"/>
              <w:rPr>
                <w:rFonts w:ascii="Arial" w:hAnsi="Arial" w:cs="Arial"/>
                <w:bCs/>
              </w:rPr>
            </w:pPr>
          </w:p>
          <w:p w14:paraId="34FE52B4" w14:textId="77777777" w:rsidR="002813A7" w:rsidRPr="008C0BFE" w:rsidRDefault="002813A7" w:rsidP="008F645B">
            <w:pPr>
              <w:suppressAutoHyphens w:val="0"/>
              <w:spacing w:after="0" w:line="240" w:lineRule="auto"/>
              <w:jc w:val="both"/>
              <w:rPr>
                <w:rFonts w:ascii="Arial" w:hAnsi="Arial" w:cs="Arial"/>
                <w:bCs/>
              </w:rPr>
            </w:pPr>
          </w:p>
          <w:p w14:paraId="1BB79331" w14:textId="77777777" w:rsidR="002813A7" w:rsidRPr="008C0BFE" w:rsidRDefault="002813A7" w:rsidP="008F645B">
            <w:pPr>
              <w:suppressAutoHyphens w:val="0"/>
              <w:spacing w:after="0" w:line="240" w:lineRule="auto"/>
              <w:jc w:val="both"/>
              <w:rPr>
                <w:rFonts w:ascii="Arial" w:hAnsi="Arial" w:cs="Arial"/>
                <w:bCs/>
              </w:rPr>
            </w:pPr>
          </w:p>
          <w:p w14:paraId="6C96836F" w14:textId="77777777" w:rsidR="002813A7" w:rsidRPr="008C0BFE" w:rsidRDefault="002813A7" w:rsidP="008F645B">
            <w:pPr>
              <w:suppressAutoHyphens w:val="0"/>
              <w:spacing w:after="0" w:line="240" w:lineRule="auto"/>
              <w:jc w:val="both"/>
              <w:rPr>
                <w:rFonts w:ascii="Arial" w:hAnsi="Arial" w:cs="Arial"/>
                <w:bCs/>
              </w:rPr>
            </w:pPr>
          </w:p>
          <w:p w14:paraId="653D21D9" w14:textId="77777777" w:rsidR="002813A7" w:rsidRPr="008C0BFE" w:rsidRDefault="002813A7" w:rsidP="008F645B">
            <w:pPr>
              <w:suppressAutoHyphens w:val="0"/>
              <w:spacing w:after="0" w:line="240" w:lineRule="auto"/>
              <w:jc w:val="both"/>
              <w:rPr>
                <w:rFonts w:ascii="Arial" w:hAnsi="Arial" w:cs="Arial"/>
                <w:bCs/>
              </w:rPr>
            </w:pPr>
            <w:r w:rsidRPr="008C0BFE">
              <w:rPr>
                <w:rFonts w:ascii="Arial" w:hAnsi="Arial" w:cs="Arial"/>
                <w:bCs/>
              </w:rPr>
              <w:t>Not Implemented</w:t>
            </w:r>
          </w:p>
        </w:tc>
      </w:tr>
      <w:tr w:rsidR="007F4DE1" w:rsidRPr="008C0BFE" w14:paraId="274C8FBF" w14:textId="77777777" w:rsidTr="00BA509A">
        <w:trPr>
          <w:trHeight w:val="300"/>
        </w:trPr>
        <w:tc>
          <w:tcPr>
            <w:tcW w:w="1602" w:type="dxa"/>
            <w:shd w:val="clear" w:color="auto" w:fill="auto"/>
            <w:noWrap/>
          </w:tcPr>
          <w:p w14:paraId="76308D4A" w14:textId="3968C453" w:rsidR="00E77902" w:rsidRPr="008C0BFE" w:rsidRDefault="00E77902" w:rsidP="00E67D6B">
            <w:pPr>
              <w:suppressAutoHyphens w:val="0"/>
              <w:spacing w:after="0" w:line="240" w:lineRule="auto"/>
              <w:ind w:left="-79"/>
              <w:rPr>
                <w:rFonts w:ascii="Arial" w:hAnsi="Arial" w:cs="Arial"/>
              </w:rPr>
            </w:pPr>
            <w:r w:rsidRPr="008C0BFE">
              <w:rPr>
                <w:rFonts w:ascii="Arial" w:hAnsi="Arial" w:cs="Arial"/>
              </w:rPr>
              <w:t>AO No. 13 Page 138-142</w:t>
            </w:r>
          </w:p>
        </w:tc>
        <w:tc>
          <w:tcPr>
            <w:tcW w:w="2993" w:type="dxa"/>
            <w:shd w:val="clear" w:color="auto" w:fill="auto"/>
          </w:tcPr>
          <w:p w14:paraId="3FA93D34" w14:textId="77777777" w:rsidR="00427B91" w:rsidRPr="00E67D6B" w:rsidRDefault="00427B91" w:rsidP="008F645B">
            <w:pPr>
              <w:pStyle w:val="Default"/>
              <w:jc w:val="both"/>
              <w:rPr>
                <w:color w:val="auto"/>
                <w:sz w:val="22"/>
                <w:szCs w:val="22"/>
              </w:rPr>
            </w:pPr>
            <w:r w:rsidRPr="00E67D6B">
              <w:rPr>
                <w:color w:val="auto"/>
                <w:sz w:val="22"/>
                <w:szCs w:val="22"/>
              </w:rPr>
              <w:t xml:space="preserve">Deficiencies were noted in the grant and releases of the Small Town Lottery Charity Fund Share granted to the Philippine National Police (PNP) and the National Bureau of Investigation (NBI) amounting to P619.618 million in CYs 2017-2022 and P119.863 million in CYs 2019-2022, respectively, thus, affecting the evaluation and monitoring of the proper utilization and complete documentation of the funds </w:t>
            </w:r>
          </w:p>
          <w:p w14:paraId="5A9DCE54" w14:textId="77777777" w:rsidR="00427B91" w:rsidRPr="00E67D6B" w:rsidRDefault="00427B91" w:rsidP="008F645B">
            <w:pPr>
              <w:pStyle w:val="Default"/>
              <w:jc w:val="both"/>
              <w:rPr>
                <w:color w:val="auto"/>
                <w:sz w:val="22"/>
                <w:szCs w:val="22"/>
              </w:rPr>
            </w:pPr>
          </w:p>
          <w:p w14:paraId="73014F91" w14:textId="77777777" w:rsidR="00427B91" w:rsidRPr="00E67D6B" w:rsidRDefault="00427B91" w:rsidP="008F645B">
            <w:pPr>
              <w:pStyle w:val="Default"/>
              <w:jc w:val="both"/>
              <w:rPr>
                <w:color w:val="auto"/>
                <w:sz w:val="22"/>
                <w:szCs w:val="22"/>
              </w:rPr>
            </w:pPr>
            <w:r w:rsidRPr="00E67D6B">
              <w:rPr>
                <w:color w:val="auto"/>
                <w:sz w:val="22"/>
                <w:szCs w:val="22"/>
              </w:rPr>
              <w:t xml:space="preserve">a. The lack of clear provisions in the MOA on the monitoring of the STL Charity Fund Shares granted to PNP and NBI, and the lack of proper dissemination of the copies of the MOA to the concerned PCSO departments resulted in the continuous release of the STL Charity Fund Share to PNP and NBI despite the absence of Fund Utilization Reports from the date of the execution of the MOA; and </w:t>
            </w:r>
          </w:p>
          <w:p w14:paraId="145672D4" w14:textId="77777777" w:rsidR="00427B91" w:rsidRPr="00E67D6B" w:rsidRDefault="00427B91" w:rsidP="008F645B">
            <w:pPr>
              <w:pStyle w:val="Default"/>
              <w:jc w:val="both"/>
              <w:rPr>
                <w:color w:val="auto"/>
                <w:sz w:val="22"/>
                <w:szCs w:val="22"/>
              </w:rPr>
            </w:pPr>
          </w:p>
          <w:p w14:paraId="537FD9F3" w14:textId="77777777" w:rsidR="00E77902" w:rsidRPr="00E67D6B" w:rsidRDefault="00427B91" w:rsidP="008F645B">
            <w:pPr>
              <w:pStyle w:val="Default"/>
              <w:jc w:val="both"/>
              <w:rPr>
                <w:color w:val="auto"/>
                <w:sz w:val="22"/>
                <w:szCs w:val="22"/>
              </w:rPr>
            </w:pPr>
            <w:r w:rsidRPr="00E67D6B">
              <w:rPr>
                <w:color w:val="auto"/>
                <w:sz w:val="22"/>
                <w:szCs w:val="22"/>
              </w:rPr>
              <w:t>b. The rate of the PNP STL Charity Fund Share provided in the MOA was still the old rate of 2.50 percent, instead of the new rate of 0.50 percent as approved per Board Resolution No. 0178 series 2020.</w:t>
            </w:r>
          </w:p>
        </w:tc>
        <w:tc>
          <w:tcPr>
            <w:tcW w:w="3492" w:type="dxa"/>
            <w:shd w:val="clear" w:color="auto" w:fill="auto"/>
          </w:tcPr>
          <w:p w14:paraId="6AD91C30" w14:textId="77777777" w:rsidR="00E77902" w:rsidRPr="00E67D6B" w:rsidRDefault="00906E71" w:rsidP="008F645B">
            <w:pPr>
              <w:pStyle w:val="Default"/>
              <w:jc w:val="both"/>
              <w:rPr>
                <w:color w:val="auto"/>
                <w:sz w:val="22"/>
                <w:szCs w:val="22"/>
              </w:rPr>
            </w:pPr>
            <w:r w:rsidRPr="00E67D6B">
              <w:rPr>
                <w:color w:val="auto"/>
                <w:sz w:val="22"/>
                <w:szCs w:val="22"/>
              </w:rPr>
              <w:t>We recommended Management to:</w:t>
            </w:r>
          </w:p>
          <w:p w14:paraId="261B4045" w14:textId="77777777" w:rsidR="00427B91" w:rsidRPr="00E67D6B" w:rsidRDefault="00427B91" w:rsidP="008F645B">
            <w:pPr>
              <w:pStyle w:val="Default"/>
              <w:jc w:val="both"/>
              <w:rPr>
                <w:color w:val="auto"/>
                <w:sz w:val="22"/>
                <w:szCs w:val="22"/>
              </w:rPr>
            </w:pPr>
          </w:p>
          <w:p w14:paraId="7E7D6104" w14:textId="77777777" w:rsidR="00427B91" w:rsidRPr="00E67D6B" w:rsidRDefault="00427B91" w:rsidP="000A5A16">
            <w:pPr>
              <w:pStyle w:val="Default"/>
              <w:numPr>
                <w:ilvl w:val="0"/>
                <w:numId w:val="27"/>
              </w:numPr>
              <w:ind w:left="409" w:hanging="409"/>
              <w:jc w:val="both"/>
              <w:rPr>
                <w:color w:val="auto"/>
                <w:sz w:val="22"/>
                <w:szCs w:val="22"/>
              </w:rPr>
            </w:pPr>
            <w:r w:rsidRPr="00E67D6B">
              <w:rPr>
                <w:color w:val="auto"/>
                <w:sz w:val="22"/>
                <w:szCs w:val="22"/>
              </w:rPr>
              <w:t>Direct the ABD and the Charity Sector to strictly monitor the releases and utilization of the STL Charity Fund Share granted to PNP and NBI by requiring the submission of the Fund Utilization Reports for the previously transferred funds prior to the release of the additional fund and the submission of the Fund Utilization Reports and/or required reports within the period stipulated in the MOA</w:t>
            </w:r>
            <w:r w:rsidR="00BA509A" w:rsidRPr="00E67D6B">
              <w:rPr>
                <w:color w:val="auto"/>
                <w:sz w:val="22"/>
                <w:szCs w:val="22"/>
              </w:rPr>
              <w:t>.</w:t>
            </w:r>
          </w:p>
          <w:p w14:paraId="2AFFE15F" w14:textId="77777777" w:rsidR="00427B91" w:rsidRPr="00E67D6B" w:rsidRDefault="00427B91" w:rsidP="00427B91">
            <w:pPr>
              <w:pStyle w:val="Default"/>
              <w:ind w:left="720"/>
              <w:jc w:val="both"/>
              <w:rPr>
                <w:color w:val="auto"/>
                <w:sz w:val="22"/>
                <w:szCs w:val="22"/>
              </w:rPr>
            </w:pPr>
          </w:p>
          <w:p w14:paraId="3575CA5C" w14:textId="77777777" w:rsidR="00427B91" w:rsidRPr="00E67D6B" w:rsidRDefault="00427B91" w:rsidP="000A5A16">
            <w:pPr>
              <w:pStyle w:val="Default"/>
              <w:numPr>
                <w:ilvl w:val="0"/>
                <w:numId w:val="27"/>
              </w:numPr>
              <w:ind w:left="409"/>
              <w:jc w:val="both"/>
              <w:rPr>
                <w:color w:val="auto"/>
                <w:sz w:val="22"/>
                <w:szCs w:val="22"/>
              </w:rPr>
            </w:pPr>
            <w:r w:rsidRPr="00E67D6B">
              <w:rPr>
                <w:color w:val="auto"/>
                <w:sz w:val="22"/>
                <w:szCs w:val="22"/>
              </w:rPr>
              <w:t>For the STL Charity Fund Share granted to PNP and NBI amounting to P619.618 million in CYs 2017-2022 and P119.863 million in CYs 2019-2022, respectively, require the immediate submission of the Fund Utilization Reports, otherwise, enforce the remedies provided in the MOA</w:t>
            </w:r>
          </w:p>
          <w:p w14:paraId="02E104E4" w14:textId="77777777" w:rsidR="00427B91" w:rsidRPr="00E67D6B" w:rsidRDefault="00427B91" w:rsidP="00427B91">
            <w:pPr>
              <w:pStyle w:val="Default"/>
              <w:ind w:left="720"/>
              <w:jc w:val="both"/>
              <w:rPr>
                <w:color w:val="auto"/>
                <w:sz w:val="22"/>
                <w:szCs w:val="22"/>
              </w:rPr>
            </w:pPr>
          </w:p>
          <w:p w14:paraId="0D854DA9" w14:textId="77777777" w:rsidR="00427B91" w:rsidRPr="00E67D6B" w:rsidRDefault="00427B91" w:rsidP="000A5A16">
            <w:pPr>
              <w:pStyle w:val="Default"/>
              <w:numPr>
                <w:ilvl w:val="0"/>
                <w:numId w:val="27"/>
              </w:numPr>
              <w:ind w:left="409"/>
              <w:jc w:val="both"/>
              <w:rPr>
                <w:color w:val="auto"/>
                <w:sz w:val="22"/>
                <w:szCs w:val="22"/>
              </w:rPr>
            </w:pPr>
            <w:r w:rsidRPr="00E67D6B">
              <w:rPr>
                <w:color w:val="auto"/>
                <w:sz w:val="22"/>
                <w:szCs w:val="22"/>
              </w:rPr>
              <w:t xml:space="preserve">Consider revision of the STL implementing guidelines to include the following and use the same to amend the MOA: </w:t>
            </w:r>
          </w:p>
          <w:p w14:paraId="4E011407" w14:textId="77777777" w:rsidR="00427B91" w:rsidRPr="00E67D6B" w:rsidRDefault="00427B91" w:rsidP="00427B91">
            <w:pPr>
              <w:pStyle w:val="Default"/>
              <w:ind w:left="720"/>
              <w:jc w:val="both"/>
              <w:rPr>
                <w:color w:val="auto"/>
                <w:sz w:val="22"/>
                <w:szCs w:val="22"/>
              </w:rPr>
            </w:pPr>
          </w:p>
          <w:p w14:paraId="1A6A33E7" w14:textId="77777777" w:rsidR="00906E71" w:rsidRPr="00E67D6B" w:rsidRDefault="00427B91" w:rsidP="000A5A16">
            <w:pPr>
              <w:pStyle w:val="Default"/>
              <w:numPr>
                <w:ilvl w:val="0"/>
                <w:numId w:val="30"/>
              </w:numPr>
              <w:ind w:left="949" w:hanging="540"/>
              <w:jc w:val="both"/>
              <w:rPr>
                <w:color w:val="auto"/>
                <w:sz w:val="22"/>
                <w:szCs w:val="22"/>
              </w:rPr>
            </w:pPr>
            <w:r w:rsidRPr="00E67D6B">
              <w:rPr>
                <w:color w:val="auto"/>
                <w:sz w:val="22"/>
                <w:szCs w:val="22"/>
              </w:rPr>
              <w:t>To whom the Fund Utilization Reports shall be submitted to establish accountabilities on the monitoring of the timely and complete submission of the required Fund Utilization Reports</w:t>
            </w:r>
            <w:r w:rsidR="000A5A16" w:rsidRPr="00E67D6B">
              <w:rPr>
                <w:color w:val="auto"/>
                <w:sz w:val="22"/>
                <w:szCs w:val="22"/>
              </w:rPr>
              <w:t>.</w:t>
            </w:r>
          </w:p>
          <w:p w14:paraId="7755D2D9" w14:textId="77777777" w:rsidR="00906E71" w:rsidRPr="00E67D6B" w:rsidRDefault="00906E71" w:rsidP="00906E71">
            <w:pPr>
              <w:pStyle w:val="Default"/>
              <w:ind w:left="1440"/>
              <w:jc w:val="both"/>
              <w:rPr>
                <w:color w:val="auto"/>
                <w:sz w:val="22"/>
                <w:szCs w:val="22"/>
              </w:rPr>
            </w:pPr>
          </w:p>
          <w:p w14:paraId="3286B5EF" w14:textId="77777777" w:rsidR="00906E71" w:rsidRPr="00E67D6B" w:rsidRDefault="00427B91" w:rsidP="000A5A16">
            <w:pPr>
              <w:pStyle w:val="Default"/>
              <w:numPr>
                <w:ilvl w:val="0"/>
                <w:numId w:val="30"/>
              </w:numPr>
              <w:ind w:left="949" w:hanging="540"/>
              <w:jc w:val="both"/>
              <w:rPr>
                <w:color w:val="auto"/>
                <w:sz w:val="22"/>
                <w:szCs w:val="22"/>
              </w:rPr>
            </w:pPr>
            <w:r w:rsidRPr="00E67D6B">
              <w:rPr>
                <w:color w:val="auto"/>
                <w:sz w:val="22"/>
                <w:szCs w:val="22"/>
              </w:rPr>
              <w:t>To issue guidelines on the utilization of the grant of financial assistance to PNP and NBI</w:t>
            </w:r>
            <w:r w:rsidR="000A5A16" w:rsidRPr="00E67D6B">
              <w:rPr>
                <w:color w:val="auto"/>
                <w:sz w:val="22"/>
                <w:szCs w:val="22"/>
              </w:rPr>
              <w:t>.</w:t>
            </w:r>
          </w:p>
          <w:p w14:paraId="74FE6943" w14:textId="77777777" w:rsidR="00906E71" w:rsidRPr="00E67D6B" w:rsidRDefault="00906E71" w:rsidP="00906E71">
            <w:pPr>
              <w:pStyle w:val="Default"/>
              <w:ind w:left="1440"/>
              <w:jc w:val="both"/>
              <w:rPr>
                <w:color w:val="auto"/>
                <w:sz w:val="22"/>
                <w:szCs w:val="22"/>
              </w:rPr>
            </w:pPr>
          </w:p>
          <w:p w14:paraId="5F192E91" w14:textId="77777777" w:rsidR="00427B91" w:rsidRPr="00E67D6B" w:rsidRDefault="00427B91" w:rsidP="000A5A16">
            <w:pPr>
              <w:pStyle w:val="Default"/>
              <w:numPr>
                <w:ilvl w:val="0"/>
                <w:numId w:val="30"/>
              </w:numPr>
              <w:ind w:left="949" w:hanging="540"/>
              <w:jc w:val="both"/>
              <w:rPr>
                <w:color w:val="auto"/>
                <w:sz w:val="22"/>
                <w:szCs w:val="22"/>
              </w:rPr>
            </w:pPr>
            <w:r w:rsidRPr="00E67D6B">
              <w:rPr>
                <w:color w:val="auto"/>
                <w:sz w:val="22"/>
                <w:szCs w:val="22"/>
              </w:rPr>
              <w:t>To change the rate of the PNP STL Charity Fund Share in accordance with the latest approved STL Revenue Allocation</w:t>
            </w:r>
            <w:r w:rsidR="000A5A16" w:rsidRPr="00E67D6B">
              <w:rPr>
                <w:color w:val="auto"/>
                <w:sz w:val="22"/>
                <w:szCs w:val="22"/>
              </w:rPr>
              <w:t>.</w:t>
            </w:r>
          </w:p>
          <w:p w14:paraId="641C5AFF" w14:textId="77777777" w:rsidR="000A5A16" w:rsidRPr="00E67D6B" w:rsidRDefault="000A5A16" w:rsidP="000A5A16">
            <w:pPr>
              <w:pStyle w:val="Default"/>
              <w:ind w:left="949"/>
              <w:jc w:val="both"/>
              <w:rPr>
                <w:color w:val="auto"/>
                <w:sz w:val="22"/>
                <w:szCs w:val="22"/>
              </w:rPr>
            </w:pPr>
          </w:p>
        </w:tc>
        <w:tc>
          <w:tcPr>
            <w:tcW w:w="1975" w:type="dxa"/>
            <w:shd w:val="clear" w:color="auto" w:fill="auto"/>
          </w:tcPr>
          <w:p w14:paraId="2EDBDF2D" w14:textId="77777777" w:rsidR="00E77902" w:rsidRPr="008C0BFE" w:rsidRDefault="00E77902" w:rsidP="008F645B">
            <w:pPr>
              <w:suppressAutoHyphens w:val="0"/>
              <w:spacing w:after="0" w:line="240" w:lineRule="auto"/>
              <w:jc w:val="both"/>
              <w:rPr>
                <w:rFonts w:ascii="Arial" w:hAnsi="Arial" w:cs="Arial"/>
                <w:bCs/>
              </w:rPr>
            </w:pPr>
          </w:p>
          <w:p w14:paraId="440D8276" w14:textId="77777777" w:rsidR="00427B91" w:rsidRPr="008C0BFE" w:rsidRDefault="00427B91" w:rsidP="008F645B">
            <w:pPr>
              <w:suppressAutoHyphens w:val="0"/>
              <w:spacing w:after="0" w:line="240" w:lineRule="auto"/>
              <w:jc w:val="both"/>
              <w:rPr>
                <w:rFonts w:ascii="Arial" w:hAnsi="Arial" w:cs="Arial"/>
                <w:bCs/>
              </w:rPr>
            </w:pPr>
          </w:p>
          <w:p w14:paraId="5552BCC9" w14:textId="77777777" w:rsidR="00427B91" w:rsidRPr="008C0BFE" w:rsidRDefault="00427B91" w:rsidP="008F645B">
            <w:pPr>
              <w:suppressAutoHyphens w:val="0"/>
              <w:spacing w:after="0" w:line="240" w:lineRule="auto"/>
              <w:jc w:val="both"/>
              <w:rPr>
                <w:rFonts w:ascii="Arial" w:hAnsi="Arial" w:cs="Arial"/>
                <w:bCs/>
              </w:rPr>
            </w:pPr>
          </w:p>
          <w:p w14:paraId="622155A4" w14:textId="77777777" w:rsidR="00427B91" w:rsidRPr="008C0BFE" w:rsidRDefault="00480408" w:rsidP="008F645B">
            <w:pPr>
              <w:suppressAutoHyphens w:val="0"/>
              <w:spacing w:after="0" w:line="240" w:lineRule="auto"/>
              <w:jc w:val="both"/>
              <w:rPr>
                <w:rFonts w:ascii="Arial" w:hAnsi="Arial" w:cs="Arial"/>
                <w:bCs/>
              </w:rPr>
            </w:pPr>
            <w:r w:rsidRPr="008C0BFE">
              <w:rPr>
                <w:rFonts w:ascii="Arial" w:hAnsi="Arial" w:cs="Arial"/>
                <w:bCs/>
              </w:rPr>
              <w:t xml:space="preserve">Fully </w:t>
            </w:r>
            <w:r w:rsidR="00427B91" w:rsidRPr="008C0BFE">
              <w:rPr>
                <w:rFonts w:ascii="Arial" w:hAnsi="Arial" w:cs="Arial"/>
                <w:bCs/>
              </w:rPr>
              <w:t>Implemented</w:t>
            </w:r>
          </w:p>
          <w:p w14:paraId="33DF60A0" w14:textId="77777777" w:rsidR="00427B91" w:rsidRPr="008C0BFE" w:rsidRDefault="00427B91" w:rsidP="008F645B">
            <w:pPr>
              <w:suppressAutoHyphens w:val="0"/>
              <w:spacing w:after="0" w:line="240" w:lineRule="auto"/>
              <w:jc w:val="both"/>
              <w:rPr>
                <w:rFonts w:ascii="Arial" w:hAnsi="Arial" w:cs="Arial"/>
                <w:bCs/>
              </w:rPr>
            </w:pPr>
          </w:p>
          <w:p w14:paraId="1B8AB11F" w14:textId="77777777" w:rsidR="00427B91" w:rsidRPr="008C0BFE" w:rsidRDefault="00427B91" w:rsidP="008F645B">
            <w:pPr>
              <w:suppressAutoHyphens w:val="0"/>
              <w:spacing w:after="0" w:line="240" w:lineRule="auto"/>
              <w:jc w:val="both"/>
              <w:rPr>
                <w:rFonts w:ascii="Arial" w:hAnsi="Arial" w:cs="Arial"/>
                <w:bCs/>
              </w:rPr>
            </w:pPr>
          </w:p>
          <w:p w14:paraId="32B9A151" w14:textId="77777777" w:rsidR="00427B91" w:rsidRPr="008C0BFE" w:rsidRDefault="00427B91" w:rsidP="008F645B">
            <w:pPr>
              <w:suppressAutoHyphens w:val="0"/>
              <w:spacing w:after="0" w:line="240" w:lineRule="auto"/>
              <w:jc w:val="both"/>
              <w:rPr>
                <w:rFonts w:ascii="Arial" w:hAnsi="Arial" w:cs="Arial"/>
                <w:bCs/>
              </w:rPr>
            </w:pPr>
          </w:p>
          <w:p w14:paraId="166E7CF7" w14:textId="77777777" w:rsidR="00427B91" w:rsidRPr="008C0BFE" w:rsidRDefault="00427B91" w:rsidP="008F645B">
            <w:pPr>
              <w:suppressAutoHyphens w:val="0"/>
              <w:spacing w:after="0" w:line="240" w:lineRule="auto"/>
              <w:jc w:val="both"/>
              <w:rPr>
                <w:rFonts w:ascii="Arial" w:hAnsi="Arial" w:cs="Arial"/>
                <w:bCs/>
              </w:rPr>
            </w:pPr>
          </w:p>
          <w:p w14:paraId="27BCCFB9" w14:textId="77777777" w:rsidR="00427B91" w:rsidRPr="008C0BFE" w:rsidRDefault="00427B91" w:rsidP="008F645B">
            <w:pPr>
              <w:suppressAutoHyphens w:val="0"/>
              <w:spacing w:after="0" w:line="240" w:lineRule="auto"/>
              <w:jc w:val="both"/>
              <w:rPr>
                <w:rFonts w:ascii="Arial" w:hAnsi="Arial" w:cs="Arial"/>
                <w:bCs/>
              </w:rPr>
            </w:pPr>
          </w:p>
          <w:p w14:paraId="1179A455" w14:textId="77777777" w:rsidR="00427B91" w:rsidRPr="008C0BFE" w:rsidRDefault="00427B91" w:rsidP="008F645B">
            <w:pPr>
              <w:suppressAutoHyphens w:val="0"/>
              <w:spacing w:after="0" w:line="240" w:lineRule="auto"/>
              <w:jc w:val="both"/>
              <w:rPr>
                <w:rFonts w:ascii="Arial" w:hAnsi="Arial" w:cs="Arial"/>
                <w:bCs/>
              </w:rPr>
            </w:pPr>
          </w:p>
          <w:p w14:paraId="02A2063B" w14:textId="77777777" w:rsidR="00427B91" w:rsidRPr="008C0BFE" w:rsidRDefault="00427B91" w:rsidP="008F645B">
            <w:pPr>
              <w:suppressAutoHyphens w:val="0"/>
              <w:spacing w:after="0" w:line="240" w:lineRule="auto"/>
              <w:jc w:val="both"/>
              <w:rPr>
                <w:rFonts w:ascii="Arial" w:hAnsi="Arial" w:cs="Arial"/>
                <w:bCs/>
              </w:rPr>
            </w:pPr>
          </w:p>
          <w:p w14:paraId="1CD5C580" w14:textId="77777777" w:rsidR="00427B91" w:rsidRPr="008C0BFE" w:rsidRDefault="00427B91" w:rsidP="008F645B">
            <w:pPr>
              <w:suppressAutoHyphens w:val="0"/>
              <w:spacing w:after="0" w:line="240" w:lineRule="auto"/>
              <w:jc w:val="both"/>
              <w:rPr>
                <w:rFonts w:ascii="Arial" w:hAnsi="Arial" w:cs="Arial"/>
                <w:bCs/>
              </w:rPr>
            </w:pPr>
          </w:p>
          <w:p w14:paraId="50067E97" w14:textId="77777777" w:rsidR="00427B91" w:rsidRPr="008C0BFE" w:rsidRDefault="00427B91" w:rsidP="008F645B">
            <w:pPr>
              <w:suppressAutoHyphens w:val="0"/>
              <w:spacing w:after="0" w:line="240" w:lineRule="auto"/>
              <w:jc w:val="both"/>
              <w:rPr>
                <w:rFonts w:ascii="Arial" w:hAnsi="Arial" w:cs="Arial"/>
                <w:bCs/>
              </w:rPr>
            </w:pPr>
          </w:p>
          <w:p w14:paraId="24335574" w14:textId="77777777" w:rsidR="00427B91" w:rsidRPr="008C0BFE" w:rsidRDefault="00427B91" w:rsidP="008F645B">
            <w:pPr>
              <w:suppressAutoHyphens w:val="0"/>
              <w:spacing w:after="0" w:line="240" w:lineRule="auto"/>
              <w:jc w:val="both"/>
              <w:rPr>
                <w:rFonts w:ascii="Arial" w:hAnsi="Arial" w:cs="Arial"/>
                <w:bCs/>
              </w:rPr>
            </w:pPr>
          </w:p>
          <w:p w14:paraId="6061FA83" w14:textId="77777777" w:rsidR="00427B91" w:rsidRPr="008C0BFE" w:rsidRDefault="00427B91" w:rsidP="008F645B">
            <w:pPr>
              <w:suppressAutoHyphens w:val="0"/>
              <w:spacing w:after="0" w:line="240" w:lineRule="auto"/>
              <w:jc w:val="both"/>
              <w:rPr>
                <w:rFonts w:ascii="Arial" w:hAnsi="Arial" w:cs="Arial"/>
                <w:bCs/>
              </w:rPr>
            </w:pPr>
          </w:p>
          <w:p w14:paraId="29D45659" w14:textId="77777777" w:rsidR="00427B91" w:rsidRPr="008C0BFE" w:rsidRDefault="00427B91" w:rsidP="008F645B">
            <w:pPr>
              <w:suppressAutoHyphens w:val="0"/>
              <w:spacing w:after="0" w:line="240" w:lineRule="auto"/>
              <w:jc w:val="both"/>
              <w:rPr>
                <w:rFonts w:ascii="Arial" w:hAnsi="Arial" w:cs="Arial"/>
                <w:bCs/>
              </w:rPr>
            </w:pPr>
          </w:p>
          <w:p w14:paraId="5201573E" w14:textId="77777777" w:rsidR="00427B91" w:rsidRPr="008C0BFE" w:rsidRDefault="00427B91" w:rsidP="008F645B">
            <w:pPr>
              <w:suppressAutoHyphens w:val="0"/>
              <w:spacing w:after="0" w:line="240" w:lineRule="auto"/>
              <w:jc w:val="both"/>
              <w:rPr>
                <w:rFonts w:ascii="Arial" w:hAnsi="Arial" w:cs="Arial"/>
                <w:bCs/>
              </w:rPr>
            </w:pPr>
          </w:p>
          <w:p w14:paraId="187CC73C" w14:textId="77777777" w:rsidR="00427B91" w:rsidRPr="008C0BFE" w:rsidRDefault="00427B91" w:rsidP="008F645B">
            <w:pPr>
              <w:suppressAutoHyphens w:val="0"/>
              <w:spacing w:after="0" w:line="240" w:lineRule="auto"/>
              <w:jc w:val="both"/>
              <w:rPr>
                <w:rFonts w:ascii="Arial" w:hAnsi="Arial" w:cs="Arial"/>
                <w:bCs/>
              </w:rPr>
            </w:pPr>
          </w:p>
          <w:p w14:paraId="361185B5" w14:textId="77777777" w:rsidR="00427B91" w:rsidRPr="008C0BFE" w:rsidRDefault="00427B91" w:rsidP="008F645B">
            <w:pPr>
              <w:suppressAutoHyphens w:val="0"/>
              <w:spacing w:after="0" w:line="240" w:lineRule="auto"/>
              <w:jc w:val="both"/>
              <w:rPr>
                <w:rFonts w:ascii="Arial" w:hAnsi="Arial" w:cs="Arial"/>
                <w:bCs/>
              </w:rPr>
            </w:pPr>
            <w:r w:rsidRPr="008C0BFE">
              <w:rPr>
                <w:rFonts w:ascii="Arial" w:hAnsi="Arial" w:cs="Arial"/>
                <w:bCs/>
              </w:rPr>
              <w:t xml:space="preserve">Not Implemented </w:t>
            </w:r>
          </w:p>
          <w:p w14:paraId="59434A71" w14:textId="77777777" w:rsidR="00427B91" w:rsidRPr="008C0BFE" w:rsidRDefault="00427B91" w:rsidP="008F645B">
            <w:pPr>
              <w:suppressAutoHyphens w:val="0"/>
              <w:spacing w:after="0" w:line="240" w:lineRule="auto"/>
              <w:jc w:val="both"/>
              <w:rPr>
                <w:rFonts w:ascii="Arial" w:hAnsi="Arial" w:cs="Arial"/>
                <w:bCs/>
              </w:rPr>
            </w:pPr>
          </w:p>
          <w:p w14:paraId="058BBB27" w14:textId="77777777" w:rsidR="00427B91" w:rsidRPr="008C0BFE" w:rsidRDefault="00427B91" w:rsidP="008F645B">
            <w:pPr>
              <w:suppressAutoHyphens w:val="0"/>
              <w:spacing w:after="0" w:line="240" w:lineRule="auto"/>
              <w:jc w:val="both"/>
              <w:rPr>
                <w:rFonts w:ascii="Arial" w:hAnsi="Arial" w:cs="Arial"/>
                <w:bCs/>
              </w:rPr>
            </w:pPr>
          </w:p>
          <w:p w14:paraId="5C97826F" w14:textId="77777777" w:rsidR="00427B91" w:rsidRPr="008C0BFE" w:rsidRDefault="00427B91" w:rsidP="008F645B">
            <w:pPr>
              <w:suppressAutoHyphens w:val="0"/>
              <w:spacing w:after="0" w:line="240" w:lineRule="auto"/>
              <w:jc w:val="both"/>
              <w:rPr>
                <w:rFonts w:ascii="Arial" w:hAnsi="Arial" w:cs="Arial"/>
                <w:bCs/>
              </w:rPr>
            </w:pPr>
          </w:p>
          <w:p w14:paraId="3B73D02A" w14:textId="77777777" w:rsidR="00427B91" w:rsidRPr="008C0BFE" w:rsidRDefault="00427B91" w:rsidP="008F645B">
            <w:pPr>
              <w:suppressAutoHyphens w:val="0"/>
              <w:spacing w:after="0" w:line="240" w:lineRule="auto"/>
              <w:jc w:val="both"/>
              <w:rPr>
                <w:rFonts w:ascii="Arial" w:hAnsi="Arial" w:cs="Arial"/>
                <w:bCs/>
              </w:rPr>
            </w:pPr>
          </w:p>
          <w:p w14:paraId="6505AE0D" w14:textId="77777777" w:rsidR="00427B91" w:rsidRPr="008C0BFE" w:rsidRDefault="00427B91" w:rsidP="008F645B">
            <w:pPr>
              <w:suppressAutoHyphens w:val="0"/>
              <w:spacing w:after="0" w:line="240" w:lineRule="auto"/>
              <w:jc w:val="both"/>
              <w:rPr>
                <w:rFonts w:ascii="Arial" w:hAnsi="Arial" w:cs="Arial"/>
                <w:bCs/>
              </w:rPr>
            </w:pPr>
          </w:p>
          <w:p w14:paraId="25F31DEA" w14:textId="77777777" w:rsidR="00427B91" w:rsidRPr="008C0BFE" w:rsidRDefault="00427B91" w:rsidP="008F645B">
            <w:pPr>
              <w:suppressAutoHyphens w:val="0"/>
              <w:spacing w:after="0" w:line="240" w:lineRule="auto"/>
              <w:jc w:val="both"/>
              <w:rPr>
                <w:rFonts w:ascii="Arial" w:hAnsi="Arial" w:cs="Arial"/>
                <w:bCs/>
              </w:rPr>
            </w:pPr>
          </w:p>
          <w:p w14:paraId="7ACF50C7" w14:textId="77777777" w:rsidR="00427B91" w:rsidRPr="008C0BFE" w:rsidRDefault="00427B91" w:rsidP="008F645B">
            <w:pPr>
              <w:suppressAutoHyphens w:val="0"/>
              <w:spacing w:after="0" w:line="240" w:lineRule="auto"/>
              <w:jc w:val="both"/>
              <w:rPr>
                <w:rFonts w:ascii="Arial" w:hAnsi="Arial" w:cs="Arial"/>
                <w:bCs/>
              </w:rPr>
            </w:pPr>
          </w:p>
          <w:p w14:paraId="7E5ADA06" w14:textId="77777777" w:rsidR="00427B91" w:rsidRPr="008C0BFE" w:rsidRDefault="00427B91" w:rsidP="008F645B">
            <w:pPr>
              <w:suppressAutoHyphens w:val="0"/>
              <w:spacing w:after="0" w:line="240" w:lineRule="auto"/>
              <w:jc w:val="both"/>
              <w:rPr>
                <w:rFonts w:ascii="Arial" w:hAnsi="Arial" w:cs="Arial"/>
                <w:bCs/>
              </w:rPr>
            </w:pPr>
          </w:p>
          <w:p w14:paraId="7E6B2292" w14:textId="77777777" w:rsidR="00427B91" w:rsidRPr="008C0BFE" w:rsidRDefault="00427B91" w:rsidP="008F645B">
            <w:pPr>
              <w:suppressAutoHyphens w:val="0"/>
              <w:spacing w:after="0" w:line="240" w:lineRule="auto"/>
              <w:jc w:val="both"/>
              <w:rPr>
                <w:rFonts w:ascii="Arial" w:hAnsi="Arial" w:cs="Arial"/>
                <w:bCs/>
              </w:rPr>
            </w:pPr>
          </w:p>
          <w:p w14:paraId="6F1A27C2" w14:textId="77777777" w:rsidR="00427B91" w:rsidRPr="008C0BFE" w:rsidRDefault="00427B91" w:rsidP="008F645B">
            <w:pPr>
              <w:suppressAutoHyphens w:val="0"/>
              <w:spacing w:after="0" w:line="240" w:lineRule="auto"/>
              <w:jc w:val="both"/>
              <w:rPr>
                <w:rFonts w:ascii="Arial" w:hAnsi="Arial" w:cs="Arial"/>
                <w:bCs/>
              </w:rPr>
            </w:pPr>
          </w:p>
          <w:p w14:paraId="59742CE5" w14:textId="77777777" w:rsidR="00427B91" w:rsidRPr="008C0BFE" w:rsidRDefault="00427B91" w:rsidP="008F645B">
            <w:pPr>
              <w:suppressAutoHyphens w:val="0"/>
              <w:spacing w:after="0" w:line="240" w:lineRule="auto"/>
              <w:jc w:val="both"/>
              <w:rPr>
                <w:rFonts w:ascii="Arial" w:hAnsi="Arial" w:cs="Arial"/>
                <w:bCs/>
              </w:rPr>
            </w:pPr>
          </w:p>
          <w:p w14:paraId="58EB2AED" w14:textId="77777777" w:rsidR="00427B91" w:rsidRPr="008C0BFE" w:rsidRDefault="00427B91" w:rsidP="008F645B">
            <w:pPr>
              <w:suppressAutoHyphens w:val="0"/>
              <w:spacing w:after="0" w:line="240" w:lineRule="auto"/>
              <w:jc w:val="both"/>
              <w:rPr>
                <w:rFonts w:ascii="Arial" w:hAnsi="Arial" w:cs="Arial"/>
                <w:bCs/>
              </w:rPr>
            </w:pPr>
          </w:p>
          <w:p w14:paraId="1BCC9E00" w14:textId="77777777" w:rsidR="00130643" w:rsidRDefault="00130643" w:rsidP="008F645B">
            <w:pPr>
              <w:suppressAutoHyphens w:val="0"/>
              <w:spacing w:after="0" w:line="240" w:lineRule="auto"/>
              <w:jc w:val="both"/>
              <w:rPr>
                <w:rFonts w:ascii="Arial" w:hAnsi="Arial" w:cs="Arial"/>
                <w:bCs/>
              </w:rPr>
            </w:pPr>
          </w:p>
          <w:p w14:paraId="74C81132" w14:textId="77777777" w:rsidR="00130643" w:rsidRDefault="00130643" w:rsidP="008F645B">
            <w:pPr>
              <w:suppressAutoHyphens w:val="0"/>
              <w:spacing w:after="0" w:line="240" w:lineRule="auto"/>
              <w:jc w:val="both"/>
              <w:rPr>
                <w:rFonts w:ascii="Arial" w:hAnsi="Arial" w:cs="Arial"/>
                <w:bCs/>
              </w:rPr>
            </w:pPr>
          </w:p>
          <w:p w14:paraId="19263769" w14:textId="77777777" w:rsidR="00E67D6B" w:rsidRDefault="00E67D6B" w:rsidP="008F645B">
            <w:pPr>
              <w:suppressAutoHyphens w:val="0"/>
              <w:spacing w:after="0" w:line="240" w:lineRule="auto"/>
              <w:jc w:val="both"/>
              <w:rPr>
                <w:rFonts w:ascii="Arial" w:hAnsi="Arial" w:cs="Arial"/>
                <w:bCs/>
              </w:rPr>
            </w:pPr>
          </w:p>
          <w:p w14:paraId="07100D8C" w14:textId="77777777" w:rsidR="00E67D6B" w:rsidRDefault="00E67D6B" w:rsidP="008F645B">
            <w:pPr>
              <w:suppressAutoHyphens w:val="0"/>
              <w:spacing w:after="0" w:line="240" w:lineRule="auto"/>
              <w:jc w:val="both"/>
              <w:rPr>
                <w:rFonts w:ascii="Arial" w:hAnsi="Arial" w:cs="Arial"/>
                <w:bCs/>
              </w:rPr>
            </w:pPr>
          </w:p>
          <w:p w14:paraId="59DD0121" w14:textId="77777777" w:rsidR="00E67D6B" w:rsidRDefault="00E67D6B" w:rsidP="008F645B">
            <w:pPr>
              <w:suppressAutoHyphens w:val="0"/>
              <w:spacing w:after="0" w:line="240" w:lineRule="auto"/>
              <w:jc w:val="both"/>
              <w:rPr>
                <w:rFonts w:ascii="Arial" w:hAnsi="Arial" w:cs="Arial"/>
                <w:bCs/>
              </w:rPr>
            </w:pPr>
          </w:p>
          <w:p w14:paraId="6F8C9C78" w14:textId="769C00F0" w:rsidR="00427B91" w:rsidRPr="008C0BFE" w:rsidRDefault="00480408" w:rsidP="008F645B">
            <w:pPr>
              <w:suppressAutoHyphens w:val="0"/>
              <w:spacing w:after="0" w:line="240" w:lineRule="auto"/>
              <w:jc w:val="both"/>
              <w:rPr>
                <w:rFonts w:ascii="Arial" w:hAnsi="Arial" w:cs="Arial"/>
                <w:bCs/>
              </w:rPr>
            </w:pPr>
            <w:r w:rsidRPr="008C0BFE">
              <w:rPr>
                <w:rFonts w:ascii="Arial" w:hAnsi="Arial" w:cs="Arial"/>
                <w:bCs/>
              </w:rPr>
              <w:t xml:space="preserve">Fully </w:t>
            </w:r>
            <w:r w:rsidR="00427B91" w:rsidRPr="008C0BFE">
              <w:rPr>
                <w:rFonts w:ascii="Arial" w:hAnsi="Arial" w:cs="Arial"/>
                <w:bCs/>
              </w:rPr>
              <w:t>Implemented</w:t>
            </w:r>
          </w:p>
          <w:p w14:paraId="005B894E" w14:textId="77777777" w:rsidR="00427B91" w:rsidRPr="008C0BFE" w:rsidRDefault="00427B91" w:rsidP="008F645B">
            <w:pPr>
              <w:suppressAutoHyphens w:val="0"/>
              <w:spacing w:after="0" w:line="240" w:lineRule="auto"/>
              <w:jc w:val="both"/>
              <w:rPr>
                <w:rFonts w:ascii="Arial" w:hAnsi="Arial" w:cs="Arial"/>
                <w:bCs/>
              </w:rPr>
            </w:pPr>
          </w:p>
          <w:p w14:paraId="52AF236B" w14:textId="77777777" w:rsidR="00427B91" w:rsidRPr="008C0BFE" w:rsidRDefault="00427B91" w:rsidP="008F645B">
            <w:pPr>
              <w:suppressAutoHyphens w:val="0"/>
              <w:spacing w:after="0" w:line="240" w:lineRule="auto"/>
              <w:jc w:val="both"/>
              <w:rPr>
                <w:rFonts w:ascii="Arial" w:hAnsi="Arial" w:cs="Arial"/>
                <w:bCs/>
              </w:rPr>
            </w:pPr>
          </w:p>
          <w:p w14:paraId="23EE8E8D" w14:textId="77777777" w:rsidR="00427B91" w:rsidRPr="008C0BFE" w:rsidRDefault="00427B91" w:rsidP="008F645B">
            <w:pPr>
              <w:suppressAutoHyphens w:val="0"/>
              <w:spacing w:after="0" w:line="240" w:lineRule="auto"/>
              <w:jc w:val="both"/>
              <w:rPr>
                <w:rFonts w:ascii="Arial" w:hAnsi="Arial" w:cs="Arial"/>
                <w:bCs/>
              </w:rPr>
            </w:pPr>
          </w:p>
          <w:p w14:paraId="11DF6E73" w14:textId="77777777" w:rsidR="00427B91" w:rsidRPr="008C0BFE" w:rsidRDefault="00427B91" w:rsidP="008F645B">
            <w:pPr>
              <w:suppressAutoHyphens w:val="0"/>
              <w:spacing w:after="0" w:line="240" w:lineRule="auto"/>
              <w:jc w:val="both"/>
              <w:rPr>
                <w:rFonts w:ascii="Arial" w:hAnsi="Arial" w:cs="Arial"/>
                <w:bCs/>
              </w:rPr>
            </w:pPr>
          </w:p>
          <w:p w14:paraId="439CE03C" w14:textId="77777777" w:rsidR="00427B91" w:rsidRPr="008C0BFE" w:rsidRDefault="00427B91" w:rsidP="008F645B">
            <w:pPr>
              <w:suppressAutoHyphens w:val="0"/>
              <w:spacing w:after="0" w:line="240" w:lineRule="auto"/>
              <w:jc w:val="both"/>
              <w:rPr>
                <w:rFonts w:ascii="Arial" w:hAnsi="Arial" w:cs="Arial"/>
                <w:bCs/>
              </w:rPr>
            </w:pPr>
          </w:p>
          <w:p w14:paraId="745328F2" w14:textId="77777777" w:rsidR="00427B91" w:rsidRPr="008C0BFE" w:rsidRDefault="00427B91" w:rsidP="008F645B">
            <w:pPr>
              <w:suppressAutoHyphens w:val="0"/>
              <w:spacing w:after="0" w:line="240" w:lineRule="auto"/>
              <w:jc w:val="both"/>
              <w:rPr>
                <w:rFonts w:ascii="Arial" w:hAnsi="Arial" w:cs="Arial"/>
                <w:bCs/>
              </w:rPr>
            </w:pPr>
          </w:p>
          <w:p w14:paraId="3556D33C" w14:textId="77777777" w:rsidR="00427B91" w:rsidRPr="008C0BFE" w:rsidRDefault="00427B91" w:rsidP="008F645B">
            <w:pPr>
              <w:suppressAutoHyphens w:val="0"/>
              <w:spacing w:after="0" w:line="240" w:lineRule="auto"/>
              <w:jc w:val="both"/>
              <w:rPr>
                <w:rFonts w:ascii="Arial" w:hAnsi="Arial" w:cs="Arial"/>
                <w:bCs/>
              </w:rPr>
            </w:pPr>
          </w:p>
          <w:p w14:paraId="5EF2806F" w14:textId="77777777" w:rsidR="00427B91" w:rsidRPr="008C0BFE" w:rsidRDefault="00427B91" w:rsidP="008F645B">
            <w:pPr>
              <w:suppressAutoHyphens w:val="0"/>
              <w:spacing w:after="0" w:line="240" w:lineRule="auto"/>
              <w:jc w:val="both"/>
              <w:rPr>
                <w:rFonts w:ascii="Arial" w:hAnsi="Arial" w:cs="Arial"/>
                <w:bCs/>
              </w:rPr>
            </w:pPr>
          </w:p>
          <w:p w14:paraId="183601C9" w14:textId="77777777" w:rsidR="00427B91" w:rsidRPr="008C0BFE" w:rsidRDefault="00427B91" w:rsidP="008F645B">
            <w:pPr>
              <w:suppressAutoHyphens w:val="0"/>
              <w:spacing w:after="0" w:line="240" w:lineRule="auto"/>
              <w:jc w:val="both"/>
              <w:rPr>
                <w:rFonts w:ascii="Arial" w:hAnsi="Arial" w:cs="Arial"/>
                <w:bCs/>
              </w:rPr>
            </w:pPr>
          </w:p>
          <w:p w14:paraId="6AEF3F3A" w14:textId="77777777" w:rsidR="00427B91" w:rsidRPr="008C0BFE" w:rsidRDefault="00427B91" w:rsidP="008F645B">
            <w:pPr>
              <w:suppressAutoHyphens w:val="0"/>
              <w:spacing w:after="0" w:line="240" w:lineRule="auto"/>
              <w:jc w:val="both"/>
              <w:rPr>
                <w:rFonts w:ascii="Arial" w:hAnsi="Arial" w:cs="Arial"/>
                <w:bCs/>
              </w:rPr>
            </w:pPr>
          </w:p>
          <w:p w14:paraId="775991A6" w14:textId="5224E67C" w:rsidR="00427B91" w:rsidRPr="008C0BFE" w:rsidRDefault="00130643" w:rsidP="008F645B">
            <w:pPr>
              <w:suppressAutoHyphens w:val="0"/>
              <w:spacing w:after="0" w:line="240" w:lineRule="auto"/>
              <w:jc w:val="both"/>
              <w:rPr>
                <w:rFonts w:ascii="Arial" w:hAnsi="Arial" w:cs="Arial"/>
                <w:bCs/>
              </w:rPr>
            </w:pPr>
            <w:r>
              <w:rPr>
                <w:rFonts w:ascii="Arial" w:hAnsi="Arial" w:cs="Arial"/>
                <w:bCs/>
              </w:rPr>
              <w:t>Fully Implemented</w:t>
            </w:r>
          </w:p>
          <w:p w14:paraId="423577A1" w14:textId="77777777" w:rsidR="00427B91" w:rsidRPr="008C0BFE" w:rsidRDefault="00427B91" w:rsidP="008F645B">
            <w:pPr>
              <w:suppressAutoHyphens w:val="0"/>
              <w:spacing w:after="0" w:line="240" w:lineRule="auto"/>
              <w:jc w:val="both"/>
              <w:rPr>
                <w:rFonts w:ascii="Arial" w:hAnsi="Arial" w:cs="Arial"/>
                <w:bCs/>
              </w:rPr>
            </w:pPr>
          </w:p>
          <w:p w14:paraId="183B2BBD" w14:textId="77777777" w:rsidR="00427B91" w:rsidRPr="008C0BFE" w:rsidRDefault="00427B91" w:rsidP="008F645B">
            <w:pPr>
              <w:suppressAutoHyphens w:val="0"/>
              <w:spacing w:after="0" w:line="240" w:lineRule="auto"/>
              <w:jc w:val="both"/>
              <w:rPr>
                <w:rFonts w:ascii="Arial" w:hAnsi="Arial" w:cs="Arial"/>
                <w:bCs/>
              </w:rPr>
            </w:pPr>
          </w:p>
          <w:p w14:paraId="3109B9BE" w14:textId="77777777" w:rsidR="00427B91" w:rsidRPr="008C0BFE" w:rsidRDefault="00427B91" w:rsidP="008F645B">
            <w:pPr>
              <w:suppressAutoHyphens w:val="0"/>
              <w:spacing w:after="0" w:line="240" w:lineRule="auto"/>
              <w:jc w:val="both"/>
              <w:rPr>
                <w:rFonts w:ascii="Arial" w:hAnsi="Arial" w:cs="Arial"/>
                <w:bCs/>
              </w:rPr>
            </w:pPr>
          </w:p>
          <w:p w14:paraId="5D277DD2" w14:textId="77777777" w:rsidR="00427B91" w:rsidRPr="008C0BFE" w:rsidRDefault="00427B91" w:rsidP="008F645B">
            <w:pPr>
              <w:suppressAutoHyphens w:val="0"/>
              <w:spacing w:after="0" w:line="240" w:lineRule="auto"/>
              <w:jc w:val="both"/>
              <w:rPr>
                <w:rFonts w:ascii="Arial" w:hAnsi="Arial" w:cs="Arial"/>
                <w:bCs/>
              </w:rPr>
            </w:pPr>
          </w:p>
          <w:p w14:paraId="4F12CC49" w14:textId="01A82417" w:rsidR="00906E71" w:rsidRPr="008C0BFE" w:rsidRDefault="00130643" w:rsidP="008F645B">
            <w:pPr>
              <w:suppressAutoHyphens w:val="0"/>
              <w:spacing w:after="0" w:line="240" w:lineRule="auto"/>
              <w:jc w:val="both"/>
              <w:rPr>
                <w:rFonts w:ascii="Arial" w:hAnsi="Arial" w:cs="Arial"/>
                <w:bCs/>
              </w:rPr>
            </w:pPr>
            <w:r>
              <w:rPr>
                <w:rFonts w:ascii="Arial" w:hAnsi="Arial" w:cs="Arial"/>
                <w:bCs/>
              </w:rPr>
              <w:t>Fully Implemented</w:t>
            </w:r>
          </w:p>
          <w:p w14:paraId="1F33F50C" w14:textId="77777777" w:rsidR="00427B91" w:rsidRPr="008C0BFE" w:rsidRDefault="00427B91" w:rsidP="008F645B">
            <w:pPr>
              <w:suppressAutoHyphens w:val="0"/>
              <w:spacing w:after="0" w:line="240" w:lineRule="auto"/>
              <w:jc w:val="both"/>
              <w:rPr>
                <w:rFonts w:ascii="Arial" w:hAnsi="Arial" w:cs="Arial"/>
                <w:bCs/>
              </w:rPr>
            </w:pPr>
          </w:p>
        </w:tc>
      </w:tr>
      <w:tr w:rsidR="007F4DE1" w:rsidRPr="008C0BFE" w14:paraId="4F48DBE1" w14:textId="77777777" w:rsidTr="00BA509A">
        <w:trPr>
          <w:trHeight w:val="300"/>
        </w:trPr>
        <w:tc>
          <w:tcPr>
            <w:tcW w:w="1602" w:type="dxa"/>
            <w:shd w:val="clear" w:color="auto" w:fill="auto"/>
            <w:noWrap/>
          </w:tcPr>
          <w:p w14:paraId="3F3369AE" w14:textId="5B9311ED" w:rsidR="00207C0F" w:rsidRPr="008C0BFE" w:rsidRDefault="00207C0F" w:rsidP="00E67D6B">
            <w:pPr>
              <w:suppressAutoHyphens w:val="0"/>
              <w:spacing w:after="0" w:line="240" w:lineRule="auto"/>
              <w:ind w:left="-79"/>
              <w:rPr>
                <w:rFonts w:ascii="Arial" w:hAnsi="Arial" w:cs="Arial"/>
              </w:rPr>
            </w:pPr>
            <w:r w:rsidRPr="008C0BFE">
              <w:rPr>
                <w:rFonts w:ascii="Arial" w:hAnsi="Arial" w:cs="Arial"/>
              </w:rPr>
              <w:t>AO No. 14 Page 142-145</w:t>
            </w:r>
          </w:p>
        </w:tc>
        <w:tc>
          <w:tcPr>
            <w:tcW w:w="2993" w:type="dxa"/>
            <w:shd w:val="clear" w:color="auto" w:fill="auto"/>
          </w:tcPr>
          <w:p w14:paraId="326A0324" w14:textId="77777777" w:rsidR="00207C0F" w:rsidRPr="00E67D6B" w:rsidRDefault="00C6557E" w:rsidP="008F645B">
            <w:pPr>
              <w:pStyle w:val="Default"/>
              <w:jc w:val="both"/>
              <w:rPr>
                <w:color w:val="auto"/>
                <w:sz w:val="22"/>
                <w:szCs w:val="22"/>
              </w:rPr>
            </w:pPr>
            <w:r w:rsidRPr="00E67D6B">
              <w:rPr>
                <w:color w:val="auto"/>
                <w:sz w:val="22"/>
                <w:szCs w:val="22"/>
              </w:rPr>
              <w:t>Lotto and Small Town Lottery Charity fund shares granted to 13 out of the 17 Local Government Units in the National Capital Region totaling P166.245 million for calendar years 2021 to 2022 were released despite the absence of Memorandum of Agreement (MOA) for the initial releases and Fund Utilization Reports for subsequent releases, thereby affecting the faithful adherence by the parties of their obligations under Executive Order 357-A series 1996, and the MOA, and the determination of the efficient and effective utilization of the fund</w:t>
            </w:r>
            <w:r w:rsidR="00BA509A" w:rsidRPr="00E67D6B">
              <w:rPr>
                <w:color w:val="auto"/>
                <w:sz w:val="22"/>
                <w:szCs w:val="22"/>
              </w:rPr>
              <w:t>.</w:t>
            </w:r>
          </w:p>
          <w:p w14:paraId="28074822" w14:textId="77777777" w:rsidR="00BA509A" w:rsidRPr="00E67D6B" w:rsidRDefault="00BA509A" w:rsidP="008F645B">
            <w:pPr>
              <w:pStyle w:val="Default"/>
              <w:jc w:val="both"/>
              <w:rPr>
                <w:color w:val="auto"/>
                <w:sz w:val="22"/>
                <w:szCs w:val="22"/>
              </w:rPr>
            </w:pPr>
          </w:p>
        </w:tc>
        <w:tc>
          <w:tcPr>
            <w:tcW w:w="3492" w:type="dxa"/>
            <w:shd w:val="clear" w:color="auto" w:fill="auto"/>
          </w:tcPr>
          <w:p w14:paraId="3A6701D7" w14:textId="77777777" w:rsidR="00207C0F" w:rsidRPr="00E67D6B" w:rsidRDefault="00C6557E" w:rsidP="008F645B">
            <w:pPr>
              <w:pStyle w:val="Default"/>
              <w:jc w:val="both"/>
              <w:rPr>
                <w:color w:val="auto"/>
                <w:sz w:val="22"/>
                <w:szCs w:val="22"/>
              </w:rPr>
            </w:pPr>
            <w:r w:rsidRPr="00E67D6B">
              <w:rPr>
                <w:color w:val="auto"/>
                <w:sz w:val="22"/>
                <w:szCs w:val="22"/>
              </w:rPr>
              <w:t>We recommended Management ensure that the Lotto and STL charity fund shares granted to LGUs are covered with MOA for initial releases and Fund Utilization Report for subsequent releases and that the remedies available therein for the non-compliance thereof are enforced. We also recommend that the receipt of the grant other than the collecting officer be supported by proper authority and government-issued ID, as required</w:t>
            </w:r>
            <w:r w:rsidR="00BA509A" w:rsidRPr="00E67D6B">
              <w:rPr>
                <w:color w:val="auto"/>
                <w:sz w:val="22"/>
                <w:szCs w:val="22"/>
              </w:rPr>
              <w:t>.</w:t>
            </w:r>
          </w:p>
        </w:tc>
        <w:tc>
          <w:tcPr>
            <w:tcW w:w="1975" w:type="dxa"/>
            <w:shd w:val="clear" w:color="auto" w:fill="auto"/>
          </w:tcPr>
          <w:p w14:paraId="1CBE6582" w14:textId="77777777" w:rsidR="00207C0F" w:rsidRPr="008C0BFE" w:rsidRDefault="00C6557E" w:rsidP="008F645B">
            <w:pPr>
              <w:suppressAutoHyphens w:val="0"/>
              <w:spacing w:after="0" w:line="240" w:lineRule="auto"/>
              <w:jc w:val="both"/>
              <w:rPr>
                <w:rFonts w:ascii="Arial" w:hAnsi="Arial" w:cs="Arial"/>
                <w:bCs/>
              </w:rPr>
            </w:pPr>
            <w:r w:rsidRPr="008C0BFE">
              <w:rPr>
                <w:rFonts w:ascii="Arial" w:hAnsi="Arial" w:cs="Arial"/>
                <w:bCs/>
              </w:rPr>
              <w:t xml:space="preserve">Not Implemented </w:t>
            </w:r>
          </w:p>
        </w:tc>
      </w:tr>
      <w:tr w:rsidR="007F4DE1" w:rsidRPr="008C0BFE" w14:paraId="1C13EA6B" w14:textId="77777777" w:rsidTr="00BA509A">
        <w:trPr>
          <w:trHeight w:val="300"/>
        </w:trPr>
        <w:tc>
          <w:tcPr>
            <w:tcW w:w="1602" w:type="dxa"/>
            <w:shd w:val="clear" w:color="auto" w:fill="auto"/>
            <w:noWrap/>
          </w:tcPr>
          <w:p w14:paraId="392834A9" w14:textId="571F4D9D" w:rsidR="00885166" w:rsidRPr="008C0BFE" w:rsidRDefault="00624AD9" w:rsidP="00E67D6B">
            <w:pPr>
              <w:suppressAutoHyphens w:val="0"/>
              <w:spacing w:after="0" w:line="240" w:lineRule="auto"/>
              <w:ind w:left="-79"/>
              <w:rPr>
                <w:rFonts w:ascii="Arial" w:hAnsi="Arial" w:cs="Arial"/>
              </w:rPr>
            </w:pPr>
            <w:r w:rsidRPr="008C0BFE">
              <w:rPr>
                <w:rFonts w:ascii="Arial" w:hAnsi="Arial" w:cs="Arial"/>
              </w:rPr>
              <w:t>AO No. 15 Page 145-149</w:t>
            </w:r>
          </w:p>
        </w:tc>
        <w:tc>
          <w:tcPr>
            <w:tcW w:w="2993" w:type="dxa"/>
            <w:shd w:val="clear" w:color="auto" w:fill="auto"/>
          </w:tcPr>
          <w:p w14:paraId="5678FCC7" w14:textId="77777777" w:rsidR="00885166" w:rsidRPr="00E67D6B" w:rsidRDefault="00AD2C64" w:rsidP="008F645B">
            <w:pPr>
              <w:pStyle w:val="Default"/>
              <w:jc w:val="both"/>
              <w:rPr>
                <w:color w:val="auto"/>
                <w:sz w:val="22"/>
                <w:szCs w:val="22"/>
              </w:rPr>
            </w:pPr>
            <w:r w:rsidRPr="00E67D6B">
              <w:rPr>
                <w:color w:val="auto"/>
                <w:sz w:val="22"/>
                <w:szCs w:val="22"/>
              </w:rPr>
              <w:t>Accomplishment and Liquidation Reports for the financial assistance under the Calamity Assistance Program (CAP) granted to 105 beneficiaries totaling P65.005 million and under the Financial Assistance for the Procurement of Medical Equipment Program (FAPMEP) granted to three beneficiaries amounting to P25.705 million were not submitted to PCSO, contrary to Item C(1) Section VI of the Revised Implementing Guidelines for CAP and the Memoranda of Agreement between PCSO and the beneficiaries, thus affecting the PCSO’s verification on the proper utilization of the financial assistance. Likewise, two financial assistance grants under FAPMEP amounting to P34.940 million were partially liquidated</w:t>
            </w:r>
            <w:r w:rsidR="00BA509A" w:rsidRPr="00E67D6B">
              <w:rPr>
                <w:color w:val="auto"/>
                <w:sz w:val="22"/>
                <w:szCs w:val="22"/>
              </w:rPr>
              <w:t>.</w:t>
            </w:r>
          </w:p>
        </w:tc>
        <w:tc>
          <w:tcPr>
            <w:tcW w:w="3492" w:type="dxa"/>
            <w:shd w:val="clear" w:color="auto" w:fill="auto"/>
          </w:tcPr>
          <w:p w14:paraId="7A863FC5" w14:textId="77777777" w:rsidR="00885166" w:rsidRPr="00E67D6B" w:rsidRDefault="008934AF" w:rsidP="008F645B">
            <w:pPr>
              <w:pStyle w:val="Default"/>
              <w:jc w:val="both"/>
              <w:rPr>
                <w:color w:val="auto"/>
                <w:sz w:val="22"/>
                <w:szCs w:val="22"/>
              </w:rPr>
            </w:pPr>
            <w:r w:rsidRPr="00E67D6B">
              <w:rPr>
                <w:color w:val="auto"/>
                <w:sz w:val="22"/>
                <w:szCs w:val="22"/>
              </w:rPr>
              <w:t>W</w:t>
            </w:r>
            <w:r w:rsidR="00AD2C64" w:rsidRPr="00E67D6B">
              <w:rPr>
                <w:color w:val="auto"/>
                <w:sz w:val="22"/>
                <w:szCs w:val="22"/>
              </w:rPr>
              <w:t>e recommended that Management require the beneficiaries the immediate submission of liquidation reports under CAP and FAPMEP totaling P65.005 million and P25.705 million, respectively; and to submit complete liquidation documents for the partially liquidated financial assistance in the amount of P34.940 million, and/or cause the refund of any unutilized amount</w:t>
            </w:r>
            <w:r w:rsidR="00BA509A" w:rsidRPr="00E67D6B">
              <w:rPr>
                <w:color w:val="auto"/>
                <w:sz w:val="22"/>
                <w:szCs w:val="22"/>
              </w:rPr>
              <w:t>.</w:t>
            </w:r>
          </w:p>
        </w:tc>
        <w:tc>
          <w:tcPr>
            <w:tcW w:w="1975" w:type="dxa"/>
            <w:shd w:val="clear" w:color="auto" w:fill="auto"/>
          </w:tcPr>
          <w:p w14:paraId="0B4974D6" w14:textId="77777777" w:rsidR="00885166" w:rsidRPr="008C0BFE" w:rsidRDefault="00AD2C64" w:rsidP="008F645B">
            <w:pPr>
              <w:suppressAutoHyphens w:val="0"/>
              <w:spacing w:after="0" w:line="240" w:lineRule="auto"/>
              <w:jc w:val="both"/>
              <w:rPr>
                <w:rFonts w:ascii="Arial" w:hAnsi="Arial" w:cs="Arial"/>
                <w:bCs/>
              </w:rPr>
            </w:pPr>
            <w:r w:rsidRPr="008C0BFE">
              <w:rPr>
                <w:rFonts w:ascii="Arial" w:hAnsi="Arial" w:cs="Arial"/>
                <w:bCs/>
              </w:rPr>
              <w:t xml:space="preserve">Not Implemented </w:t>
            </w:r>
          </w:p>
        </w:tc>
      </w:tr>
      <w:tr w:rsidR="007F4DE1" w:rsidRPr="008C0BFE" w14:paraId="12A93122" w14:textId="77777777" w:rsidTr="00BA509A">
        <w:trPr>
          <w:trHeight w:val="300"/>
        </w:trPr>
        <w:tc>
          <w:tcPr>
            <w:tcW w:w="1602" w:type="dxa"/>
            <w:shd w:val="clear" w:color="auto" w:fill="auto"/>
            <w:noWrap/>
          </w:tcPr>
          <w:p w14:paraId="4314D8F2" w14:textId="561A00A3" w:rsidR="00FD26C1" w:rsidRPr="008C0BFE" w:rsidRDefault="00FD26C1" w:rsidP="00E67D6B">
            <w:pPr>
              <w:suppressAutoHyphens w:val="0"/>
              <w:spacing w:after="0" w:line="240" w:lineRule="auto"/>
              <w:ind w:left="-79"/>
              <w:rPr>
                <w:rFonts w:ascii="Arial" w:hAnsi="Arial" w:cs="Arial"/>
              </w:rPr>
            </w:pPr>
            <w:r w:rsidRPr="008C0BFE">
              <w:rPr>
                <w:rFonts w:ascii="Arial" w:hAnsi="Arial" w:cs="Arial"/>
              </w:rPr>
              <w:t>AO No. 16 Page 149-154</w:t>
            </w:r>
          </w:p>
        </w:tc>
        <w:tc>
          <w:tcPr>
            <w:tcW w:w="2993" w:type="dxa"/>
            <w:shd w:val="clear" w:color="auto" w:fill="auto"/>
          </w:tcPr>
          <w:p w14:paraId="11D3A019" w14:textId="77777777" w:rsidR="00FD26C1" w:rsidRPr="00E67D6B" w:rsidRDefault="00FB2328" w:rsidP="008F645B">
            <w:pPr>
              <w:pStyle w:val="Default"/>
              <w:jc w:val="both"/>
              <w:rPr>
                <w:color w:val="auto"/>
                <w:sz w:val="22"/>
                <w:szCs w:val="22"/>
              </w:rPr>
            </w:pPr>
            <w:r w:rsidRPr="00E67D6B">
              <w:rPr>
                <w:color w:val="auto"/>
                <w:sz w:val="22"/>
                <w:szCs w:val="22"/>
              </w:rPr>
              <w:t>The Philippine Charity Sweepstakes Office could have avoided the incurrence of rent and leasehold improvements expenses totaling P714.411 million from April 2016 to December 2022 and the effects of the increase in the cost of construction materials and labor due to inflation had it expedited the implementation of the construction of its own building with target completion date in March 2016, considering that the funds for the project was already available in calendar year 2013</w:t>
            </w:r>
            <w:r w:rsidR="00BA509A" w:rsidRPr="00E67D6B">
              <w:rPr>
                <w:color w:val="auto"/>
                <w:sz w:val="22"/>
                <w:szCs w:val="22"/>
              </w:rPr>
              <w:t>.</w:t>
            </w:r>
          </w:p>
          <w:p w14:paraId="7EB18CEF" w14:textId="77777777" w:rsidR="00BA509A" w:rsidRPr="00E67D6B" w:rsidRDefault="00BA509A" w:rsidP="008F645B">
            <w:pPr>
              <w:pStyle w:val="Default"/>
              <w:jc w:val="both"/>
              <w:rPr>
                <w:color w:val="auto"/>
                <w:sz w:val="22"/>
                <w:szCs w:val="22"/>
              </w:rPr>
            </w:pPr>
          </w:p>
        </w:tc>
        <w:tc>
          <w:tcPr>
            <w:tcW w:w="3492" w:type="dxa"/>
            <w:shd w:val="clear" w:color="auto" w:fill="auto"/>
          </w:tcPr>
          <w:p w14:paraId="7C78B351" w14:textId="77777777" w:rsidR="00FD26C1" w:rsidRPr="00E67D6B" w:rsidRDefault="00FB2328" w:rsidP="008F645B">
            <w:pPr>
              <w:pStyle w:val="Default"/>
              <w:jc w:val="both"/>
              <w:rPr>
                <w:color w:val="auto"/>
                <w:sz w:val="22"/>
                <w:szCs w:val="22"/>
              </w:rPr>
            </w:pPr>
            <w:r w:rsidRPr="00E67D6B">
              <w:rPr>
                <w:color w:val="auto"/>
                <w:sz w:val="22"/>
                <w:szCs w:val="22"/>
              </w:rPr>
              <w:t>We recommended that Management expedite the completion of the design and hasten the implementation of the construction of the PCSO building in order to avoid the incurrence of expenses for rent and leasehold improvements as well as the effects of the increase in the cost of construction materials and labor due to inflation.</w:t>
            </w:r>
          </w:p>
        </w:tc>
        <w:tc>
          <w:tcPr>
            <w:tcW w:w="1975" w:type="dxa"/>
            <w:shd w:val="clear" w:color="auto" w:fill="auto"/>
          </w:tcPr>
          <w:p w14:paraId="3D842C6D" w14:textId="77777777" w:rsidR="00FD26C1" w:rsidRPr="008C0BFE" w:rsidRDefault="00480408" w:rsidP="008F645B">
            <w:pPr>
              <w:suppressAutoHyphens w:val="0"/>
              <w:spacing w:after="0" w:line="240" w:lineRule="auto"/>
              <w:jc w:val="both"/>
              <w:rPr>
                <w:rFonts w:ascii="Arial" w:hAnsi="Arial" w:cs="Arial"/>
                <w:bCs/>
              </w:rPr>
            </w:pPr>
            <w:r w:rsidRPr="008C0BFE">
              <w:rPr>
                <w:rFonts w:ascii="Arial" w:hAnsi="Arial" w:cs="Arial"/>
                <w:bCs/>
              </w:rPr>
              <w:t xml:space="preserve">Fully </w:t>
            </w:r>
            <w:r w:rsidR="00FB2328" w:rsidRPr="008C0BFE">
              <w:rPr>
                <w:rFonts w:ascii="Arial" w:hAnsi="Arial" w:cs="Arial"/>
                <w:bCs/>
              </w:rPr>
              <w:t xml:space="preserve">Implemented </w:t>
            </w:r>
          </w:p>
        </w:tc>
      </w:tr>
      <w:tr w:rsidR="007F4DE1" w:rsidRPr="008C0BFE" w14:paraId="2B501CE0" w14:textId="77777777" w:rsidTr="00BA509A">
        <w:trPr>
          <w:trHeight w:val="300"/>
        </w:trPr>
        <w:tc>
          <w:tcPr>
            <w:tcW w:w="1602" w:type="dxa"/>
            <w:shd w:val="clear" w:color="auto" w:fill="auto"/>
            <w:noWrap/>
          </w:tcPr>
          <w:p w14:paraId="7FCEAF87" w14:textId="4FAFB1AD" w:rsidR="0001619B" w:rsidRPr="008C0BFE" w:rsidRDefault="0001619B" w:rsidP="00E67D6B">
            <w:pPr>
              <w:suppressAutoHyphens w:val="0"/>
              <w:spacing w:after="0" w:line="240" w:lineRule="auto"/>
              <w:ind w:left="-79"/>
              <w:rPr>
                <w:rFonts w:ascii="Arial" w:hAnsi="Arial" w:cs="Arial"/>
              </w:rPr>
            </w:pPr>
            <w:r w:rsidRPr="008C0BFE">
              <w:rPr>
                <w:rFonts w:ascii="Arial" w:hAnsi="Arial" w:cs="Arial"/>
              </w:rPr>
              <w:t>AO No. 17 Page 154-156</w:t>
            </w:r>
          </w:p>
        </w:tc>
        <w:tc>
          <w:tcPr>
            <w:tcW w:w="2993" w:type="dxa"/>
            <w:shd w:val="clear" w:color="auto" w:fill="auto"/>
          </w:tcPr>
          <w:p w14:paraId="3730C781" w14:textId="77777777" w:rsidR="0001619B" w:rsidRPr="00E67D6B" w:rsidRDefault="00206578" w:rsidP="008F645B">
            <w:pPr>
              <w:pStyle w:val="Default"/>
              <w:jc w:val="both"/>
              <w:rPr>
                <w:color w:val="auto"/>
                <w:sz w:val="22"/>
                <w:szCs w:val="22"/>
              </w:rPr>
            </w:pPr>
            <w:r w:rsidRPr="00E67D6B">
              <w:rPr>
                <w:color w:val="auto"/>
                <w:sz w:val="22"/>
                <w:szCs w:val="22"/>
              </w:rPr>
              <w:t>Disposal of unserviceable properties costing P25.941 million has not been undertaken, contrary to Section 79 of Presidential Decree No. 1445.</w:t>
            </w:r>
          </w:p>
        </w:tc>
        <w:tc>
          <w:tcPr>
            <w:tcW w:w="3492" w:type="dxa"/>
            <w:shd w:val="clear" w:color="auto" w:fill="auto"/>
          </w:tcPr>
          <w:p w14:paraId="65626445" w14:textId="77777777" w:rsidR="0001619B" w:rsidRPr="00E67D6B" w:rsidRDefault="00206578" w:rsidP="008F645B">
            <w:pPr>
              <w:pStyle w:val="Default"/>
              <w:jc w:val="both"/>
              <w:rPr>
                <w:color w:val="auto"/>
                <w:sz w:val="22"/>
                <w:szCs w:val="22"/>
              </w:rPr>
            </w:pPr>
            <w:r w:rsidRPr="00E67D6B">
              <w:rPr>
                <w:color w:val="auto"/>
                <w:sz w:val="22"/>
                <w:szCs w:val="22"/>
              </w:rPr>
              <w:t>We recommended that Management</w:t>
            </w:r>
            <w:r w:rsidR="008934AF" w:rsidRPr="00E67D6B">
              <w:rPr>
                <w:color w:val="auto"/>
                <w:sz w:val="22"/>
                <w:szCs w:val="22"/>
              </w:rPr>
              <w:t xml:space="preserve"> direct the concerned ASMD and ABD officials and personnel to</w:t>
            </w:r>
            <w:r w:rsidRPr="00E67D6B">
              <w:rPr>
                <w:color w:val="auto"/>
                <w:sz w:val="22"/>
                <w:szCs w:val="22"/>
              </w:rPr>
              <w:t>:</w:t>
            </w:r>
          </w:p>
          <w:p w14:paraId="0AADA50E" w14:textId="77777777" w:rsidR="00206578" w:rsidRPr="00E67D6B" w:rsidRDefault="00206578" w:rsidP="008F645B">
            <w:pPr>
              <w:pStyle w:val="Default"/>
              <w:jc w:val="both"/>
              <w:rPr>
                <w:color w:val="auto"/>
                <w:sz w:val="22"/>
                <w:szCs w:val="22"/>
              </w:rPr>
            </w:pPr>
          </w:p>
          <w:p w14:paraId="42A1B279" w14:textId="77777777" w:rsidR="00206578" w:rsidRPr="00E67D6B" w:rsidRDefault="00206578" w:rsidP="00BA509A">
            <w:pPr>
              <w:pStyle w:val="Default"/>
              <w:numPr>
                <w:ilvl w:val="0"/>
                <w:numId w:val="28"/>
              </w:numPr>
              <w:ind w:left="409" w:hanging="409"/>
              <w:jc w:val="both"/>
              <w:rPr>
                <w:color w:val="auto"/>
                <w:sz w:val="22"/>
                <w:szCs w:val="22"/>
              </w:rPr>
            </w:pPr>
            <w:r w:rsidRPr="00E67D6B">
              <w:rPr>
                <w:color w:val="auto"/>
                <w:sz w:val="22"/>
                <w:szCs w:val="22"/>
              </w:rPr>
              <w:t>Require the Disposal and Appraisal Committee to undertake the immediate disposal of the unserviceable property in compliance with Section 79 of PD No. 1445</w:t>
            </w:r>
          </w:p>
          <w:p w14:paraId="5048A220" w14:textId="77777777" w:rsidR="00206578" w:rsidRPr="00E67D6B" w:rsidRDefault="00206578" w:rsidP="000A5A16">
            <w:pPr>
              <w:pStyle w:val="Default"/>
              <w:ind w:left="409" w:hanging="360"/>
              <w:jc w:val="both"/>
              <w:rPr>
                <w:color w:val="auto"/>
                <w:sz w:val="22"/>
                <w:szCs w:val="22"/>
              </w:rPr>
            </w:pPr>
          </w:p>
          <w:p w14:paraId="0D807B1F" w14:textId="77777777" w:rsidR="00206578" w:rsidRPr="00E67D6B" w:rsidRDefault="00206578" w:rsidP="00BA509A">
            <w:pPr>
              <w:pStyle w:val="Default"/>
              <w:numPr>
                <w:ilvl w:val="0"/>
                <w:numId w:val="28"/>
              </w:numPr>
              <w:ind w:left="409" w:hanging="450"/>
              <w:jc w:val="both"/>
              <w:rPr>
                <w:color w:val="auto"/>
                <w:sz w:val="22"/>
                <w:szCs w:val="22"/>
              </w:rPr>
            </w:pPr>
            <w:r w:rsidRPr="00E67D6B">
              <w:rPr>
                <w:color w:val="auto"/>
                <w:sz w:val="22"/>
                <w:szCs w:val="22"/>
              </w:rPr>
              <w:t>Submit the duly accomplished IIRUP to the ABD to serve as a basis for dropping from the books of accounts the unserviceable property</w:t>
            </w:r>
          </w:p>
        </w:tc>
        <w:tc>
          <w:tcPr>
            <w:tcW w:w="1975" w:type="dxa"/>
            <w:shd w:val="clear" w:color="auto" w:fill="auto"/>
          </w:tcPr>
          <w:p w14:paraId="15001168" w14:textId="77777777" w:rsidR="0001619B" w:rsidRPr="008C0BFE" w:rsidRDefault="0001619B" w:rsidP="008F645B">
            <w:pPr>
              <w:suppressAutoHyphens w:val="0"/>
              <w:spacing w:after="0" w:line="240" w:lineRule="auto"/>
              <w:jc w:val="both"/>
              <w:rPr>
                <w:rFonts w:ascii="Arial" w:hAnsi="Arial" w:cs="Arial"/>
                <w:bCs/>
              </w:rPr>
            </w:pPr>
          </w:p>
          <w:p w14:paraId="3EA87EA6" w14:textId="77777777" w:rsidR="00206578" w:rsidRPr="008C0BFE" w:rsidRDefault="00206578" w:rsidP="008F645B">
            <w:pPr>
              <w:suppressAutoHyphens w:val="0"/>
              <w:spacing w:after="0" w:line="240" w:lineRule="auto"/>
              <w:jc w:val="both"/>
              <w:rPr>
                <w:rFonts w:ascii="Arial" w:hAnsi="Arial" w:cs="Arial"/>
                <w:bCs/>
              </w:rPr>
            </w:pPr>
          </w:p>
          <w:p w14:paraId="610F852A" w14:textId="77777777" w:rsidR="008D44DC" w:rsidRPr="008C0BFE" w:rsidRDefault="008D44DC" w:rsidP="008F645B">
            <w:pPr>
              <w:suppressAutoHyphens w:val="0"/>
              <w:spacing w:after="0" w:line="240" w:lineRule="auto"/>
              <w:jc w:val="both"/>
              <w:rPr>
                <w:rFonts w:ascii="Arial" w:hAnsi="Arial" w:cs="Arial"/>
                <w:bCs/>
              </w:rPr>
            </w:pPr>
          </w:p>
          <w:p w14:paraId="2B747473" w14:textId="77777777" w:rsidR="008934AF" w:rsidRPr="008C0BFE" w:rsidRDefault="008934AF" w:rsidP="008F645B">
            <w:pPr>
              <w:suppressAutoHyphens w:val="0"/>
              <w:spacing w:after="0" w:line="240" w:lineRule="auto"/>
              <w:jc w:val="both"/>
              <w:rPr>
                <w:rFonts w:ascii="Arial" w:hAnsi="Arial" w:cs="Arial"/>
                <w:bCs/>
              </w:rPr>
            </w:pPr>
          </w:p>
          <w:p w14:paraId="2DA4319A" w14:textId="77777777" w:rsidR="008934AF" w:rsidRPr="008C0BFE" w:rsidRDefault="008934AF" w:rsidP="008F645B">
            <w:pPr>
              <w:suppressAutoHyphens w:val="0"/>
              <w:spacing w:after="0" w:line="240" w:lineRule="auto"/>
              <w:jc w:val="both"/>
              <w:rPr>
                <w:rFonts w:ascii="Arial" w:hAnsi="Arial" w:cs="Arial"/>
                <w:bCs/>
              </w:rPr>
            </w:pPr>
          </w:p>
          <w:p w14:paraId="65C32DA0" w14:textId="77777777" w:rsidR="00206578" w:rsidRPr="008C0BFE" w:rsidRDefault="00480408" w:rsidP="008F645B">
            <w:pPr>
              <w:suppressAutoHyphens w:val="0"/>
              <w:spacing w:after="0" w:line="240" w:lineRule="auto"/>
              <w:jc w:val="both"/>
              <w:rPr>
                <w:rFonts w:ascii="Arial" w:hAnsi="Arial" w:cs="Arial"/>
                <w:bCs/>
              </w:rPr>
            </w:pPr>
            <w:r w:rsidRPr="008C0BFE">
              <w:rPr>
                <w:rFonts w:ascii="Arial" w:hAnsi="Arial" w:cs="Arial"/>
                <w:bCs/>
              </w:rPr>
              <w:t xml:space="preserve">Fully </w:t>
            </w:r>
            <w:r w:rsidR="00206578" w:rsidRPr="008C0BFE">
              <w:rPr>
                <w:rFonts w:ascii="Arial" w:hAnsi="Arial" w:cs="Arial"/>
                <w:bCs/>
              </w:rPr>
              <w:t>Implemented</w:t>
            </w:r>
          </w:p>
          <w:p w14:paraId="0BBA45FE" w14:textId="77777777" w:rsidR="00206578" w:rsidRPr="008C0BFE" w:rsidRDefault="00206578" w:rsidP="008F645B">
            <w:pPr>
              <w:suppressAutoHyphens w:val="0"/>
              <w:spacing w:after="0" w:line="240" w:lineRule="auto"/>
              <w:jc w:val="both"/>
              <w:rPr>
                <w:rFonts w:ascii="Arial" w:hAnsi="Arial" w:cs="Arial"/>
                <w:bCs/>
              </w:rPr>
            </w:pPr>
          </w:p>
          <w:p w14:paraId="041BE636" w14:textId="77777777" w:rsidR="00206578" w:rsidRPr="008C0BFE" w:rsidRDefault="00206578" w:rsidP="008F645B">
            <w:pPr>
              <w:suppressAutoHyphens w:val="0"/>
              <w:spacing w:after="0" w:line="240" w:lineRule="auto"/>
              <w:jc w:val="both"/>
              <w:rPr>
                <w:rFonts w:ascii="Arial" w:hAnsi="Arial" w:cs="Arial"/>
                <w:bCs/>
              </w:rPr>
            </w:pPr>
          </w:p>
          <w:p w14:paraId="3D5B5D4A" w14:textId="77777777" w:rsidR="00206578" w:rsidRPr="008C0BFE" w:rsidRDefault="00206578" w:rsidP="008F645B">
            <w:pPr>
              <w:suppressAutoHyphens w:val="0"/>
              <w:spacing w:after="0" w:line="240" w:lineRule="auto"/>
              <w:jc w:val="both"/>
              <w:rPr>
                <w:rFonts w:ascii="Arial" w:hAnsi="Arial" w:cs="Arial"/>
                <w:bCs/>
              </w:rPr>
            </w:pPr>
          </w:p>
          <w:p w14:paraId="7516B825" w14:textId="77777777" w:rsidR="00206578" w:rsidRPr="008C0BFE" w:rsidRDefault="00206578" w:rsidP="008F645B">
            <w:pPr>
              <w:suppressAutoHyphens w:val="0"/>
              <w:spacing w:after="0" w:line="240" w:lineRule="auto"/>
              <w:jc w:val="both"/>
              <w:rPr>
                <w:rFonts w:ascii="Arial" w:hAnsi="Arial" w:cs="Arial"/>
                <w:bCs/>
              </w:rPr>
            </w:pPr>
          </w:p>
          <w:p w14:paraId="03A36299" w14:textId="77777777" w:rsidR="00206578" w:rsidRPr="008C0BFE" w:rsidRDefault="00206578" w:rsidP="008F645B">
            <w:pPr>
              <w:suppressAutoHyphens w:val="0"/>
              <w:spacing w:after="0" w:line="240" w:lineRule="auto"/>
              <w:jc w:val="both"/>
              <w:rPr>
                <w:rFonts w:ascii="Arial" w:hAnsi="Arial" w:cs="Arial"/>
                <w:bCs/>
              </w:rPr>
            </w:pPr>
          </w:p>
          <w:p w14:paraId="5AF2AFD3" w14:textId="77777777" w:rsidR="00206578" w:rsidRPr="008C0BFE" w:rsidRDefault="00480408" w:rsidP="008F645B">
            <w:pPr>
              <w:suppressAutoHyphens w:val="0"/>
              <w:spacing w:after="0" w:line="240" w:lineRule="auto"/>
              <w:jc w:val="both"/>
              <w:rPr>
                <w:rFonts w:ascii="Arial" w:hAnsi="Arial" w:cs="Arial"/>
                <w:bCs/>
              </w:rPr>
            </w:pPr>
            <w:r w:rsidRPr="008C0BFE">
              <w:rPr>
                <w:rFonts w:ascii="Arial" w:hAnsi="Arial" w:cs="Arial"/>
                <w:bCs/>
              </w:rPr>
              <w:t xml:space="preserve">Fully </w:t>
            </w:r>
            <w:r w:rsidR="00206578" w:rsidRPr="008C0BFE">
              <w:rPr>
                <w:rFonts w:ascii="Arial" w:hAnsi="Arial" w:cs="Arial"/>
                <w:bCs/>
              </w:rPr>
              <w:t>Implemented</w:t>
            </w:r>
          </w:p>
        </w:tc>
      </w:tr>
      <w:tr w:rsidR="007F4DE1" w:rsidRPr="008C0BFE" w14:paraId="0A128FC4" w14:textId="77777777" w:rsidTr="006D4DA1">
        <w:trPr>
          <w:trHeight w:val="387"/>
        </w:trPr>
        <w:tc>
          <w:tcPr>
            <w:tcW w:w="10062" w:type="dxa"/>
            <w:gridSpan w:val="4"/>
            <w:shd w:val="clear" w:color="auto" w:fill="auto"/>
            <w:noWrap/>
          </w:tcPr>
          <w:p w14:paraId="2937C2F3" w14:textId="77777777" w:rsidR="006D4DA1" w:rsidRPr="008C0BFE" w:rsidRDefault="006D4DA1" w:rsidP="008F645B">
            <w:pPr>
              <w:suppressAutoHyphens w:val="0"/>
              <w:spacing w:after="0" w:line="240" w:lineRule="auto"/>
              <w:jc w:val="both"/>
              <w:rPr>
                <w:rFonts w:ascii="Arial" w:hAnsi="Arial" w:cs="Arial"/>
                <w:b/>
              </w:rPr>
            </w:pPr>
          </w:p>
          <w:p w14:paraId="5B3EAB62" w14:textId="77777777" w:rsidR="006D4DA1" w:rsidRPr="008C0BFE" w:rsidRDefault="006D4DA1" w:rsidP="008F645B">
            <w:pPr>
              <w:suppressAutoHyphens w:val="0"/>
              <w:spacing w:after="0" w:line="240" w:lineRule="auto"/>
              <w:jc w:val="both"/>
              <w:rPr>
                <w:rFonts w:ascii="Arial" w:hAnsi="Arial" w:cs="Arial"/>
                <w:b/>
              </w:rPr>
            </w:pPr>
          </w:p>
          <w:p w14:paraId="0E41B6E8" w14:textId="77777777" w:rsidR="00C04915" w:rsidRPr="008C0BFE" w:rsidRDefault="00C04915" w:rsidP="008F645B">
            <w:pPr>
              <w:suppressAutoHyphens w:val="0"/>
              <w:spacing w:after="0" w:line="240" w:lineRule="auto"/>
              <w:jc w:val="both"/>
              <w:rPr>
                <w:rFonts w:ascii="Arial" w:hAnsi="Arial" w:cs="Arial"/>
                <w:b/>
                <w:bCs/>
              </w:rPr>
            </w:pPr>
            <w:r w:rsidRPr="008C0BFE">
              <w:rPr>
                <w:rFonts w:ascii="Arial" w:hAnsi="Arial" w:cs="Arial"/>
                <w:b/>
              </w:rPr>
              <w:t>GENDER AND DEVELOPMENT (GAD)</w:t>
            </w:r>
          </w:p>
        </w:tc>
      </w:tr>
      <w:tr w:rsidR="00C04915" w:rsidRPr="008C0BFE" w14:paraId="5581FB8D" w14:textId="77777777" w:rsidTr="00BA509A">
        <w:trPr>
          <w:trHeight w:val="300"/>
        </w:trPr>
        <w:tc>
          <w:tcPr>
            <w:tcW w:w="1602" w:type="dxa"/>
            <w:shd w:val="clear" w:color="auto" w:fill="auto"/>
            <w:noWrap/>
          </w:tcPr>
          <w:p w14:paraId="05220F80" w14:textId="0F59F773" w:rsidR="00C04915" w:rsidRPr="008C0BFE" w:rsidRDefault="00C04915" w:rsidP="00E67D6B">
            <w:pPr>
              <w:suppressAutoHyphens w:val="0"/>
              <w:spacing w:after="0" w:line="240" w:lineRule="auto"/>
              <w:ind w:left="-79"/>
              <w:rPr>
                <w:rFonts w:ascii="Arial" w:hAnsi="Arial" w:cs="Arial"/>
              </w:rPr>
            </w:pPr>
            <w:r w:rsidRPr="008C0BFE">
              <w:rPr>
                <w:rFonts w:ascii="Arial" w:hAnsi="Arial" w:cs="Arial"/>
              </w:rPr>
              <w:t>AO No. 18 Page 156-163</w:t>
            </w:r>
          </w:p>
        </w:tc>
        <w:tc>
          <w:tcPr>
            <w:tcW w:w="2993" w:type="dxa"/>
            <w:shd w:val="clear" w:color="auto" w:fill="auto"/>
          </w:tcPr>
          <w:p w14:paraId="06B944F2" w14:textId="77777777" w:rsidR="008E4E52" w:rsidRPr="00E67D6B" w:rsidRDefault="008E4E52" w:rsidP="008F645B">
            <w:pPr>
              <w:pStyle w:val="Default"/>
              <w:jc w:val="both"/>
              <w:rPr>
                <w:color w:val="auto"/>
                <w:sz w:val="22"/>
                <w:szCs w:val="22"/>
              </w:rPr>
            </w:pPr>
            <w:r w:rsidRPr="00E67D6B">
              <w:rPr>
                <w:color w:val="auto"/>
                <w:sz w:val="22"/>
                <w:szCs w:val="22"/>
              </w:rPr>
              <w:t xml:space="preserve">Gender and Development (GAD) Focal Point System was not created for calendar year 2022 that would catalyze and accelerate the gender mainstreaming of the agency, contrary to Section 37-C of the Implementing Rules and Regulations (IRR) for Republic Act No. 9710 Magna Carta of Women and Philippine Commission on Women (PCW) Memorandum Circular (MC) No. 2011-01, resulting in the following: </w:t>
            </w:r>
          </w:p>
          <w:p w14:paraId="0C96A82C" w14:textId="77777777" w:rsidR="008E4E52" w:rsidRPr="00E67D6B" w:rsidRDefault="008E4E52" w:rsidP="008F645B">
            <w:pPr>
              <w:pStyle w:val="Default"/>
              <w:jc w:val="both"/>
              <w:rPr>
                <w:color w:val="auto"/>
                <w:sz w:val="22"/>
                <w:szCs w:val="22"/>
              </w:rPr>
            </w:pPr>
          </w:p>
          <w:p w14:paraId="0ABE5291" w14:textId="77777777" w:rsidR="008E4E52" w:rsidRPr="00E67D6B" w:rsidRDefault="008E4E52" w:rsidP="008F645B">
            <w:pPr>
              <w:pStyle w:val="Default"/>
              <w:jc w:val="both"/>
              <w:rPr>
                <w:color w:val="auto"/>
                <w:sz w:val="22"/>
                <w:szCs w:val="22"/>
              </w:rPr>
            </w:pPr>
            <w:r w:rsidRPr="00E67D6B">
              <w:rPr>
                <w:color w:val="auto"/>
                <w:sz w:val="22"/>
                <w:szCs w:val="22"/>
              </w:rPr>
              <w:t xml:space="preserve">a. Non-preparation of the GAD Agenda in compliance with PCW MC No. 2018-04, thus, the direction in the setting of the agency’s GAD initiatives towards the achievement of their gender equality and women's empowerment goals and the monitoring of such initiatives has not been met. </w:t>
            </w:r>
          </w:p>
          <w:p w14:paraId="42722917" w14:textId="77777777" w:rsidR="008E4E52" w:rsidRPr="00E67D6B" w:rsidRDefault="008E4E52" w:rsidP="008F645B">
            <w:pPr>
              <w:pStyle w:val="Default"/>
              <w:jc w:val="both"/>
              <w:rPr>
                <w:color w:val="auto"/>
                <w:sz w:val="22"/>
                <w:szCs w:val="22"/>
              </w:rPr>
            </w:pPr>
          </w:p>
          <w:p w14:paraId="309F3BD6" w14:textId="77777777" w:rsidR="008E4E52" w:rsidRPr="00E67D6B" w:rsidRDefault="008E4E52" w:rsidP="008F645B">
            <w:pPr>
              <w:pStyle w:val="Default"/>
              <w:jc w:val="both"/>
              <w:rPr>
                <w:color w:val="auto"/>
                <w:sz w:val="22"/>
                <w:szCs w:val="22"/>
              </w:rPr>
            </w:pPr>
            <w:r w:rsidRPr="00E67D6B">
              <w:rPr>
                <w:color w:val="auto"/>
                <w:sz w:val="22"/>
                <w:szCs w:val="22"/>
              </w:rPr>
              <w:t xml:space="preserve">b. The institutionalization of the GAD database/Sex-disaggregated data was not implemented as required under Section 37-D of the IRR for RA No. 9710 and Section 4.4 of the PCW-National Economic Development Authority-Department of Budget and Management (PCW-NEDA-DBM) Joint Circular No. 2012-01, casting doubt on whether the PCSO’s GAD Plan and Budget (GPB) truly reflect the existing gender issues of the Agency’s employees and external clients. </w:t>
            </w:r>
          </w:p>
          <w:p w14:paraId="67C74A78" w14:textId="77777777" w:rsidR="008E4E52" w:rsidRPr="00E67D6B" w:rsidRDefault="008E4E52" w:rsidP="008F645B">
            <w:pPr>
              <w:pStyle w:val="Default"/>
              <w:jc w:val="both"/>
              <w:rPr>
                <w:color w:val="auto"/>
                <w:sz w:val="22"/>
                <w:szCs w:val="22"/>
              </w:rPr>
            </w:pPr>
          </w:p>
          <w:p w14:paraId="6380D39B" w14:textId="77777777" w:rsidR="008E4E52" w:rsidRPr="00E67D6B" w:rsidRDefault="008E4E52" w:rsidP="008F645B">
            <w:pPr>
              <w:pStyle w:val="Default"/>
              <w:jc w:val="both"/>
              <w:rPr>
                <w:color w:val="auto"/>
                <w:sz w:val="22"/>
                <w:szCs w:val="22"/>
              </w:rPr>
            </w:pPr>
            <w:r w:rsidRPr="00E67D6B">
              <w:rPr>
                <w:color w:val="auto"/>
                <w:sz w:val="22"/>
                <w:szCs w:val="22"/>
              </w:rPr>
              <w:t xml:space="preserve">c. The propriety of the attributed programs of PCSO in its GAD Accomplishment Report for CY 2022 amounting to P492.095 million could not be established due to the non-submission of supporting documents. </w:t>
            </w:r>
          </w:p>
          <w:p w14:paraId="6042BE5E" w14:textId="77777777" w:rsidR="008E4E52" w:rsidRPr="00E67D6B" w:rsidRDefault="008E4E52" w:rsidP="008F645B">
            <w:pPr>
              <w:pStyle w:val="Default"/>
              <w:jc w:val="both"/>
              <w:rPr>
                <w:color w:val="auto"/>
                <w:sz w:val="22"/>
                <w:szCs w:val="22"/>
              </w:rPr>
            </w:pPr>
          </w:p>
          <w:p w14:paraId="7B8E0CEA" w14:textId="77777777" w:rsidR="008E4E52" w:rsidRPr="00E67D6B" w:rsidRDefault="008E4E52" w:rsidP="008F645B">
            <w:pPr>
              <w:pStyle w:val="Default"/>
              <w:jc w:val="both"/>
              <w:rPr>
                <w:color w:val="auto"/>
                <w:sz w:val="22"/>
                <w:szCs w:val="22"/>
              </w:rPr>
            </w:pPr>
            <w:r w:rsidRPr="00E67D6B">
              <w:rPr>
                <w:color w:val="auto"/>
                <w:sz w:val="22"/>
                <w:szCs w:val="22"/>
              </w:rPr>
              <w:t xml:space="preserve">d. The GAD fund has not been fully utilized, thus, various GAD-related PAPs of PCSO for CY 2022 GPB were not implemented. </w:t>
            </w:r>
          </w:p>
          <w:p w14:paraId="13925503" w14:textId="77777777" w:rsidR="008E4E52" w:rsidRPr="00E67D6B" w:rsidRDefault="008E4E52" w:rsidP="008F645B">
            <w:pPr>
              <w:pStyle w:val="Default"/>
              <w:jc w:val="both"/>
              <w:rPr>
                <w:color w:val="auto"/>
                <w:sz w:val="22"/>
                <w:szCs w:val="22"/>
              </w:rPr>
            </w:pPr>
          </w:p>
          <w:p w14:paraId="6FD40C0F" w14:textId="77777777" w:rsidR="00C04915" w:rsidRPr="00E67D6B" w:rsidRDefault="008E4E52" w:rsidP="008F645B">
            <w:pPr>
              <w:pStyle w:val="Default"/>
              <w:jc w:val="both"/>
              <w:rPr>
                <w:color w:val="auto"/>
                <w:sz w:val="22"/>
                <w:szCs w:val="22"/>
              </w:rPr>
            </w:pPr>
            <w:r w:rsidRPr="00E67D6B">
              <w:rPr>
                <w:color w:val="auto"/>
                <w:sz w:val="22"/>
                <w:szCs w:val="22"/>
              </w:rPr>
              <w:t>e. Delayed submission of the GAD Accomplishment Report which precluded the Audit Team to conduct a more comprehensive audit of GAD to determine the economy, efficiency, and effectiveness of interventions in addressing gender issues.</w:t>
            </w:r>
          </w:p>
        </w:tc>
        <w:tc>
          <w:tcPr>
            <w:tcW w:w="3492" w:type="dxa"/>
            <w:shd w:val="clear" w:color="auto" w:fill="auto"/>
          </w:tcPr>
          <w:p w14:paraId="34DF8F97" w14:textId="77777777" w:rsidR="00157061" w:rsidRPr="00E67D6B" w:rsidRDefault="008934AF" w:rsidP="008F645B">
            <w:pPr>
              <w:pStyle w:val="Default"/>
              <w:jc w:val="both"/>
              <w:rPr>
                <w:color w:val="auto"/>
                <w:sz w:val="22"/>
                <w:szCs w:val="22"/>
              </w:rPr>
            </w:pPr>
            <w:r w:rsidRPr="00E67D6B">
              <w:rPr>
                <w:color w:val="auto"/>
                <w:sz w:val="22"/>
                <w:szCs w:val="22"/>
              </w:rPr>
              <w:t>We recommended that:</w:t>
            </w:r>
          </w:p>
          <w:p w14:paraId="7F945C4F" w14:textId="77777777" w:rsidR="00157061" w:rsidRPr="00E67D6B" w:rsidRDefault="00157061" w:rsidP="008F645B">
            <w:pPr>
              <w:pStyle w:val="Default"/>
              <w:jc w:val="both"/>
              <w:rPr>
                <w:color w:val="auto"/>
                <w:sz w:val="22"/>
                <w:szCs w:val="22"/>
              </w:rPr>
            </w:pPr>
          </w:p>
          <w:p w14:paraId="79A63556" w14:textId="77777777" w:rsidR="00157061" w:rsidRPr="00E67D6B" w:rsidRDefault="00157061" w:rsidP="000A5A16">
            <w:pPr>
              <w:pStyle w:val="Default"/>
              <w:numPr>
                <w:ilvl w:val="0"/>
                <w:numId w:val="29"/>
              </w:numPr>
              <w:ind w:left="409"/>
              <w:jc w:val="both"/>
              <w:rPr>
                <w:color w:val="auto"/>
                <w:sz w:val="22"/>
                <w:szCs w:val="22"/>
              </w:rPr>
            </w:pPr>
            <w:r w:rsidRPr="00E67D6B">
              <w:rPr>
                <w:color w:val="auto"/>
                <w:sz w:val="22"/>
                <w:szCs w:val="22"/>
              </w:rPr>
              <w:t>Management reconstitute its GFPS every year to catalyze and accelerate the gender mainstreaming of the PCSO.</w:t>
            </w:r>
          </w:p>
          <w:p w14:paraId="78592125" w14:textId="77777777" w:rsidR="00157061" w:rsidRPr="00E67D6B" w:rsidRDefault="00157061" w:rsidP="00157061">
            <w:pPr>
              <w:pStyle w:val="Default"/>
              <w:ind w:left="720"/>
              <w:jc w:val="both"/>
              <w:rPr>
                <w:color w:val="auto"/>
                <w:sz w:val="22"/>
                <w:szCs w:val="22"/>
              </w:rPr>
            </w:pPr>
          </w:p>
          <w:p w14:paraId="0E5980DB" w14:textId="77777777" w:rsidR="00157061" w:rsidRPr="00E67D6B" w:rsidRDefault="00157061" w:rsidP="000A5A16">
            <w:pPr>
              <w:pStyle w:val="Default"/>
              <w:numPr>
                <w:ilvl w:val="0"/>
                <w:numId w:val="29"/>
              </w:numPr>
              <w:ind w:left="409"/>
              <w:jc w:val="both"/>
              <w:rPr>
                <w:color w:val="auto"/>
                <w:sz w:val="22"/>
                <w:szCs w:val="22"/>
              </w:rPr>
            </w:pPr>
            <w:r w:rsidRPr="00E67D6B">
              <w:rPr>
                <w:color w:val="auto"/>
                <w:sz w:val="22"/>
                <w:szCs w:val="22"/>
              </w:rPr>
              <w:t>Closely coordinate with the PCW and prepare the GAD Agenda in compliance with PCW MC No. 2018-04</w:t>
            </w:r>
          </w:p>
          <w:p w14:paraId="1AB10124" w14:textId="77777777" w:rsidR="00157061" w:rsidRPr="00E67D6B" w:rsidRDefault="00157061" w:rsidP="00157061">
            <w:pPr>
              <w:pStyle w:val="Default"/>
              <w:ind w:left="720"/>
              <w:jc w:val="both"/>
              <w:rPr>
                <w:color w:val="auto"/>
                <w:sz w:val="22"/>
                <w:szCs w:val="22"/>
              </w:rPr>
            </w:pPr>
          </w:p>
          <w:p w14:paraId="138582AB" w14:textId="77777777" w:rsidR="00157061" w:rsidRPr="00E67D6B" w:rsidRDefault="00157061" w:rsidP="000A5A16">
            <w:pPr>
              <w:pStyle w:val="Default"/>
              <w:numPr>
                <w:ilvl w:val="0"/>
                <w:numId w:val="29"/>
              </w:numPr>
              <w:ind w:left="409"/>
              <w:jc w:val="both"/>
              <w:rPr>
                <w:color w:val="auto"/>
                <w:sz w:val="22"/>
                <w:szCs w:val="22"/>
              </w:rPr>
            </w:pPr>
            <w:r w:rsidRPr="00E67D6B">
              <w:rPr>
                <w:color w:val="auto"/>
                <w:sz w:val="22"/>
                <w:szCs w:val="22"/>
              </w:rPr>
              <w:t>Institutionalize GAD database/Sex-disaggregated data to better identify the actual gender issues faced by PCSO and consider these issues in the preparation of the GPB for a more gender-responsive PAPs</w:t>
            </w:r>
          </w:p>
          <w:p w14:paraId="03F2A3A1" w14:textId="77777777" w:rsidR="00157061" w:rsidRPr="00E67D6B" w:rsidRDefault="00157061" w:rsidP="00157061">
            <w:pPr>
              <w:pStyle w:val="Default"/>
              <w:ind w:left="720"/>
              <w:jc w:val="both"/>
              <w:rPr>
                <w:color w:val="auto"/>
                <w:sz w:val="22"/>
                <w:szCs w:val="22"/>
              </w:rPr>
            </w:pPr>
          </w:p>
          <w:p w14:paraId="0E7C123C" w14:textId="77777777" w:rsidR="00157061" w:rsidRPr="00E67D6B" w:rsidRDefault="00157061" w:rsidP="000A5A16">
            <w:pPr>
              <w:pStyle w:val="Default"/>
              <w:numPr>
                <w:ilvl w:val="0"/>
                <w:numId w:val="29"/>
              </w:numPr>
              <w:ind w:left="409"/>
              <w:jc w:val="both"/>
              <w:rPr>
                <w:color w:val="auto"/>
                <w:sz w:val="22"/>
                <w:szCs w:val="22"/>
              </w:rPr>
            </w:pPr>
            <w:r w:rsidRPr="00E67D6B">
              <w:rPr>
                <w:color w:val="auto"/>
                <w:sz w:val="22"/>
                <w:szCs w:val="22"/>
              </w:rPr>
              <w:t>Submit supporting documents to substantiate the propriety of the attributed program and to facilitate the validation of the GAD Accomplishment Report. Likewise, we recommended to ensure the implementation of the GAD-related PAPs to achieve gender mainstreaming in PCSO’s overall operations</w:t>
            </w:r>
          </w:p>
          <w:p w14:paraId="48D44ADC" w14:textId="77777777" w:rsidR="00157061" w:rsidRPr="00E67D6B" w:rsidRDefault="00157061" w:rsidP="00157061">
            <w:pPr>
              <w:pStyle w:val="Default"/>
              <w:ind w:left="720"/>
              <w:jc w:val="both"/>
              <w:rPr>
                <w:color w:val="auto"/>
                <w:sz w:val="22"/>
                <w:szCs w:val="22"/>
              </w:rPr>
            </w:pPr>
          </w:p>
          <w:p w14:paraId="1348A334" w14:textId="77777777" w:rsidR="00157061" w:rsidRPr="00E67D6B" w:rsidRDefault="00157061" w:rsidP="000A5A16">
            <w:pPr>
              <w:pStyle w:val="Default"/>
              <w:numPr>
                <w:ilvl w:val="0"/>
                <w:numId w:val="29"/>
              </w:numPr>
              <w:ind w:left="409"/>
              <w:jc w:val="both"/>
              <w:rPr>
                <w:color w:val="auto"/>
                <w:sz w:val="22"/>
                <w:szCs w:val="22"/>
              </w:rPr>
            </w:pPr>
            <w:r w:rsidRPr="00E67D6B">
              <w:rPr>
                <w:color w:val="auto"/>
                <w:sz w:val="22"/>
                <w:szCs w:val="22"/>
              </w:rPr>
              <w:t>Maximize the utilization of GAD funds and provide capacity-building activities to PCSO officials and employees to ensure the proper implementation of the GAD-related PAPs. We also recommended the attribution of the direct GAD-related programs and activities in the annual GAD Accomplishment Report</w:t>
            </w:r>
          </w:p>
          <w:p w14:paraId="64A9CE17" w14:textId="77777777" w:rsidR="00157061" w:rsidRPr="00E67D6B" w:rsidRDefault="00157061" w:rsidP="00157061">
            <w:pPr>
              <w:pStyle w:val="Default"/>
              <w:ind w:left="720"/>
              <w:jc w:val="both"/>
              <w:rPr>
                <w:color w:val="auto"/>
                <w:sz w:val="22"/>
                <w:szCs w:val="22"/>
              </w:rPr>
            </w:pPr>
          </w:p>
          <w:p w14:paraId="61543E24" w14:textId="77777777" w:rsidR="00157061" w:rsidRPr="00E67D6B" w:rsidRDefault="00157061" w:rsidP="000A5A16">
            <w:pPr>
              <w:pStyle w:val="Default"/>
              <w:numPr>
                <w:ilvl w:val="0"/>
                <w:numId w:val="29"/>
              </w:numPr>
              <w:ind w:left="409"/>
              <w:jc w:val="both"/>
              <w:rPr>
                <w:color w:val="auto"/>
                <w:sz w:val="22"/>
                <w:szCs w:val="22"/>
              </w:rPr>
            </w:pPr>
            <w:r w:rsidRPr="00E67D6B">
              <w:rPr>
                <w:color w:val="auto"/>
                <w:sz w:val="22"/>
                <w:szCs w:val="22"/>
              </w:rPr>
              <w:t>Strictly comply with the submission deadlines of the GAD Accomplishment Reports to enable the Audit Team to conduct a more comprehensive audit on PCSO’s GAD-related PAPs</w:t>
            </w:r>
          </w:p>
        </w:tc>
        <w:tc>
          <w:tcPr>
            <w:tcW w:w="1975" w:type="dxa"/>
            <w:shd w:val="clear" w:color="auto" w:fill="auto"/>
          </w:tcPr>
          <w:p w14:paraId="77E0D998" w14:textId="77777777" w:rsidR="00C04915" w:rsidRPr="008C0BFE" w:rsidRDefault="00C04915" w:rsidP="008F645B">
            <w:pPr>
              <w:suppressAutoHyphens w:val="0"/>
              <w:spacing w:after="0" w:line="240" w:lineRule="auto"/>
              <w:jc w:val="both"/>
              <w:rPr>
                <w:rFonts w:ascii="Arial" w:hAnsi="Arial" w:cs="Arial"/>
                <w:bCs/>
              </w:rPr>
            </w:pPr>
          </w:p>
          <w:p w14:paraId="0808995A" w14:textId="77777777" w:rsidR="00480408" w:rsidRPr="008C0BFE" w:rsidRDefault="00480408" w:rsidP="008F645B">
            <w:pPr>
              <w:suppressAutoHyphens w:val="0"/>
              <w:spacing w:after="0" w:line="240" w:lineRule="auto"/>
              <w:jc w:val="both"/>
              <w:rPr>
                <w:rFonts w:ascii="Arial" w:hAnsi="Arial" w:cs="Arial"/>
                <w:bCs/>
              </w:rPr>
            </w:pPr>
          </w:p>
          <w:p w14:paraId="4CEFD25C" w14:textId="77777777" w:rsidR="00975328" w:rsidRPr="008C0BFE" w:rsidRDefault="00480408" w:rsidP="008F645B">
            <w:pPr>
              <w:suppressAutoHyphens w:val="0"/>
              <w:spacing w:after="0" w:line="240" w:lineRule="auto"/>
              <w:jc w:val="both"/>
              <w:rPr>
                <w:rFonts w:ascii="Arial" w:hAnsi="Arial" w:cs="Arial"/>
                <w:bCs/>
              </w:rPr>
            </w:pPr>
            <w:r w:rsidRPr="008C0BFE">
              <w:rPr>
                <w:rFonts w:ascii="Arial" w:hAnsi="Arial" w:cs="Arial"/>
                <w:bCs/>
              </w:rPr>
              <w:t xml:space="preserve">Fully </w:t>
            </w:r>
            <w:r w:rsidR="00975328" w:rsidRPr="008C0BFE">
              <w:rPr>
                <w:rFonts w:ascii="Arial" w:hAnsi="Arial" w:cs="Arial"/>
                <w:bCs/>
              </w:rPr>
              <w:t>Implemented</w:t>
            </w:r>
          </w:p>
          <w:p w14:paraId="2765E3E6" w14:textId="77777777" w:rsidR="00975328" w:rsidRPr="008C0BFE" w:rsidRDefault="00975328" w:rsidP="008F645B">
            <w:pPr>
              <w:suppressAutoHyphens w:val="0"/>
              <w:spacing w:after="0" w:line="240" w:lineRule="auto"/>
              <w:jc w:val="both"/>
              <w:rPr>
                <w:rFonts w:ascii="Arial" w:hAnsi="Arial" w:cs="Arial"/>
                <w:bCs/>
              </w:rPr>
            </w:pPr>
          </w:p>
          <w:p w14:paraId="0AE4A52E" w14:textId="77777777" w:rsidR="00975328" w:rsidRPr="008C0BFE" w:rsidRDefault="00975328" w:rsidP="008F645B">
            <w:pPr>
              <w:suppressAutoHyphens w:val="0"/>
              <w:spacing w:after="0" w:line="240" w:lineRule="auto"/>
              <w:jc w:val="both"/>
              <w:rPr>
                <w:rFonts w:ascii="Arial" w:hAnsi="Arial" w:cs="Arial"/>
                <w:bCs/>
              </w:rPr>
            </w:pPr>
          </w:p>
          <w:p w14:paraId="00A19927" w14:textId="77777777" w:rsidR="00975328" w:rsidRPr="008C0BFE" w:rsidRDefault="00975328" w:rsidP="008F645B">
            <w:pPr>
              <w:suppressAutoHyphens w:val="0"/>
              <w:spacing w:after="0" w:line="240" w:lineRule="auto"/>
              <w:jc w:val="both"/>
              <w:rPr>
                <w:rFonts w:ascii="Arial" w:hAnsi="Arial" w:cs="Arial"/>
                <w:bCs/>
              </w:rPr>
            </w:pPr>
          </w:p>
          <w:p w14:paraId="2257CE47" w14:textId="77777777" w:rsidR="00975328" w:rsidRPr="008C0BFE" w:rsidRDefault="00480408" w:rsidP="008F645B">
            <w:pPr>
              <w:suppressAutoHyphens w:val="0"/>
              <w:spacing w:after="0" w:line="240" w:lineRule="auto"/>
              <w:jc w:val="both"/>
              <w:rPr>
                <w:rFonts w:ascii="Arial" w:hAnsi="Arial" w:cs="Arial"/>
                <w:bCs/>
              </w:rPr>
            </w:pPr>
            <w:r w:rsidRPr="008C0BFE">
              <w:rPr>
                <w:rFonts w:ascii="Arial" w:hAnsi="Arial" w:cs="Arial"/>
                <w:bCs/>
              </w:rPr>
              <w:t xml:space="preserve">Fully </w:t>
            </w:r>
            <w:r w:rsidR="00975328" w:rsidRPr="008C0BFE">
              <w:rPr>
                <w:rFonts w:ascii="Arial" w:hAnsi="Arial" w:cs="Arial"/>
                <w:bCs/>
              </w:rPr>
              <w:t>Implemented</w:t>
            </w:r>
          </w:p>
          <w:p w14:paraId="1D913031" w14:textId="77777777" w:rsidR="00975328" w:rsidRPr="008C0BFE" w:rsidRDefault="00975328" w:rsidP="008F645B">
            <w:pPr>
              <w:suppressAutoHyphens w:val="0"/>
              <w:spacing w:after="0" w:line="240" w:lineRule="auto"/>
              <w:jc w:val="both"/>
              <w:rPr>
                <w:rFonts w:ascii="Arial" w:hAnsi="Arial" w:cs="Arial"/>
                <w:bCs/>
              </w:rPr>
            </w:pPr>
          </w:p>
          <w:p w14:paraId="65F29CB1" w14:textId="77777777" w:rsidR="00975328" w:rsidRPr="008C0BFE" w:rsidRDefault="00975328" w:rsidP="008F645B">
            <w:pPr>
              <w:suppressAutoHyphens w:val="0"/>
              <w:spacing w:after="0" w:line="240" w:lineRule="auto"/>
              <w:jc w:val="both"/>
              <w:rPr>
                <w:rFonts w:ascii="Arial" w:hAnsi="Arial" w:cs="Arial"/>
                <w:bCs/>
              </w:rPr>
            </w:pPr>
          </w:p>
          <w:p w14:paraId="27722ACA" w14:textId="77777777" w:rsidR="00975328" w:rsidRPr="008C0BFE" w:rsidRDefault="00975328" w:rsidP="008F645B">
            <w:pPr>
              <w:suppressAutoHyphens w:val="0"/>
              <w:spacing w:after="0" w:line="240" w:lineRule="auto"/>
              <w:jc w:val="both"/>
              <w:rPr>
                <w:rFonts w:ascii="Arial" w:hAnsi="Arial" w:cs="Arial"/>
                <w:bCs/>
              </w:rPr>
            </w:pPr>
          </w:p>
          <w:p w14:paraId="72B1D66B" w14:textId="77777777" w:rsidR="007E5884" w:rsidRPr="008C0BFE" w:rsidRDefault="007E5884" w:rsidP="007E5884">
            <w:pPr>
              <w:suppressAutoHyphens w:val="0"/>
              <w:spacing w:after="0" w:line="240" w:lineRule="auto"/>
              <w:jc w:val="both"/>
              <w:rPr>
                <w:rFonts w:ascii="Arial" w:hAnsi="Arial" w:cs="Arial"/>
                <w:bCs/>
              </w:rPr>
            </w:pPr>
            <w:r w:rsidRPr="008C0BFE">
              <w:rPr>
                <w:rFonts w:ascii="Arial" w:hAnsi="Arial" w:cs="Arial"/>
                <w:bCs/>
              </w:rPr>
              <w:t>Fully Implemented</w:t>
            </w:r>
          </w:p>
          <w:p w14:paraId="2B7BBB3C" w14:textId="77777777" w:rsidR="00975328" w:rsidRPr="008C0BFE" w:rsidRDefault="00975328" w:rsidP="008F645B">
            <w:pPr>
              <w:suppressAutoHyphens w:val="0"/>
              <w:spacing w:after="0" w:line="240" w:lineRule="auto"/>
              <w:jc w:val="both"/>
              <w:rPr>
                <w:rFonts w:ascii="Arial" w:hAnsi="Arial" w:cs="Arial"/>
                <w:bCs/>
              </w:rPr>
            </w:pPr>
          </w:p>
          <w:p w14:paraId="44CACA15" w14:textId="77777777" w:rsidR="00975328" w:rsidRPr="008C0BFE" w:rsidRDefault="00975328" w:rsidP="008F645B">
            <w:pPr>
              <w:suppressAutoHyphens w:val="0"/>
              <w:spacing w:after="0" w:line="240" w:lineRule="auto"/>
              <w:jc w:val="both"/>
              <w:rPr>
                <w:rFonts w:ascii="Arial" w:hAnsi="Arial" w:cs="Arial"/>
                <w:bCs/>
              </w:rPr>
            </w:pPr>
          </w:p>
          <w:p w14:paraId="32B766F0" w14:textId="77777777" w:rsidR="00975328" w:rsidRPr="008C0BFE" w:rsidRDefault="00975328" w:rsidP="008F645B">
            <w:pPr>
              <w:suppressAutoHyphens w:val="0"/>
              <w:spacing w:after="0" w:line="240" w:lineRule="auto"/>
              <w:jc w:val="both"/>
              <w:rPr>
                <w:rFonts w:ascii="Arial" w:hAnsi="Arial" w:cs="Arial"/>
                <w:bCs/>
              </w:rPr>
            </w:pPr>
          </w:p>
          <w:p w14:paraId="40F4E0D3" w14:textId="77777777" w:rsidR="00975328" w:rsidRPr="008C0BFE" w:rsidRDefault="00975328" w:rsidP="008F645B">
            <w:pPr>
              <w:suppressAutoHyphens w:val="0"/>
              <w:spacing w:after="0" w:line="240" w:lineRule="auto"/>
              <w:jc w:val="both"/>
              <w:rPr>
                <w:rFonts w:ascii="Arial" w:hAnsi="Arial" w:cs="Arial"/>
                <w:bCs/>
              </w:rPr>
            </w:pPr>
          </w:p>
          <w:p w14:paraId="0D61DE1D" w14:textId="77777777" w:rsidR="00975328" w:rsidRPr="008C0BFE" w:rsidRDefault="00975328" w:rsidP="008F645B">
            <w:pPr>
              <w:suppressAutoHyphens w:val="0"/>
              <w:spacing w:after="0" w:line="240" w:lineRule="auto"/>
              <w:jc w:val="both"/>
              <w:rPr>
                <w:rFonts w:ascii="Arial" w:hAnsi="Arial" w:cs="Arial"/>
                <w:bCs/>
              </w:rPr>
            </w:pPr>
          </w:p>
          <w:p w14:paraId="7E92C1BE" w14:textId="77777777" w:rsidR="00975328" w:rsidRPr="008C0BFE" w:rsidRDefault="00975328" w:rsidP="008F645B">
            <w:pPr>
              <w:suppressAutoHyphens w:val="0"/>
              <w:spacing w:after="0" w:line="240" w:lineRule="auto"/>
              <w:jc w:val="both"/>
              <w:rPr>
                <w:rFonts w:ascii="Arial" w:hAnsi="Arial" w:cs="Arial"/>
                <w:bCs/>
              </w:rPr>
            </w:pPr>
          </w:p>
          <w:p w14:paraId="5F1F939A" w14:textId="77777777" w:rsidR="00975328" w:rsidRPr="008C0BFE" w:rsidRDefault="00975328" w:rsidP="008F645B">
            <w:pPr>
              <w:suppressAutoHyphens w:val="0"/>
              <w:spacing w:after="0" w:line="240" w:lineRule="auto"/>
              <w:jc w:val="both"/>
              <w:rPr>
                <w:rFonts w:ascii="Arial" w:hAnsi="Arial" w:cs="Arial"/>
                <w:bCs/>
              </w:rPr>
            </w:pPr>
          </w:p>
          <w:p w14:paraId="7B2FD83D" w14:textId="77777777" w:rsidR="00975328" w:rsidRPr="008C0BFE" w:rsidRDefault="00975328" w:rsidP="008F645B">
            <w:pPr>
              <w:suppressAutoHyphens w:val="0"/>
              <w:spacing w:after="0" w:line="240" w:lineRule="auto"/>
              <w:jc w:val="both"/>
              <w:rPr>
                <w:rFonts w:ascii="Arial" w:hAnsi="Arial" w:cs="Arial"/>
                <w:bCs/>
              </w:rPr>
            </w:pPr>
            <w:r w:rsidRPr="008C0BFE">
              <w:rPr>
                <w:rFonts w:ascii="Arial" w:hAnsi="Arial" w:cs="Arial"/>
                <w:bCs/>
              </w:rPr>
              <w:t>Not Implemented</w:t>
            </w:r>
          </w:p>
          <w:p w14:paraId="758783A2" w14:textId="77777777" w:rsidR="00975328" w:rsidRPr="008C0BFE" w:rsidRDefault="00975328" w:rsidP="008F645B">
            <w:pPr>
              <w:suppressAutoHyphens w:val="0"/>
              <w:spacing w:after="0" w:line="240" w:lineRule="auto"/>
              <w:jc w:val="both"/>
              <w:rPr>
                <w:rFonts w:ascii="Arial" w:hAnsi="Arial" w:cs="Arial"/>
                <w:bCs/>
              </w:rPr>
            </w:pPr>
          </w:p>
          <w:p w14:paraId="6AD1D835" w14:textId="77777777" w:rsidR="007E5884" w:rsidRPr="008C0BFE" w:rsidRDefault="007E5884" w:rsidP="007E5884">
            <w:pPr>
              <w:suppressAutoHyphens w:val="0"/>
              <w:spacing w:after="0" w:line="240" w:lineRule="auto"/>
              <w:jc w:val="both"/>
              <w:rPr>
                <w:rFonts w:ascii="Arial" w:hAnsi="Arial" w:cs="Arial"/>
                <w:bCs/>
              </w:rPr>
            </w:pPr>
            <w:r w:rsidRPr="008C0BFE">
              <w:rPr>
                <w:rFonts w:ascii="Arial" w:hAnsi="Arial" w:cs="Arial"/>
                <w:bCs/>
              </w:rPr>
              <w:t>Reiterated with updates under Part II – Obse</w:t>
            </w:r>
            <w:r w:rsidR="002D5F84" w:rsidRPr="008C0BFE">
              <w:rPr>
                <w:rFonts w:ascii="Arial" w:hAnsi="Arial" w:cs="Arial"/>
                <w:bCs/>
              </w:rPr>
              <w:t>rvation and Recommendation No. 22</w:t>
            </w:r>
            <w:r w:rsidRPr="008C0BFE">
              <w:rPr>
                <w:rFonts w:ascii="Arial" w:hAnsi="Arial" w:cs="Arial"/>
                <w:bCs/>
              </w:rPr>
              <w:t xml:space="preserve"> of this report.</w:t>
            </w:r>
          </w:p>
          <w:p w14:paraId="0F605AEC" w14:textId="77777777" w:rsidR="00975328" w:rsidRPr="008C0BFE" w:rsidRDefault="00975328" w:rsidP="008F645B">
            <w:pPr>
              <w:suppressAutoHyphens w:val="0"/>
              <w:spacing w:after="0" w:line="240" w:lineRule="auto"/>
              <w:jc w:val="both"/>
              <w:rPr>
                <w:rFonts w:ascii="Arial" w:hAnsi="Arial" w:cs="Arial"/>
                <w:bCs/>
              </w:rPr>
            </w:pPr>
          </w:p>
          <w:p w14:paraId="7E8CD856" w14:textId="77777777" w:rsidR="00975328" w:rsidRPr="008C0BFE" w:rsidRDefault="00975328" w:rsidP="008F645B">
            <w:pPr>
              <w:suppressAutoHyphens w:val="0"/>
              <w:spacing w:after="0" w:line="240" w:lineRule="auto"/>
              <w:jc w:val="both"/>
              <w:rPr>
                <w:rFonts w:ascii="Arial" w:hAnsi="Arial" w:cs="Arial"/>
                <w:bCs/>
              </w:rPr>
            </w:pPr>
          </w:p>
          <w:p w14:paraId="7C545BD1" w14:textId="77777777" w:rsidR="00975328" w:rsidRPr="008C0BFE" w:rsidRDefault="00975328" w:rsidP="008F645B">
            <w:pPr>
              <w:suppressAutoHyphens w:val="0"/>
              <w:spacing w:after="0" w:line="240" w:lineRule="auto"/>
              <w:jc w:val="both"/>
              <w:rPr>
                <w:rFonts w:ascii="Arial" w:hAnsi="Arial" w:cs="Arial"/>
                <w:bCs/>
              </w:rPr>
            </w:pPr>
          </w:p>
          <w:p w14:paraId="4B535570" w14:textId="77777777" w:rsidR="00975328" w:rsidRPr="008C0BFE" w:rsidRDefault="00975328" w:rsidP="008F645B">
            <w:pPr>
              <w:suppressAutoHyphens w:val="0"/>
              <w:spacing w:after="0" w:line="240" w:lineRule="auto"/>
              <w:jc w:val="both"/>
              <w:rPr>
                <w:rFonts w:ascii="Arial" w:hAnsi="Arial" w:cs="Arial"/>
                <w:bCs/>
              </w:rPr>
            </w:pPr>
          </w:p>
          <w:p w14:paraId="72BA85B5" w14:textId="77777777" w:rsidR="007E5884" w:rsidRPr="008C0BFE" w:rsidRDefault="007E5884" w:rsidP="007E5884">
            <w:pPr>
              <w:suppressAutoHyphens w:val="0"/>
              <w:spacing w:after="0" w:line="240" w:lineRule="auto"/>
              <w:jc w:val="both"/>
              <w:rPr>
                <w:rFonts w:ascii="Arial" w:hAnsi="Arial" w:cs="Arial"/>
                <w:bCs/>
              </w:rPr>
            </w:pPr>
            <w:r w:rsidRPr="008C0BFE">
              <w:rPr>
                <w:rFonts w:ascii="Arial" w:hAnsi="Arial" w:cs="Arial"/>
                <w:bCs/>
              </w:rPr>
              <w:t>Fully Implemented</w:t>
            </w:r>
          </w:p>
          <w:p w14:paraId="78A87380" w14:textId="77777777" w:rsidR="00975328" w:rsidRPr="008C0BFE" w:rsidRDefault="00975328" w:rsidP="008F645B">
            <w:pPr>
              <w:suppressAutoHyphens w:val="0"/>
              <w:spacing w:after="0" w:line="240" w:lineRule="auto"/>
              <w:jc w:val="both"/>
              <w:rPr>
                <w:rFonts w:ascii="Arial" w:hAnsi="Arial" w:cs="Arial"/>
                <w:bCs/>
              </w:rPr>
            </w:pPr>
          </w:p>
          <w:p w14:paraId="7163F45A" w14:textId="77777777" w:rsidR="00975328" w:rsidRPr="008C0BFE" w:rsidRDefault="00975328" w:rsidP="008F645B">
            <w:pPr>
              <w:suppressAutoHyphens w:val="0"/>
              <w:spacing w:after="0" w:line="240" w:lineRule="auto"/>
              <w:jc w:val="both"/>
              <w:rPr>
                <w:rFonts w:ascii="Arial" w:hAnsi="Arial" w:cs="Arial"/>
                <w:bCs/>
              </w:rPr>
            </w:pPr>
          </w:p>
          <w:p w14:paraId="22A20E78" w14:textId="77777777" w:rsidR="00975328" w:rsidRPr="008C0BFE" w:rsidRDefault="00975328" w:rsidP="008F645B">
            <w:pPr>
              <w:suppressAutoHyphens w:val="0"/>
              <w:spacing w:after="0" w:line="240" w:lineRule="auto"/>
              <w:jc w:val="both"/>
              <w:rPr>
                <w:rFonts w:ascii="Arial" w:hAnsi="Arial" w:cs="Arial"/>
                <w:bCs/>
              </w:rPr>
            </w:pPr>
          </w:p>
          <w:p w14:paraId="3E11C91E" w14:textId="77777777" w:rsidR="00975328" w:rsidRPr="008C0BFE" w:rsidRDefault="00975328" w:rsidP="008F645B">
            <w:pPr>
              <w:suppressAutoHyphens w:val="0"/>
              <w:spacing w:after="0" w:line="240" w:lineRule="auto"/>
              <w:jc w:val="both"/>
              <w:rPr>
                <w:rFonts w:ascii="Arial" w:hAnsi="Arial" w:cs="Arial"/>
                <w:bCs/>
              </w:rPr>
            </w:pPr>
          </w:p>
          <w:p w14:paraId="4B5D4E3A" w14:textId="77777777" w:rsidR="00975328" w:rsidRPr="008C0BFE" w:rsidRDefault="00975328" w:rsidP="008F645B">
            <w:pPr>
              <w:suppressAutoHyphens w:val="0"/>
              <w:spacing w:after="0" w:line="240" w:lineRule="auto"/>
              <w:jc w:val="both"/>
              <w:rPr>
                <w:rFonts w:ascii="Arial" w:hAnsi="Arial" w:cs="Arial"/>
                <w:bCs/>
              </w:rPr>
            </w:pPr>
          </w:p>
          <w:p w14:paraId="558EE81A" w14:textId="77777777" w:rsidR="00975328" w:rsidRPr="008C0BFE" w:rsidRDefault="00975328" w:rsidP="008F645B">
            <w:pPr>
              <w:suppressAutoHyphens w:val="0"/>
              <w:spacing w:after="0" w:line="240" w:lineRule="auto"/>
              <w:jc w:val="both"/>
              <w:rPr>
                <w:rFonts w:ascii="Arial" w:hAnsi="Arial" w:cs="Arial"/>
                <w:bCs/>
              </w:rPr>
            </w:pPr>
          </w:p>
          <w:p w14:paraId="666B0FE6" w14:textId="77777777" w:rsidR="00975328" w:rsidRPr="008C0BFE" w:rsidRDefault="00975328" w:rsidP="008F645B">
            <w:pPr>
              <w:suppressAutoHyphens w:val="0"/>
              <w:spacing w:after="0" w:line="240" w:lineRule="auto"/>
              <w:jc w:val="both"/>
              <w:rPr>
                <w:rFonts w:ascii="Arial" w:hAnsi="Arial" w:cs="Arial"/>
                <w:bCs/>
              </w:rPr>
            </w:pPr>
          </w:p>
          <w:p w14:paraId="344DDE52" w14:textId="77777777" w:rsidR="00975328" w:rsidRPr="008C0BFE" w:rsidRDefault="00975328" w:rsidP="008F645B">
            <w:pPr>
              <w:suppressAutoHyphens w:val="0"/>
              <w:spacing w:after="0" w:line="240" w:lineRule="auto"/>
              <w:jc w:val="both"/>
              <w:rPr>
                <w:rFonts w:ascii="Arial" w:hAnsi="Arial" w:cs="Arial"/>
                <w:bCs/>
              </w:rPr>
            </w:pPr>
          </w:p>
          <w:p w14:paraId="2A56BB9E" w14:textId="77777777" w:rsidR="00975328" w:rsidRPr="008C0BFE" w:rsidRDefault="00975328" w:rsidP="008F645B">
            <w:pPr>
              <w:suppressAutoHyphens w:val="0"/>
              <w:spacing w:after="0" w:line="240" w:lineRule="auto"/>
              <w:jc w:val="both"/>
              <w:rPr>
                <w:rFonts w:ascii="Arial" w:hAnsi="Arial" w:cs="Arial"/>
                <w:bCs/>
              </w:rPr>
            </w:pPr>
          </w:p>
          <w:p w14:paraId="5C686F58" w14:textId="77777777" w:rsidR="00975328" w:rsidRPr="008C0BFE" w:rsidRDefault="00975328" w:rsidP="008F645B">
            <w:pPr>
              <w:suppressAutoHyphens w:val="0"/>
              <w:spacing w:after="0" w:line="240" w:lineRule="auto"/>
              <w:jc w:val="both"/>
              <w:rPr>
                <w:rFonts w:ascii="Arial" w:hAnsi="Arial" w:cs="Arial"/>
                <w:bCs/>
              </w:rPr>
            </w:pPr>
          </w:p>
          <w:p w14:paraId="61716023" w14:textId="77777777" w:rsidR="00975328" w:rsidRPr="008C0BFE" w:rsidRDefault="00480408" w:rsidP="008F645B">
            <w:pPr>
              <w:suppressAutoHyphens w:val="0"/>
              <w:spacing w:after="0" w:line="240" w:lineRule="auto"/>
              <w:jc w:val="both"/>
              <w:rPr>
                <w:rFonts w:ascii="Arial" w:hAnsi="Arial" w:cs="Arial"/>
                <w:bCs/>
              </w:rPr>
            </w:pPr>
            <w:r w:rsidRPr="008C0BFE">
              <w:rPr>
                <w:rFonts w:ascii="Arial" w:hAnsi="Arial" w:cs="Arial"/>
                <w:bCs/>
              </w:rPr>
              <w:t xml:space="preserve">Fully </w:t>
            </w:r>
            <w:r w:rsidR="00975328" w:rsidRPr="008C0BFE">
              <w:rPr>
                <w:rFonts w:ascii="Arial" w:hAnsi="Arial" w:cs="Arial"/>
                <w:bCs/>
              </w:rPr>
              <w:t>Implemented</w:t>
            </w:r>
          </w:p>
        </w:tc>
      </w:tr>
    </w:tbl>
    <w:p w14:paraId="769C2C15" w14:textId="77777777" w:rsidR="00B23023" w:rsidRDefault="00B23023" w:rsidP="00581ED0">
      <w:pPr>
        <w:spacing w:after="0" w:line="240" w:lineRule="auto"/>
        <w:jc w:val="both"/>
        <w:rPr>
          <w:rFonts w:ascii="Arial" w:hAnsi="Arial" w:cs="Arial"/>
        </w:rPr>
      </w:pPr>
    </w:p>
    <w:p w14:paraId="605415FE" w14:textId="77777777" w:rsidR="00B23023" w:rsidRDefault="00B23023" w:rsidP="00B23023">
      <w:pPr>
        <w:rPr>
          <w:rFonts w:ascii="Arial" w:hAnsi="Arial" w:cs="Arial"/>
        </w:rPr>
      </w:pPr>
    </w:p>
    <w:p w14:paraId="14DC8E90" w14:textId="77777777" w:rsidR="0002123C" w:rsidRPr="00B23023" w:rsidRDefault="0002123C" w:rsidP="00B23023">
      <w:pPr>
        <w:jc w:val="center"/>
        <w:rPr>
          <w:rFonts w:ascii="Arial" w:hAnsi="Arial" w:cs="Arial"/>
        </w:rPr>
      </w:pPr>
    </w:p>
    <w:sectPr w:rsidR="0002123C" w:rsidRPr="00B23023" w:rsidSect="00404F1C">
      <w:footerReference w:type="default" r:id="rId8"/>
      <w:pgSz w:w="12240" w:h="15840" w:code="1"/>
      <w:pgMar w:top="1440" w:right="1440" w:bottom="1440" w:left="1440" w:header="720" w:footer="720" w:gutter="0"/>
      <w:pgNumType w:start="18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ED6C33" w14:textId="77777777" w:rsidR="00E778E4" w:rsidRDefault="00E778E4" w:rsidP="00B947E9">
      <w:pPr>
        <w:spacing w:after="0" w:line="240" w:lineRule="auto"/>
      </w:pPr>
      <w:r>
        <w:separator/>
      </w:r>
    </w:p>
  </w:endnote>
  <w:endnote w:type="continuationSeparator" w:id="0">
    <w:p w14:paraId="302DAA73" w14:textId="77777777" w:rsidR="00E778E4" w:rsidRDefault="00E778E4" w:rsidP="00B94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7225063"/>
      <w:docPartObj>
        <w:docPartGallery w:val="Page Numbers (Bottom of Page)"/>
        <w:docPartUnique/>
      </w:docPartObj>
    </w:sdtPr>
    <w:sdtEndPr>
      <w:rPr>
        <w:noProof/>
      </w:rPr>
    </w:sdtEndPr>
    <w:sdtContent>
      <w:p w14:paraId="737FB486" w14:textId="5B8D25B0" w:rsidR="009C19B9" w:rsidRDefault="009C19B9">
        <w:pPr>
          <w:pStyle w:val="Footer"/>
          <w:jc w:val="right"/>
        </w:pPr>
        <w:r>
          <w:fldChar w:fldCharType="begin"/>
        </w:r>
        <w:r>
          <w:instrText xml:space="preserve"> PAGE   \* MERGEFORMAT </w:instrText>
        </w:r>
        <w:r>
          <w:fldChar w:fldCharType="separate"/>
        </w:r>
        <w:r w:rsidR="00F30AB1">
          <w:rPr>
            <w:noProof/>
          </w:rPr>
          <w:t>192</w:t>
        </w:r>
        <w:r>
          <w:rPr>
            <w:noProof/>
          </w:rPr>
          <w:fldChar w:fldCharType="end"/>
        </w:r>
      </w:p>
    </w:sdtContent>
  </w:sdt>
  <w:p w14:paraId="053D62B5" w14:textId="77777777" w:rsidR="00702D62" w:rsidRDefault="00702D6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4368B7" w14:textId="77777777" w:rsidR="00E778E4" w:rsidRDefault="00E778E4" w:rsidP="00B947E9">
      <w:pPr>
        <w:spacing w:after="0" w:line="240" w:lineRule="auto"/>
      </w:pPr>
      <w:r>
        <w:separator/>
      </w:r>
    </w:p>
  </w:footnote>
  <w:footnote w:type="continuationSeparator" w:id="0">
    <w:p w14:paraId="431EF329" w14:textId="77777777" w:rsidR="00E778E4" w:rsidRDefault="00E778E4" w:rsidP="00B947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DB8939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833B20"/>
    <w:multiLevelType w:val="hybridMultilevel"/>
    <w:tmpl w:val="3CC4B374"/>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 w15:restartNumberingAfterBreak="0">
    <w:nsid w:val="052C0D6D"/>
    <w:multiLevelType w:val="hybridMultilevel"/>
    <w:tmpl w:val="40EAB66A"/>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 w15:restartNumberingAfterBreak="0">
    <w:nsid w:val="079E78EE"/>
    <w:multiLevelType w:val="hybridMultilevel"/>
    <w:tmpl w:val="AB5212C6"/>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 w15:restartNumberingAfterBreak="0">
    <w:nsid w:val="0A550D79"/>
    <w:multiLevelType w:val="hybridMultilevel"/>
    <w:tmpl w:val="A4C47F8A"/>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 w15:restartNumberingAfterBreak="0">
    <w:nsid w:val="0C3C07C1"/>
    <w:multiLevelType w:val="hybridMultilevel"/>
    <w:tmpl w:val="D4265EC6"/>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 w15:restartNumberingAfterBreak="0">
    <w:nsid w:val="0E36593B"/>
    <w:multiLevelType w:val="hybridMultilevel"/>
    <w:tmpl w:val="F1A84FBE"/>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15:restartNumberingAfterBreak="0">
    <w:nsid w:val="110F1D47"/>
    <w:multiLevelType w:val="hybridMultilevel"/>
    <w:tmpl w:val="5C523D5E"/>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 w15:restartNumberingAfterBreak="0">
    <w:nsid w:val="11D96A2B"/>
    <w:multiLevelType w:val="hybridMultilevel"/>
    <w:tmpl w:val="86DE7670"/>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15:restartNumberingAfterBreak="0">
    <w:nsid w:val="141B05D1"/>
    <w:multiLevelType w:val="hybridMultilevel"/>
    <w:tmpl w:val="4F945A20"/>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16B72AEA"/>
    <w:multiLevelType w:val="hybridMultilevel"/>
    <w:tmpl w:val="2D963560"/>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1" w15:restartNumberingAfterBreak="0">
    <w:nsid w:val="1D795532"/>
    <w:multiLevelType w:val="multilevel"/>
    <w:tmpl w:val="F29AC208"/>
    <w:lvl w:ilvl="0">
      <w:start w:val="1"/>
      <w:numFmt w:val="lowerLetter"/>
      <w:lvlText w:val="%1.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F693BB1"/>
    <w:multiLevelType w:val="hybridMultilevel"/>
    <w:tmpl w:val="68424C1C"/>
    <w:lvl w:ilvl="0" w:tplc="2D0CB0BA">
      <w:start w:val="1"/>
      <w:numFmt w:val="lowerLetter"/>
      <w:lvlText w:val="%1."/>
      <w:lvlJc w:val="left"/>
      <w:pPr>
        <w:ind w:left="1080" w:hanging="72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3" w15:restartNumberingAfterBreak="0">
    <w:nsid w:val="2ADE3068"/>
    <w:multiLevelType w:val="hybridMultilevel"/>
    <w:tmpl w:val="83B05726"/>
    <w:lvl w:ilvl="0" w:tplc="4EEE97E4">
      <w:start w:val="1"/>
      <w:numFmt w:val="lowerRoman"/>
      <w:lvlText w:val="%1."/>
      <w:lvlJc w:val="left"/>
      <w:pPr>
        <w:ind w:left="1440" w:hanging="72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4" w15:restartNumberingAfterBreak="0">
    <w:nsid w:val="2BE80CBA"/>
    <w:multiLevelType w:val="hybridMultilevel"/>
    <w:tmpl w:val="4ABA2732"/>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5" w15:restartNumberingAfterBreak="0">
    <w:nsid w:val="2CAB4B5B"/>
    <w:multiLevelType w:val="hybridMultilevel"/>
    <w:tmpl w:val="C58C2266"/>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6" w15:restartNumberingAfterBreak="0">
    <w:nsid w:val="2CF55C4F"/>
    <w:multiLevelType w:val="hybridMultilevel"/>
    <w:tmpl w:val="41FE2672"/>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7" w15:restartNumberingAfterBreak="0">
    <w:nsid w:val="2E9E29D8"/>
    <w:multiLevelType w:val="hybridMultilevel"/>
    <w:tmpl w:val="261C644A"/>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8" w15:restartNumberingAfterBreak="0">
    <w:nsid w:val="30085F84"/>
    <w:multiLevelType w:val="hybridMultilevel"/>
    <w:tmpl w:val="BC24610A"/>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9" w15:restartNumberingAfterBreak="0">
    <w:nsid w:val="30D340C5"/>
    <w:multiLevelType w:val="hybridMultilevel"/>
    <w:tmpl w:val="0014613A"/>
    <w:lvl w:ilvl="0" w:tplc="DC486E9A">
      <w:start w:val="2"/>
      <w:numFmt w:val="lowerLetter"/>
      <w:lvlText w:val="%1."/>
      <w:lvlJc w:val="left"/>
      <w:pPr>
        <w:ind w:left="1080" w:hanging="72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0" w15:restartNumberingAfterBreak="0">
    <w:nsid w:val="34375033"/>
    <w:multiLevelType w:val="hybridMultilevel"/>
    <w:tmpl w:val="98A0DA12"/>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1" w15:restartNumberingAfterBreak="0">
    <w:nsid w:val="42B30087"/>
    <w:multiLevelType w:val="hybridMultilevel"/>
    <w:tmpl w:val="1F0C70EE"/>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2" w15:restartNumberingAfterBreak="0">
    <w:nsid w:val="493662E8"/>
    <w:multiLevelType w:val="hybridMultilevel"/>
    <w:tmpl w:val="30966900"/>
    <w:lvl w:ilvl="0" w:tplc="F9FE0DBC">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3" w15:restartNumberingAfterBreak="0">
    <w:nsid w:val="50771BB4"/>
    <w:multiLevelType w:val="hybridMultilevel"/>
    <w:tmpl w:val="87404D98"/>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4" w15:restartNumberingAfterBreak="0">
    <w:nsid w:val="5D57117F"/>
    <w:multiLevelType w:val="multilevel"/>
    <w:tmpl w:val="DF4C0366"/>
    <w:lvl w:ilvl="0">
      <w:start w:val="1"/>
      <w:numFmt w:val="lowerLetter"/>
      <w:lvlText w:val="%1.1"/>
      <w:lvlJc w:val="left"/>
      <w:pPr>
        <w:ind w:left="720" w:hanging="360"/>
      </w:pPr>
      <w:rPr>
        <w:rFonts w:hint="default"/>
      </w:rPr>
    </w:lvl>
    <w:lvl w:ilvl="1">
      <w:start w:val="1"/>
      <w:numFmt w:val="lowerLetter"/>
      <w:lvlText w:val="%2.2"/>
      <w:lvlJc w:val="left"/>
      <w:pPr>
        <w:ind w:left="1440" w:hanging="360"/>
      </w:pPr>
      <w:rPr>
        <w:rFonts w:hint="default"/>
      </w:rPr>
    </w:lvl>
    <w:lvl w:ilvl="2">
      <w:start w:val="1"/>
      <w:numFmt w:val="none"/>
      <w:lvlText w:val="a.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5DAD134F"/>
    <w:multiLevelType w:val="multilevel"/>
    <w:tmpl w:val="89C840FE"/>
    <w:lvl w:ilvl="0">
      <w:start w:val="1"/>
      <w:numFmt w:val="lowerLetter"/>
      <w:lvlText w:val="%1.1"/>
      <w:lvlJc w:val="left"/>
      <w:pPr>
        <w:ind w:left="720" w:hanging="360"/>
      </w:pPr>
      <w:rPr>
        <w:rFonts w:hint="default"/>
      </w:rPr>
    </w:lvl>
    <w:lvl w:ilvl="1">
      <w:start w:val="1"/>
      <w:numFmt w:val="lowerLetter"/>
      <w:lvlText w:val="%2.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600F6A08"/>
    <w:multiLevelType w:val="hybridMultilevel"/>
    <w:tmpl w:val="787CA2A0"/>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7" w15:restartNumberingAfterBreak="0">
    <w:nsid w:val="6A8838E7"/>
    <w:multiLevelType w:val="hybridMultilevel"/>
    <w:tmpl w:val="BA72202A"/>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8" w15:restartNumberingAfterBreak="0">
    <w:nsid w:val="6B0F678E"/>
    <w:multiLevelType w:val="hybridMultilevel"/>
    <w:tmpl w:val="2E164E7C"/>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9" w15:restartNumberingAfterBreak="0">
    <w:nsid w:val="6BBD7F56"/>
    <w:multiLevelType w:val="hybridMultilevel"/>
    <w:tmpl w:val="FF5E53F6"/>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0" w15:restartNumberingAfterBreak="0">
    <w:nsid w:val="6CDF7533"/>
    <w:multiLevelType w:val="hybridMultilevel"/>
    <w:tmpl w:val="D8D4E704"/>
    <w:lvl w:ilvl="0" w:tplc="3409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1" w15:restartNumberingAfterBreak="0">
    <w:nsid w:val="759A6B64"/>
    <w:multiLevelType w:val="hybridMultilevel"/>
    <w:tmpl w:val="50621684"/>
    <w:lvl w:ilvl="0" w:tplc="909890CC">
      <w:start w:val="1"/>
      <w:numFmt w:val="lowerLetter"/>
      <w:lvlText w:val="%1."/>
      <w:lvlJc w:val="left"/>
      <w:pPr>
        <w:ind w:left="1080" w:hanging="72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2" w15:restartNumberingAfterBreak="0">
    <w:nsid w:val="78133339"/>
    <w:multiLevelType w:val="hybridMultilevel"/>
    <w:tmpl w:val="F45AD37A"/>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3" w15:restartNumberingAfterBreak="0">
    <w:nsid w:val="7BF07B09"/>
    <w:multiLevelType w:val="hybridMultilevel"/>
    <w:tmpl w:val="B32C4C16"/>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27"/>
  </w:num>
  <w:num w:numId="2">
    <w:abstractNumId w:val="15"/>
  </w:num>
  <w:num w:numId="3">
    <w:abstractNumId w:val="22"/>
  </w:num>
  <w:num w:numId="4">
    <w:abstractNumId w:val="31"/>
  </w:num>
  <w:num w:numId="5">
    <w:abstractNumId w:val="12"/>
  </w:num>
  <w:num w:numId="6">
    <w:abstractNumId w:val="0"/>
  </w:num>
  <w:num w:numId="7">
    <w:abstractNumId w:val="20"/>
  </w:num>
  <w:num w:numId="8">
    <w:abstractNumId w:val="26"/>
  </w:num>
  <w:num w:numId="9">
    <w:abstractNumId w:val="7"/>
  </w:num>
  <w:num w:numId="10">
    <w:abstractNumId w:val="17"/>
  </w:num>
  <w:num w:numId="11">
    <w:abstractNumId w:val="19"/>
  </w:num>
  <w:num w:numId="12">
    <w:abstractNumId w:val="1"/>
  </w:num>
  <w:num w:numId="13">
    <w:abstractNumId w:val="16"/>
  </w:num>
  <w:num w:numId="14">
    <w:abstractNumId w:val="9"/>
  </w:num>
  <w:num w:numId="15">
    <w:abstractNumId w:val="33"/>
  </w:num>
  <w:num w:numId="16">
    <w:abstractNumId w:val="5"/>
  </w:num>
  <w:num w:numId="17">
    <w:abstractNumId w:val="14"/>
  </w:num>
  <w:num w:numId="18">
    <w:abstractNumId w:val="2"/>
  </w:num>
  <w:num w:numId="19">
    <w:abstractNumId w:val="29"/>
  </w:num>
  <w:num w:numId="20">
    <w:abstractNumId w:val="32"/>
  </w:num>
  <w:num w:numId="21">
    <w:abstractNumId w:val="10"/>
  </w:num>
  <w:num w:numId="22">
    <w:abstractNumId w:val="18"/>
  </w:num>
  <w:num w:numId="23">
    <w:abstractNumId w:val="6"/>
  </w:num>
  <w:num w:numId="24">
    <w:abstractNumId w:val="21"/>
  </w:num>
  <w:num w:numId="25">
    <w:abstractNumId w:val="8"/>
  </w:num>
  <w:num w:numId="26">
    <w:abstractNumId w:val="4"/>
  </w:num>
  <w:num w:numId="27">
    <w:abstractNumId w:val="28"/>
  </w:num>
  <w:num w:numId="28">
    <w:abstractNumId w:val="23"/>
  </w:num>
  <w:num w:numId="29">
    <w:abstractNumId w:val="3"/>
  </w:num>
  <w:num w:numId="30">
    <w:abstractNumId w:val="13"/>
  </w:num>
  <w:num w:numId="31">
    <w:abstractNumId w:val="30"/>
  </w:num>
  <w:num w:numId="32">
    <w:abstractNumId w:val="11"/>
  </w:num>
  <w:num w:numId="33">
    <w:abstractNumId w:val="25"/>
  </w:num>
  <w:num w:numId="34">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jlLZ7PY3bMPfpEmZZl/Av8G//0SPzqoEKP60N/PIeJI5a6V2rz7WOUHLwIsSJta+fViK9RE1P7BpMag8w5DB6A==" w:salt="fXHzPmFuMqHeJzU1WrBTug=="/>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2C6"/>
    <w:rsid w:val="000046F8"/>
    <w:rsid w:val="0001134B"/>
    <w:rsid w:val="00012A5B"/>
    <w:rsid w:val="0001619B"/>
    <w:rsid w:val="0002123C"/>
    <w:rsid w:val="0002343F"/>
    <w:rsid w:val="000236B0"/>
    <w:rsid w:val="000262F0"/>
    <w:rsid w:val="00027C0A"/>
    <w:rsid w:val="00031033"/>
    <w:rsid w:val="00031855"/>
    <w:rsid w:val="00031F49"/>
    <w:rsid w:val="000345F1"/>
    <w:rsid w:val="00034CA4"/>
    <w:rsid w:val="00035884"/>
    <w:rsid w:val="00040D33"/>
    <w:rsid w:val="00041721"/>
    <w:rsid w:val="00041CF5"/>
    <w:rsid w:val="000533D2"/>
    <w:rsid w:val="00056E76"/>
    <w:rsid w:val="000621EB"/>
    <w:rsid w:val="00066F8C"/>
    <w:rsid w:val="00070B22"/>
    <w:rsid w:val="00072EF6"/>
    <w:rsid w:val="00073AB3"/>
    <w:rsid w:val="00076A9B"/>
    <w:rsid w:val="00076CCF"/>
    <w:rsid w:val="000868A1"/>
    <w:rsid w:val="00092879"/>
    <w:rsid w:val="00096D0C"/>
    <w:rsid w:val="000A5A16"/>
    <w:rsid w:val="000B3EA5"/>
    <w:rsid w:val="000B58DA"/>
    <w:rsid w:val="000C15F2"/>
    <w:rsid w:val="000C3E29"/>
    <w:rsid w:val="000C58EE"/>
    <w:rsid w:val="000D2D96"/>
    <w:rsid w:val="000D309D"/>
    <w:rsid w:val="000D5FE6"/>
    <w:rsid w:val="000D7B66"/>
    <w:rsid w:val="000E00FC"/>
    <w:rsid w:val="000E7C06"/>
    <w:rsid w:val="000F403D"/>
    <w:rsid w:val="00105D8A"/>
    <w:rsid w:val="0010736B"/>
    <w:rsid w:val="00122DCF"/>
    <w:rsid w:val="001260ED"/>
    <w:rsid w:val="00127B73"/>
    <w:rsid w:val="00130643"/>
    <w:rsid w:val="00142DED"/>
    <w:rsid w:val="00147BAF"/>
    <w:rsid w:val="0015159F"/>
    <w:rsid w:val="00152CFF"/>
    <w:rsid w:val="00157061"/>
    <w:rsid w:val="00157B8F"/>
    <w:rsid w:val="0016664D"/>
    <w:rsid w:val="00174128"/>
    <w:rsid w:val="00185DD6"/>
    <w:rsid w:val="00195B52"/>
    <w:rsid w:val="001A116E"/>
    <w:rsid w:val="001A305B"/>
    <w:rsid w:val="001B1ECD"/>
    <w:rsid w:val="001B225E"/>
    <w:rsid w:val="001B4962"/>
    <w:rsid w:val="001B4C13"/>
    <w:rsid w:val="001C0897"/>
    <w:rsid w:val="001C1175"/>
    <w:rsid w:val="001C128C"/>
    <w:rsid w:val="001C2013"/>
    <w:rsid w:val="001C412D"/>
    <w:rsid w:val="001C61B6"/>
    <w:rsid w:val="001C6DC6"/>
    <w:rsid w:val="001D4DA2"/>
    <w:rsid w:val="001D6230"/>
    <w:rsid w:val="001E3D21"/>
    <w:rsid w:val="001E5C29"/>
    <w:rsid w:val="001F522B"/>
    <w:rsid w:val="00202850"/>
    <w:rsid w:val="00206578"/>
    <w:rsid w:val="00207C0F"/>
    <w:rsid w:val="00220983"/>
    <w:rsid w:val="00224266"/>
    <w:rsid w:val="00224EBB"/>
    <w:rsid w:val="00240005"/>
    <w:rsid w:val="00240B0B"/>
    <w:rsid w:val="002513E3"/>
    <w:rsid w:val="00254507"/>
    <w:rsid w:val="00256FA1"/>
    <w:rsid w:val="00273BCA"/>
    <w:rsid w:val="00274988"/>
    <w:rsid w:val="00275AC5"/>
    <w:rsid w:val="002811E6"/>
    <w:rsid w:val="002813A7"/>
    <w:rsid w:val="00281CA9"/>
    <w:rsid w:val="00287DB6"/>
    <w:rsid w:val="002942A8"/>
    <w:rsid w:val="002B0A72"/>
    <w:rsid w:val="002C08BC"/>
    <w:rsid w:val="002C0BB9"/>
    <w:rsid w:val="002C62A6"/>
    <w:rsid w:val="002D12ED"/>
    <w:rsid w:val="002D45A0"/>
    <w:rsid w:val="002D5F84"/>
    <w:rsid w:val="002E070A"/>
    <w:rsid w:val="002E4B62"/>
    <w:rsid w:val="002E619C"/>
    <w:rsid w:val="002E7DBD"/>
    <w:rsid w:val="002F136F"/>
    <w:rsid w:val="002F50D1"/>
    <w:rsid w:val="0030037E"/>
    <w:rsid w:val="00304E34"/>
    <w:rsid w:val="00305781"/>
    <w:rsid w:val="00306B9A"/>
    <w:rsid w:val="003073BF"/>
    <w:rsid w:val="00325312"/>
    <w:rsid w:val="00340C12"/>
    <w:rsid w:val="00352F7F"/>
    <w:rsid w:val="00356D81"/>
    <w:rsid w:val="00361924"/>
    <w:rsid w:val="003626B2"/>
    <w:rsid w:val="00370054"/>
    <w:rsid w:val="00372E51"/>
    <w:rsid w:val="00373780"/>
    <w:rsid w:val="00373DC1"/>
    <w:rsid w:val="00375C1E"/>
    <w:rsid w:val="00387F29"/>
    <w:rsid w:val="0039354E"/>
    <w:rsid w:val="00394EEB"/>
    <w:rsid w:val="003978C7"/>
    <w:rsid w:val="003A6604"/>
    <w:rsid w:val="003B3163"/>
    <w:rsid w:val="003B668A"/>
    <w:rsid w:val="003B7B91"/>
    <w:rsid w:val="003D43B6"/>
    <w:rsid w:val="003D596E"/>
    <w:rsid w:val="003D63D4"/>
    <w:rsid w:val="003D6A85"/>
    <w:rsid w:val="003E116E"/>
    <w:rsid w:val="003E3905"/>
    <w:rsid w:val="003F3505"/>
    <w:rsid w:val="003F5BB0"/>
    <w:rsid w:val="003F6C4A"/>
    <w:rsid w:val="004002A9"/>
    <w:rsid w:val="004013C7"/>
    <w:rsid w:val="004031ED"/>
    <w:rsid w:val="00404F1C"/>
    <w:rsid w:val="004055BA"/>
    <w:rsid w:val="00405DD3"/>
    <w:rsid w:val="00412351"/>
    <w:rsid w:val="00427B91"/>
    <w:rsid w:val="004303EB"/>
    <w:rsid w:val="00440262"/>
    <w:rsid w:val="00441735"/>
    <w:rsid w:val="004442D2"/>
    <w:rsid w:val="00445E58"/>
    <w:rsid w:val="00445FA6"/>
    <w:rsid w:val="004468EE"/>
    <w:rsid w:val="00450B0B"/>
    <w:rsid w:val="004758FA"/>
    <w:rsid w:val="00480408"/>
    <w:rsid w:val="00485A66"/>
    <w:rsid w:val="00490897"/>
    <w:rsid w:val="00496AE6"/>
    <w:rsid w:val="004978E4"/>
    <w:rsid w:val="004A1DAD"/>
    <w:rsid w:val="004B09AE"/>
    <w:rsid w:val="004B2563"/>
    <w:rsid w:val="004B38D5"/>
    <w:rsid w:val="004B7725"/>
    <w:rsid w:val="004C442A"/>
    <w:rsid w:val="004C4A32"/>
    <w:rsid w:val="004C7BD5"/>
    <w:rsid w:val="004D1F34"/>
    <w:rsid w:val="004D200F"/>
    <w:rsid w:val="004D2757"/>
    <w:rsid w:val="004D3331"/>
    <w:rsid w:val="004E1F7D"/>
    <w:rsid w:val="004E544F"/>
    <w:rsid w:val="004E5813"/>
    <w:rsid w:val="004F1736"/>
    <w:rsid w:val="004F4326"/>
    <w:rsid w:val="004F6BF1"/>
    <w:rsid w:val="004F7904"/>
    <w:rsid w:val="00506EEF"/>
    <w:rsid w:val="00510A2D"/>
    <w:rsid w:val="00521D8F"/>
    <w:rsid w:val="00534311"/>
    <w:rsid w:val="00540754"/>
    <w:rsid w:val="00555A56"/>
    <w:rsid w:val="00561DA4"/>
    <w:rsid w:val="0056306D"/>
    <w:rsid w:val="00563920"/>
    <w:rsid w:val="005734CB"/>
    <w:rsid w:val="0057658B"/>
    <w:rsid w:val="00576DE3"/>
    <w:rsid w:val="00581ED0"/>
    <w:rsid w:val="0058410B"/>
    <w:rsid w:val="00585858"/>
    <w:rsid w:val="0059016F"/>
    <w:rsid w:val="0059073C"/>
    <w:rsid w:val="005940C0"/>
    <w:rsid w:val="00596949"/>
    <w:rsid w:val="005A3B55"/>
    <w:rsid w:val="005B2BA7"/>
    <w:rsid w:val="005B5263"/>
    <w:rsid w:val="005C3E3D"/>
    <w:rsid w:val="005D014F"/>
    <w:rsid w:val="005D248E"/>
    <w:rsid w:val="005D6F95"/>
    <w:rsid w:val="005E44B6"/>
    <w:rsid w:val="005E561E"/>
    <w:rsid w:val="005E6349"/>
    <w:rsid w:val="005F67D3"/>
    <w:rsid w:val="006025D9"/>
    <w:rsid w:val="00624AD9"/>
    <w:rsid w:val="00634338"/>
    <w:rsid w:val="00634538"/>
    <w:rsid w:val="00645AE2"/>
    <w:rsid w:val="00646885"/>
    <w:rsid w:val="00647788"/>
    <w:rsid w:val="00655554"/>
    <w:rsid w:val="006574F1"/>
    <w:rsid w:val="00664FD5"/>
    <w:rsid w:val="006655F2"/>
    <w:rsid w:val="00666C30"/>
    <w:rsid w:val="006770B4"/>
    <w:rsid w:val="006901A5"/>
    <w:rsid w:val="006A19B9"/>
    <w:rsid w:val="006A2289"/>
    <w:rsid w:val="006B34F4"/>
    <w:rsid w:val="006B382D"/>
    <w:rsid w:val="006B7F13"/>
    <w:rsid w:val="006C0A40"/>
    <w:rsid w:val="006C57D6"/>
    <w:rsid w:val="006D4DA1"/>
    <w:rsid w:val="006D6FCD"/>
    <w:rsid w:val="006D7C22"/>
    <w:rsid w:val="006E2B43"/>
    <w:rsid w:val="006E642D"/>
    <w:rsid w:val="006F0AC2"/>
    <w:rsid w:val="006F4ADB"/>
    <w:rsid w:val="006F687A"/>
    <w:rsid w:val="00702D62"/>
    <w:rsid w:val="00706241"/>
    <w:rsid w:val="00707A30"/>
    <w:rsid w:val="00711104"/>
    <w:rsid w:val="007148AE"/>
    <w:rsid w:val="0072094B"/>
    <w:rsid w:val="007219A6"/>
    <w:rsid w:val="007311F6"/>
    <w:rsid w:val="007422AF"/>
    <w:rsid w:val="007441DD"/>
    <w:rsid w:val="00752E03"/>
    <w:rsid w:val="00756884"/>
    <w:rsid w:val="00761A42"/>
    <w:rsid w:val="00773A7E"/>
    <w:rsid w:val="007831C3"/>
    <w:rsid w:val="0078474D"/>
    <w:rsid w:val="00787ED6"/>
    <w:rsid w:val="00790888"/>
    <w:rsid w:val="00793575"/>
    <w:rsid w:val="007A07A4"/>
    <w:rsid w:val="007A1201"/>
    <w:rsid w:val="007A7C23"/>
    <w:rsid w:val="007A7DB6"/>
    <w:rsid w:val="007B6CD2"/>
    <w:rsid w:val="007C4B3D"/>
    <w:rsid w:val="007D472E"/>
    <w:rsid w:val="007D6A26"/>
    <w:rsid w:val="007E5884"/>
    <w:rsid w:val="007E6C80"/>
    <w:rsid w:val="007F4DE1"/>
    <w:rsid w:val="00810921"/>
    <w:rsid w:val="00825011"/>
    <w:rsid w:val="00826040"/>
    <w:rsid w:val="0083542E"/>
    <w:rsid w:val="00842763"/>
    <w:rsid w:val="008439EC"/>
    <w:rsid w:val="00844051"/>
    <w:rsid w:val="00846AD0"/>
    <w:rsid w:val="008479E6"/>
    <w:rsid w:val="00853601"/>
    <w:rsid w:val="008740FA"/>
    <w:rsid w:val="00875C09"/>
    <w:rsid w:val="00876360"/>
    <w:rsid w:val="00885166"/>
    <w:rsid w:val="00887BB7"/>
    <w:rsid w:val="00887D1B"/>
    <w:rsid w:val="0089208F"/>
    <w:rsid w:val="008934AF"/>
    <w:rsid w:val="008A4CB2"/>
    <w:rsid w:val="008A6FA1"/>
    <w:rsid w:val="008B0A17"/>
    <w:rsid w:val="008B6897"/>
    <w:rsid w:val="008C0BFE"/>
    <w:rsid w:val="008C28D7"/>
    <w:rsid w:val="008C4B22"/>
    <w:rsid w:val="008C6557"/>
    <w:rsid w:val="008D44DC"/>
    <w:rsid w:val="008E07E2"/>
    <w:rsid w:val="008E2411"/>
    <w:rsid w:val="008E386F"/>
    <w:rsid w:val="008E421A"/>
    <w:rsid w:val="008E4E52"/>
    <w:rsid w:val="008F52EA"/>
    <w:rsid w:val="008F645B"/>
    <w:rsid w:val="008F65AE"/>
    <w:rsid w:val="00906E71"/>
    <w:rsid w:val="0091423B"/>
    <w:rsid w:val="00922511"/>
    <w:rsid w:val="009328A0"/>
    <w:rsid w:val="00942C09"/>
    <w:rsid w:val="009452C6"/>
    <w:rsid w:val="00947FC9"/>
    <w:rsid w:val="00950355"/>
    <w:rsid w:val="00962196"/>
    <w:rsid w:val="00971E3A"/>
    <w:rsid w:val="00972343"/>
    <w:rsid w:val="00974908"/>
    <w:rsid w:val="00975328"/>
    <w:rsid w:val="00981553"/>
    <w:rsid w:val="009821C4"/>
    <w:rsid w:val="00984DD7"/>
    <w:rsid w:val="00992AFA"/>
    <w:rsid w:val="0099508D"/>
    <w:rsid w:val="0099601A"/>
    <w:rsid w:val="00996509"/>
    <w:rsid w:val="009971BA"/>
    <w:rsid w:val="00997CB7"/>
    <w:rsid w:val="009A1EAB"/>
    <w:rsid w:val="009B2394"/>
    <w:rsid w:val="009B753B"/>
    <w:rsid w:val="009C1419"/>
    <w:rsid w:val="009C19B9"/>
    <w:rsid w:val="009D2580"/>
    <w:rsid w:val="009E4A7D"/>
    <w:rsid w:val="009E76C9"/>
    <w:rsid w:val="009F05F7"/>
    <w:rsid w:val="009F1122"/>
    <w:rsid w:val="009F16AA"/>
    <w:rsid w:val="00A02D0F"/>
    <w:rsid w:val="00A135FE"/>
    <w:rsid w:val="00A219EF"/>
    <w:rsid w:val="00A22727"/>
    <w:rsid w:val="00A3530F"/>
    <w:rsid w:val="00A441E0"/>
    <w:rsid w:val="00A474F3"/>
    <w:rsid w:val="00A51272"/>
    <w:rsid w:val="00A529E5"/>
    <w:rsid w:val="00A551F9"/>
    <w:rsid w:val="00A676F8"/>
    <w:rsid w:val="00A729E5"/>
    <w:rsid w:val="00A81AC4"/>
    <w:rsid w:val="00A93267"/>
    <w:rsid w:val="00A95D43"/>
    <w:rsid w:val="00A9695E"/>
    <w:rsid w:val="00A97DC5"/>
    <w:rsid w:val="00AA0D18"/>
    <w:rsid w:val="00AA22AB"/>
    <w:rsid w:val="00AA30EE"/>
    <w:rsid w:val="00AB0BEB"/>
    <w:rsid w:val="00AB189B"/>
    <w:rsid w:val="00AB2005"/>
    <w:rsid w:val="00AC22E3"/>
    <w:rsid w:val="00AC5C46"/>
    <w:rsid w:val="00AC721A"/>
    <w:rsid w:val="00AD2C64"/>
    <w:rsid w:val="00AD64C2"/>
    <w:rsid w:val="00AD7B22"/>
    <w:rsid w:val="00AE0CE9"/>
    <w:rsid w:val="00AE6BD2"/>
    <w:rsid w:val="00B00603"/>
    <w:rsid w:val="00B01CC3"/>
    <w:rsid w:val="00B123C9"/>
    <w:rsid w:val="00B1243C"/>
    <w:rsid w:val="00B12A48"/>
    <w:rsid w:val="00B14711"/>
    <w:rsid w:val="00B158A2"/>
    <w:rsid w:val="00B168E7"/>
    <w:rsid w:val="00B169BD"/>
    <w:rsid w:val="00B2279C"/>
    <w:rsid w:val="00B23023"/>
    <w:rsid w:val="00B2720E"/>
    <w:rsid w:val="00B3665F"/>
    <w:rsid w:val="00B36F4D"/>
    <w:rsid w:val="00B46DD2"/>
    <w:rsid w:val="00B506BF"/>
    <w:rsid w:val="00B525F8"/>
    <w:rsid w:val="00B55026"/>
    <w:rsid w:val="00B57E58"/>
    <w:rsid w:val="00B61541"/>
    <w:rsid w:val="00B6627E"/>
    <w:rsid w:val="00B76F56"/>
    <w:rsid w:val="00B7736D"/>
    <w:rsid w:val="00B87FDB"/>
    <w:rsid w:val="00B92755"/>
    <w:rsid w:val="00B93CB1"/>
    <w:rsid w:val="00B947E9"/>
    <w:rsid w:val="00BA3D53"/>
    <w:rsid w:val="00BA4834"/>
    <w:rsid w:val="00BA509A"/>
    <w:rsid w:val="00BB0B5B"/>
    <w:rsid w:val="00BB4AB4"/>
    <w:rsid w:val="00BC3DC2"/>
    <w:rsid w:val="00BC6876"/>
    <w:rsid w:val="00BD1FCC"/>
    <w:rsid w:val="00BD278A"/>
    <w:rsid w:val="00BD35FF"/>
    <w:rsid w:val="00BE0083"/>
    <w:rsid w:val="00BE0AEE"/>
    <w:rsid w:val="00BE54AB"/>
    <w:rsid w:val="00BE5A1C"/>
    <w:rsid w:val="00BE5F06"/>
    <w:rsid w:val="00BE6525"/>
    <w:rsid w:val="00BF0AF5"/>
    <w:rsid w:val="00C0388A"/>
    <w:rsid w:val="00C04915"/>
    <w:rsid w:val="00C16BC2"/>
    <w:rsid w:val="00C2517A"/>
    <w:rsid w:val="00C25289"/>
    <w:rsid w:val="00C30304"/>
    <w:rsid w:val="00C30A34"/>
    <w:rsid w:val="00C33E59"/>
    <w:rsid w:val="00C36524"/>
    <w:rsid w:val="00C45926"/>
    <w:rsid w:val="00C472A6"/>
    <w:rsid w:val="00C5027E"/>
    <w:rsid w:val="00C52A5C"/>
    <w:rsid w:val="00C54A09"/>
    <w:rsid w:val="00C550DB"/>
    <w:rsid w:val="00C55A0B"/>
    <w:rsid w:val="00C6557E"/>
    <w:rsid w:val="00C66C34"/>
    <w:rsid w:val="00C70115"/>
    <w:rsid w:val="00C732E4"/>
    <w:rsid w:val="00C7560B"/>
    <w:rsid w:val="00C84C5D"/>
    <w:rsid w:val="00C8505A"/>
    <w:rsid w:val="00C869EA"/>
    <w:rsid w:val="00C8706A"/>
    <w:rsid w:val="00C87A1D"/>
    <w:rsid w:val="00C9346B"/>
    <w:rsid w:val="00CA308C"/>
    <w:rsid w:val="00CB48DB"/>
    <w:rsid w:val="00CD7BA1"/>
    <w:rsid w:val="00CE18D0"/>
    <w:rsid w:val="00CE1A23"/>
    <w:rsid w:val="00CE4A63"/>
    <w:rsid w:val="00CF2EDD"/>
    <w:rsid w:val="00D138BC"/>
    <w:rsid w:val="00D343F3"/>
    <w:rsid w:val="00D4241F"/>
    <w:rsid w:val="00D504D6"/>
    <w:rsid w:val="00D6523E"/>
    <w:rsid w:val="00D67C71"/>
    <w:rsid w:val="00D70381"/>
    <w:rsid w:val="00D709D9"/>
    <w:rsid w:val="00D746C3"/>
    <w:rsid w:val="00D75FA8"/>
    <w:rsid w:val="00D770A9"/>
    <w:rsid w:val="00D77E4F"/>
    <w:rsid w:val="00D85205"/>
    <w:rsid w:val="00D8632E"/>
    <w:rsid w:val="00D907A5"/>
    <w:rsid w:val="00D91B8D"/>
    <w:rsid w:val="00D97A80"/>
    <w:rsid w:val="00DA070C"/>
    <w:rsid w:val="00DA48C3"/>
    <w:rsid w:val="00DB1204"/>
    <w:rsid w:val="00DB1BA8"/>
    <w:rsid w:val="00DB27BB"/>
    <w:rsid w:val="00DC1C73"/>
    <w:rsid w:val="00DC79A5"/>
    <w:rsid w:val="00DD0BC3"/>
    <w:rsid w:val="00DD7973"/>
    <w:rsid w:val="00DD7F3D"/>
    <w:rsid w:val="00DE0EF1"/>
    <w:rsid w:val="00DE2C5B"/>
    <w:rsid w:val="00DE7016"/>
    <w:rsid w:val="00DE758B"/>
    <w:rsid w:val="00DF237E"/>
    <w:rsid w:val="00DF571D"/>
    <w:rsid w:val="00E0106B"/>
    <w:rsid w:val="00E0574C"/>
    <w:rsid w:val="00E060D0"/>
    <w:rsid w:val="00E07341"/>
    <w:rsid w:val="00E12B26"/>
    <w:rsid w:val="00E13B7C"/>
    <w:rsid w:val="00E142B8"/>
    <w:rsid w:val="00E20BA5"/>
    <w:rsid w:val="00E20F0E"/>
    <w:rsid w:val="00E232D7"/>
    <w:rsid w:val="00E31227"/>
    <w:rsid w:val="00E3124B"/>
    <w:rsid w:val="00E32204"/>
    <w:rsid w:val="00E3325C"/>
    <w:rsid w:val="00E36223"/>
    <w:rsid w:val="00E42234"/>
    <w:rsid w:val="00E46E58"/>
    <w:rsid w:val="00E52D76"/>
    <w:rsid w:val="00E561FD"/>
    <w:rsid w:val="00E56EA6"/>
    <w:rsid w:val="00E57F10"/>
    <w:rsid w:val="00E648CD"/>
    <w:rsid w:val="00E65D20"/>
    <w:rsid w:val="00E67D6B"/>
    <w:rsid w:val="00E778E4"/>
    <w:rsid w:val="00E77902"/>
    <w:rsid w:val="00E80696"/>
    <w:rsid w:val="00E844DA"/>
    <w:rsid w:val="00E86560"/>
    <w:rsid w:val="00E877BF"/>
    <w:rsid w:val="00E87EBA"/>
    <w:rsid w:val="00E93959"/>
    <w:rsid w:val="00E97B68"/>
    <w:rsid w:val="00EA1F91"/>
    <w:rsid w:val="00EA370E"/>
    <w:rsid w:val="00EA43F4"/>
    <w:rsid w:val="00EB776C"/>
    <w:rsid w:val="00EC38BA"/>
    <w:rsid w:val="00ED08F8"/>
    <w:rsid w:val="00ED1A2B"/>
    <w:rsid w:val="00ED455D"/>
    <w:rsid w:val="00ED4D01"/>
    <w:rsid w:val="00ED7549"/>
    <w:rsid w:val="00EE03A8"/>
    <w:rsid w:val="00EF6C9F"/>
    <w:rsid w:val="00F11BE0"/>
    <w:rsid w:val="00F12655"/>
    <w:rsid w:val="00F15A46"/>
    <w:rsid w:val="00F15B9D"/>
    <w:rsid w:val="00F2123E"/>
    <w:rsid w:val="00F22CEE"/>
    <w:rsid w:val="00F30AB1"/>
    <w:rsid w:val="00F4127D"/>
    <w:rsid w:val="00F44F50"/>
    <w:rsid w:val="00F550F3"/>
    <w:rsid w:val="00F567BF"/>
    <w:rsid w:val="00F63E17"/>
    <w:rsid w:val="00F660A1"/>
    <w:rsid w:val="00F6644F"/>
    <w:rsid w:val="00F675B5"/>
    <w:rsid w:val="00F70D72"/>
    <w:rsid w:val="00F81A50"/>
    <w:rsid w:val="00F85A54"/>
    <w:rsid w:val="00F90528"/>
    <w:rsid w:val="00F9074D"/>
    <w:rsid w:val="00F94EED"/>
    <w:rsid w:val="00F978A7"/>
    <w:rsid w:val="00FA0C63"/>
    <w:rsid w:val="00FA0EC7"/>
    <w:rsid w:val="00FA3A8D"/>
    <w:rsid w:val="00FA7F9E"/>
    <w:rsid w:val="00FB1692"/>
    <w:rsid w:val="00FB2328"/>
    <w:rsid w:val="00FB29A3"/>
    <w:rsid w:val="00FB3682"/>
    <w:rsid w:val="00FC162E"/>
    <w:rsid w:val="00FC685D"/>
    <w:rsid w:val="00FD2681"/>
    <w:rsid w:val="00FD26C1"/>
    <w:rsid w:val="00FD36CE"/>
    <w:rsid w:val="00FF4560"/>
    <w:rsid w:val="00FF479C"/>
    <w:rsid w:val="00FF49C4"/>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9BA3843"/>
  <w15:docId w15:val="{2AECA174-2CA6-43F4-8DC2-95F031EEB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52C6"/>
    <w:pPr>
      <w:suppressAutoHyphens/>
      <w:spacing w:after="200" w:line="276" w:lineRule="auto"/>
    </w:pPr>
    <w:rPr>
      <w:rFonts w:ascii="Calibri" w:eastAsia="Calibri" w:hAnsi="Calibri" w:cs="Times New Roman"/>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sume Title,List Paragraph1,Colorful List - Accent 11"/>
    <w:basedOn w:val="Normal"/>
    <w:link w:val="ListParagraphChar"/>
    <w:uiPriority w:val="34"/>
    <w:qFormat/>
    <w:rsid w:val="00F70D72"/>
    <w:pPr>
      <w:ind w:left="720"/>
      <w:contextualSpacing/>
    </w:pPr>
  </w:style>
  <w:style w:type="paragraph" w:styleId="BalloonText">
    <w:name w:val="Balloon Text"/>
    <w:basedOn w:val="Normal"/>
    <w:link w:val="BalloonTextChar"/>
    <w:uiPriority w:val="99"/>
    <w:semiHidden/>
    <w:unhideWhenUsed/>
    <w:rsid w:val="00DB1B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1BA8"/>
    <w:rPr>
      <w:rFonts w:ascii="Segoe UI" w:eastAsia="Calibri" w:hAnsi="Segoe UI" w:cs="Segoe UI"/>
      <w:sz w:val="18"/>
      <w:szCs w:val="18"/>
      <w:lang w:val="en-US" w:eastAsia="zh-CN"/>
    </w:rPr>
  </w:style>
  <w:style w:type="paragraph" w:styleId="Header">
    <w:name w:val="header"/>
    <w:basedOn w:val="Normal"/>
    <w:link w:val="HeaderChar"/>
    <w:uiPriority w:val="99"/>
    <w:unhideWhenUsed/>
    <w:rsid w:val="00B947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47E9"/>
    <w:rPr>
      <w:rFonts w:ascii="Calibri" w:eastAsia="Calibri" w:hAnsi="Calibri" w:cs="Times New Roman"/>
      <w:lang w:val="en-US" w:eastAsia="zh-CN"/>
    </w:rPr>
  </w:style>
  <w:style w:type="paragraph" w:styleId="Footer">
    <w:name w:val="footer"/>
    <w:basedOn w:val="Normal"/>
    <w:link w:val="FooterChar"/>
    <w:uiPriority w:val="99"/>
    <w:unhideWhenUsed/>
    <w:rsid w:val="00B947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47E9"/>
    <w:rPr>
      <w:rFonts w:ascii="Calibri" w:eastAsia="Calibri" w:hAnsi="Calibri" w:cs="Times New Roman"/>
      <w:lang w:val="en-US" w:eastAsia="zh-CN"/>
    </w:rPr>
  </w:style>
  <w:style w:type="character" w:customStyle="1" w:styleId="ListParagraphChar">
    <w:name w:val="List Paragraph Char"/>
    <w:aliases w:val="Resume Title Char,List Paragraph1 Char,Colorful List - Accent 11 Char"/>
    <w:link w:val="ListParagraph"/>
    <w:uiPriority w:val="34"/>
    <w:qFormat/>
    <w:rsid w:val="00B76F56"/>
    <w:rPr>
      <w:rFonts w:ascii="Calibri" w:eastAsia="Calibri" w:hAnsi="Calibri" w:cs="Times New Roman"/>
      <w:lang w:val="en-US" w:eastAsia="zh-CN"/>
    </w:rPr>
  </w:style>
  <w:style w:type="paragraph" w:customStyle="1" w:styleId="Default">
    <w:name w:val="Default"/>
    <w:rsid w:val="00B76F56"/>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9971BA"/>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unhideWhenUsed/>
    <w:rsid w:val="00D67C71"/>
    <w:pPr>
      <w:numPr>
        <w:numId w:val="6"/>
      </w:numPr>
      <w:contextualSpacing/>
    </w:pPr>
  </w:style>
  <w:style w:type="character" w:styleId="CommentReference">
    <w:name w:val="annotation reference"/>
    <w:basedOn w:val="DefaultParagraphFont"/>
    <w:uiPriority w:val="99"/>
    <w:semiHidden/>
    <w:unhideWhenUsed/>
    <w:rsid w:val="00BE5A1C"/>
    <w:rPr>
      <w:sz w:val="16"/>
      <w:szCs w:val="16"/>
    </w:rPr>
  </w:style>
  <w:style w:type="paragraph" w:styleId="CommentText">
    <w:name w:val="annotation text"/>
    <w:basedOn w:val="Normal"/>
    <w:link w:val="CommentTextChar"/>
    <w:uiPriority w:val="99"/>
    <w:semiHidden/>
    <w:unhideWhenUsed/>
    <w:rsid w:val="00BE5A1C"/>
    <w:pPr>
      <w:spacing w:line="240" w:lineRule="auto"/>
    </w:pPr>
    <w:rPr>
      <w:sz w:val="20"/>
      <w:szCs w:val="20"/>
    </w:rPr>
  </w:style>
  <w:style w:type="character" w:customStyle="1" w:styleId="CommentTextChar">
    <w:name w:val="Comment Text Char"/>
    <w:basedOn w:val="DefaultParagraphFont"/>
    <w:link w:val="CommentText"/>
    <w:uiPriority w:val="99"/>
    <w:semiHidden/>
    <w:rsid w:val="00BE5A1C"/>
    <w:rPr>
      <w:rFonts w:ascii="Calibri" w:eastAsia="Calibri" w:hAnsi="Calibri" w:cs="Times New Roman"/>
      <w:sz w:val="20"/>
      <w:szCs w:val="20"/>
      <w:lang w:val="en-US" w:eastAsia="zh-CN"/>
    </w:rPr>
  </w:style>
  <w:style w:type="paragraph" w:styleId="CommentSubject">
    <w:name w:val="annotation subject"/>
    <w:basedOn w:val="CommentText"/>
    <w:next w:val="CommentText"/>
    <w:link w:val="CommentSubjectChar"/>
    <w:uiPriority w:val="99"/>
    <w:semiHidden/>
    <w:unhideWhenUsed/>
    <w:rsid w:val="00BE5A1C"/>
    <w:rPr>
      <w:b/>
      <w:bCs/>
    </w:rPr>
  </w:style>
  <w:style w:type="character" w:customStyle="1" w:styleId="CommentSubjectChar">
    <w:name w:val="Comment Subject Char"/>
    <w:basedOn w:val="CommentTextChar"/>
    <w:link w:val="CommentSubject"/>
    <w:uiPriority w:val="99"/>
    <w:semiHidden/>
    <w:rsid w:val="00BE5A1C"/>
    <w:rPr>
      <w:rFonts w:ascii="Calibri" w:eastAsia="Calibri" w:hAnsi="Calibri" w:cs="Times New Roman"/>
      <w:b/>
      <w:bCs/>
      <w:sz w:val="20"/>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378371">
      <w:bodyDiv w:val="1"/>
      <w:marLeft w:val="0"/>
      <w:marRight w:val="0"/>
      <w:marTop w:val="0"/>
      <w:marBottom w:val="0"/>
      <w:divBdr>
        <w:top w:val="none" w:sz="0" w:space="0" w:color="auto"/>
        <w:left w:val="none" w:sz="0" w:space="0" w:color="auto"/>
        <w:bottom w:val="none" w:sz="0" w:space="0" w:color="auto"/>
        <w:right w:val="none" w:sz="0" w:space="0" w:color="auto"/>
      </w:divBdr>
    </w:div>
    <w:div w:id="101533503">
      <w:bodyDiv w:val="1"/>
      <w:marLeft w:val="0"/>
      <w:marRight w:val="0"/>
      <w:marTop w:val="0"/>
      <w:marBottom w:val="0"/>
      <w:divBdr>
        <w:top w:val="none" w:sz="0" w:space="0" w:color="auto"/>
        <w:left w:val="none" w:sz="0" w:space="0" w:color="auto"/>
        <w:bottom w:val="none" w:sz="0" w:space="0" w:color="auto"/>
        <w:right w:val="none" w:sz="0" w:space="0" w:color="auto"/>
      </w:divBdr>
    </w:div>
    <w:div w:id="152650182">
      <w:bodyDiv w:val="1"/>
      <w:marLeft w:val="0"/>
      <w:marRight w:val="0"/>
      <w:marTop w:val="0"/>
      <w:marBottom w:val="0"/>
      <w:divBdr>
        <w:top w:val="none" w:sz="0" w:space="0" w:color="auto"/>
        <w:left w:val="none" w:sz="0" w:space="0" w:color="auto"/>
        <w:bottom w:val="none" w:sz="0" w:space="0" w:color="auto"/>
        <w:right w:val="none" w:sz="0" w:space="0" w:color="auto"/>
      </w:divBdr>
    </w:div>
    <w:div w:id="222644418">
      <w:bodyDiv w:val="1"/>
      <w:marLeft w:val="0"/>
      <w:marRight w:val="0"/>
      <w:marTop w:val="0"/>
      <w:marBottom w:val="0"/>
      <w:divBdr>
        <w:top w:val="none" w:sz="0" w:space="0" w:color="auto"/>
        <w:left w:val="none" w:sz="0" w:space="0" w:color="auto"/>
        <w:bottom w:val="none" w:sz="0" w:space="0" w:color="auto"/>
        <w:right w:val="none" w:sz="0" w:space="0" w:color="auto"/>
      </w:divBdr>
    </w:div>
    <w:div w:id="265502081">
      <w:bodyDiv w:val="1"/>
      <w:marLeft w:val="0"/>
      <w:marRight w:val="0"/>
      <w:marTop w:val="0"/>
      <w:marBottom w:val="0"/>
      <w:divBdr>
        <w:top w:val="none" w:sz="0" w:space="0" w:color="auto"/>
        <w:left w:val="none" w:sz="0" w:space="0" w:color="auto"/>
        <w:bottom w:val="none" w:sz="0" w:space="0" w:color="auto"/>
        <w:right w:val="none" w:sz="0" w:space="0" w:color="auto"/>
      </w:divBdr>
    </w:div>
    <w:div w:id="303699302">
      <w:bodyDiv w:val="1"/>
      <w:marLeft w:val="0"/>
      <w:marRight w:val="0"/>
      <w:marTop w:val="0"/>
      <w:marBottom w:val="0"/>
      <w:divBdr>
        <w:top w:val="none" w:sz="0" w:space="0" w:color="auto"/>
        <w:left w:val="none" w:sz="0" w:space="0" w:color="auto"/>
        <w:bottom w:val="none" w:sz="0" w:space="0" w:color="auto"/>
        <w:right w:val="none" w:sz="0" w:space="0" w:color="auto"/>
      </w:divBdr>
    </w:div>
    <w:div w:id="353263381">
      <w:bodyDiv w:val="1"/>
      <w:marLeft w:val="0"/>
      <w:marRight w:val="0"/>
      <w:marTop w:val="0"/>
      <w:marBottom w:val="0"/>
      <w:divBdr>
        <w:top w:val="none" w:sz="0" w:space="0" w:color="auto"/>
        <w:left w:val="none" w:sz="0" w:space="0" w:color="auto"/>
        <w:bottom w:val="none" w:sz="0" w:space="0" w:color="auto"/>
        <w:right w:val="none" w:sz="0" w:space="0" w:color="auto"/>
      </w:divBdr>
    </w:div>
    <w:div w:id="378479595">
      <w:bodyDiv w:val="1"/>
      <w:marLeft w:val="0"/>
      <w:marRight w:val="0"/>
      <w:marTop w:val="0"/>
      <w:marBottom w:val="0"/>
      <w:divBdr>
        <w:top w:val="none" w:sz="0" w:space="0" w:color="auto"/>
        <w:left w:val="none" w:sz="0" w:space="0" w:color="auto"/>
        <w:bottom w:val="none" w:sz="0" w:space="0" w:color="auto"/>
        <w:right w:val="none" w:sz="0" w:space="0" w:color="auto"/>
      </w:divBdr>
    </w:div>
    <w:div w:id="399640751">
      <w:bodyDiv w:val="1"/>
      <w:marLeft w:val="0"/>
      <w:marRight w:val="0"/>
      <w:marTop w:val="0"/>
      <w:marBottom w:val="0"/>
      <w:divBdr>
        <w:top w:val="none" w:sz="0" w:space="0" w:color="auto"/>
        <w:left w:val="none" w:sz="0" w:space="0" w:color="auto"/>
        <w:bottom w:val="none" w:sz="0" w:space="0" w:color="auto"/>
        <w:right w:val="none" w:sz="0" w:space="0" w:color="auto"/>
      </w:divBdr>
    </w:div>
    <w:div w:id="509220504">
      <w:bodyDiv w:val="1"/>
      <w:marLeft w:val="0"/>
      <w:marRight w:val="0"/>
      <w:marTop w:val="0"/>
      <w:marBottom w:val="0"/>
      <w:divBdr>
        <w:top w:val="none" w:sz="0" w:space="0" w:color="auto"/>
        <w:left w:val="none" w:sz="0" w:space="0" w:color="auto"/>
        <w:bottom w:val="none" w:sz="0" w:space="0" w:color="auto"/>
        <w:right w:val="none" w:sz="0" w:space="0" w:color="auto"/>
      </w:divBdr>
    </w:div>
    <w:div w:id="569848404">
      <w:bodyDiv w:val="1"/>
      <w:marLeft w:val="0"/>
      <w:marRight w:val="0"/>
      <w:marTop w:val="0"/>
      <w:marBottom w:val="0"/>
      <w:divBdr>
        <w:top w:val="none" w:sz="0" w:space="0" w:color="auto"/>
        <w:left w:val="none" w:sz="0" w:space="0" w:color="auto"/>
        <w:bottom w:val="none" w:sz="0" w:space="0" w:color="auto"/>
        <w:right w:val="none" w:sz="0" w:space="0" w:color="auto"/>
      </w:divBdr>
    </w:div>
    <w:div w:id="577634839">
      <w:bodyDiv w:val="1"/>
      <w:marLeft w:val="0"/>
      <w:marRight w:val="0"/>
      <w:marTop w:val="0"/>
      <w:marBottom w:val="0"/>
      <w:divBdr>
        <w:top w:val="none" w:sz="0" w:space="0" w:color="auto"/>
        <w:left w:val="none" w:sz="0" w:space="0" w:color="auto"/>
        <w:bottom w:val="none" w:sz="0" w:space="0" w:color="auto"/>
        <w:right w:val="none" w:sz="0" w:space="0" w:color="auto"/>
      </w:divBdr>
    </w:div>
    <w:div w:id="586114845">
      <w:bodyDiv w:val="1"/>
      <w:marLeft w:val="0"/>
      <w:marRight w:val="0"/>
      <w:marTop w:val="0"/>
      <w:marBottom w:val="0"/>
      <w:divBdr>
        <w:top w:val="none" w:sz="0" w:space="0" w:color="auto"/>
        <w:left w:val="none" w:sz="0" w:space="0" w:color="auto"/>
        <w:bottom w:val="none" w:sz="0" w:space="0" w:color="auto"/>
        <w:right w:val="none" w:sz="0" w:space="0" w:color="auto"/>
      </w:divBdr>
    </w:div>
    <w:div w:id="720057975">
      <w:bodyDiv w:val="1"/>
      <w:marLeft w:val="0"/>
      <w:marRight w:val="0"/>
      <w:marTop w:val="0"/>
      <w:marBottom w:val="0"/>
      <w:divBdr>
        <w:top w:val="none" w:sz="0" w:space="0" w:color="auto"/>
        <w:left w:val="none" w:sz="0" w:space="0" w:color="auto"/>
        <w:bottom w:val="none" w:sz="0" w:space="0" w:color="auto"/>
        <w:right w:val="none" w:sz="0" w:space="0" w:color="auto"/>
      </w:divBdr>
    </w:div>
    <w:div w:id="721442542">
      <w:bodyDiv w:val="1"/>
      <w:marLeft w:val="0"/>
      <w:marRight w:val="0"/>
      <w:marTop w:val="0"/>
      <w:marBottom w:val="0"/>
      <w:divBdr>
        <w:top w:val="none" w:sz="0" w:space="0" w:color="auto"/>
        <w:left w:val="none" w:sz="0" w:space="0" w:color="auto"/>
        <w:bottom w:val="none" w:sz="0" w:space="0" w:color="auto"/>
        <w:right w:val="none" w:sz="0" w:space="0" w:color="auto"/>
      </w:divBdr>
    </w:div>
    <w:div w:id="759062915">
      <w:bodyDiv w:val="1"/>
      <w:marLeft w:val="0"/>
      <w:marRight w:val="0"/>
      <w:marTop w:val="0"/>
      <w:marBottom w:val="0"/>
      <w:divBdr>
        <w:top w:val="none" w:sz="0" w:space="0" w:color="auto"/>
        <w:left w:val="none" w:sz="0" w:space="0" w:color="auto"/>
        <w:bottom w:val="none" w:sz="0" w:space="0" w:color="auto"/>
        <w:right w:val="none" w:sz="0" w:space="0" w:color="auto"/>
      </w:divBdr>
    </w:div>
    <w:div w:id="787553824">
      <w:bodyDiv w:val="1"/>
      <w:marLeft w:val="0"/>
      <w:marRight w:val="0"/>
      <w:marTop w:val="0"/>
      <w:marBottom w:val="0"/>
      <w:divBdr>
        <w:top w:val="none" w:sz="0" w:space="0" w:color="auto"/>
        <w:left w:val="none" w:sz="0" w:space="0" w:color="auto"/>
        <w:bottom w:val="none" w:sz="0" w:space="0" w:color="auto"/>
        <w:right w:val="none" w:sz="0" w:space="0" w:color="auto"/>
      </w:divBdr>
    </w:div>
    <w:div w:id="881788238">
      <w:bodyDiv w:val="1"/>
      <w:marLeft w:val="0"/>
      <w:marRight w:val="0"/>
      <w:marTop w:val="0"/>
      <w:marBottom w:val="0"/>
      <w:divBdr>
        <w:top w:val="none" w:sz="0" w:space="0" w:color="auto"/>
        <w:left w:val="none" w:sz="0" w:space="0" w:color="auto"/>
        <w:bottom w:val="none" w:sz="0" w:space="0" w:color="auto"/>
        <w:right w:val="none" w:sz="0" w:space="0" w:color="auto"/>
      </w:divBdr>
    </w:div>
    <w:div w:id="1113596369">
      <w:bodyDiv w:val="1"/>
      <w:marLeft w:val="0"/>
      <w:marRight w:val="0"/>
      <w:marTop w:val="0"/>
      <w:marBottom w:val="0"/>
      <w:divBdr>
        <w:top w:val="none" w:sz="0" w:space="0" w:color="auto"/>
        <w:left w:val="none" w:sz="0" w:space="0" w:color="auto"/>
        <w:bottom w:val="none" w:sz="0" w:space="0" w:color="auto"/>
        <w:right w:val="none" w:sz="0" w:space="0" w:color="auto"/>
      </w:divBdr>
    </w:div>
    <w:div w:id="1163619313">
      <w:bodyDiv w:val="1"/>
      <w:marLeft w:val="0"/>
      <w:marRight w:val="0"/>
      <w:marTop w:val="0"/>
      <w:marBottom w:val="0"/>
      <w:divBdr>
        <w:top w:val="none" w:sz="0" w:space="0" w:color="auto"/>
        <w:left w:val="none" w:sz="0" w:space="0" w:color="auto"/>
        <w:bottom w:val="none" w:sz="0" w:space="0" w:color="auto"/>
        <w:right w:val="none" w:sz="0" w:space="0" w:color="auto"/>
      </w:divBdr>
    </w:div>
    <w:div w:id="1215459215">
      <w:bodyDiv w:val="1"/>
      <w:marLeft w:val="0"/>
      <w:marRight w:val="0"/>
      <w:marTop w:val="0"/>
      <w:marBottom w:val="0"/>
      <w:divBdr>
        <w:top w:val="none" w:sz="0" w:space="0" w:color="auto"/>
        <w:left w:val="none" w:sz="0" w:space="0" w:color="auto"/>
        <w:bottom w:val="none" w:sz="0" w:space="0" w:color="auto"/>
        <w:right w:val="none" w:sz="0" w:space="0" w:color="auto"/>
      </w:divBdr>
    </w:div>
    <w:div w:id="1247574406">
      <w:bodyDiv w:val="1"/>
      <w:marLeft w:val="0"/>
      <w:marRight w:val="0"/>
      <w:marTop w:val="0"/>
      <w:marBottom w:val="0"/>
      <w:divBdr>
        <w:top w:val="none" w:sz="0" w:space="0" w:color="auto"/>
        <w:left w:val="none" w:sz="0" w:space="0" w:color="auto"/>
        <w:bottom w:val="none" w:sz="0" w:space="0" w:color="auto"/>
        <w:right w:val="none" w:sz="0" w:space="0" w:color="auto"/>
      </w:divBdr>
    </w:div>
    <w:div w:id="1273126356">
      <w:bodyDiv w:val="1"/>
      <w:marLeft w:val="0"/>
      <w:marRight w:val="0"/>
      <w:marTop w:val="0"/>
      <w:marBottom w:val="0"/>
      <w:divBdr>
        <w:top w:val="none" w:sz="0" w:space="0" w:color="auto"/>
        <w:left w:val="none" w:sz="0" w:space="0" w:color="auto"/>
        <w:bottom w:val="none" w:sz="0" w:space="0" w:color="auto"/>
        <w:right w:val="none" w:sz="0" w:space="0" w:color="auto"/>
      </w:divBdr>
    </w:div>
    <w:div w:id="1443181417">
      <w:bodyDiv w:val="1"/>
      <w:marLeft w:val="0"/>
      <w:marRight w:val="0"/>
      <w:marTop w:val="0"/>
      <w:marBottom w:val="0"/>
      <w:divBdr>
        <w:top w:val="none" w:sz="0" w:space="0" w:color="auto"/>
        <w:left w:val="none" w:sz="0" w:space="0" w:color="auto"/>
        <w:bottom w:val="none" w:sz="0" w:space="0" w:color="auto"/>
        <w:right w:val="none" w:sz="0" w:space="0" w:color="auto"/>
      </w:divBdr>
    </w:div>
    <w:div w:id="1451363300">
      <w:bodyDiv w:val="1"/>
      <w:marLeft w:val="0"/>
      <w:marRight w:val="0"/>
      <w:marTop w:val="0"/>
      <w:marBottom w:val="0"/>
      <w:divBdr>
        <w:top w:val="none" w:sz="0" w:space="0" w:color="auto"/>
        <w:left w:val="none" w:sz="0" w:space="0" w:color="auto"/>
        <w:bottom w:val="none" w:sz="0" w:space="0" w:color="auto"/>
        <w:right w:val="none" w:sz="0" w:space="0" w:color="auto"/>
      </w:divBdr>
    </w:div>
    <w:div w:id="1496654166">
      <w:bodyDiv w:val="1"/>
      <w:marLeft w:val="0"/>
      <w:marRight w:val="0"/>
      <w:marTop w:val="0"/>
      <w:marBottom w:val="0"/>
      <w:divBdr>
        <w:top w:val="none" w:sz="0" w:space="0" w:color="auto"/>
        <w:left w:val="none" w:sz="0" w:space="0" w:color="auto"/>
        <w:bottom w:val="none" w:sz="0" w:space="0" w:color="auto"/>
        <w:right w:val="none" w:sz="0" w:space="0" w:color="auto"/>
      </w:divBdr>
    </w:div>
    <w:div w:id="1560824505">
      <w:bodyDiv w:val="1"/>
      <w:marLeft w:val="0"/>
      <w:marRight w:val="0"/>
      <w:marTop w:val="0"/>
      <w:marBottom w:val="0"/>
      <w:divBdr>
        <w:top w:val="none" w:sz="0" w:space="0" w:color="auto"/>
        <w:left w:val="none" w:sz="0" w:space="0" w:color="auto"/>
        <w:bottom w:val="none" w:sz="0" w:space="0" w:color="auto"/>
        <w:right w:val="none" w:sz="0" w:space="0" w:color="auto"/>
      </w:divBdr>
    </w:div>
    <w:div w:id="1600597415">
      <w:bodyDiv w:val="1"/>
      <w:marLeft w:val="0"/>
      <w:marRight w:val="0"/>
      <w:marTop w:val="0"/>
      <w:marBottom w:val="0"/>
      <w:divBdr>
        <w:top w:val="none" w:sz="0" w:space="0" w:color="auto"/>
        <w:left w:val="none" w:sz="0" w:space="0" w:color="auto"/>
        <w:bottom w:val="none" w:sz="0" w:space="0" w:color="auto"/>
        <w:right w:val="none" w:sz="0" w:space="0" w:color="auto"/>
      </w:divBdr>
    </w:div>
    <w:div w:id="1656299892">
      <w:bodyDiv w:val="1"/>
      <w:marLeft w:val="0"/>
      <w:marRight w:val="0"/>
      <w:marTop w:val="0"/>
      <w:marBottom w:val="0"/>
      <w:divBdr>
        <w:top w:val="none" w:sz="0" w:space="0" w:color="auto"/>
        <w:left w:val="none" w:sz="0" w:space="0" w:color="auto"/>
        <w:bottom w:val="none" w:sz="0" w:space="0" w:color="auto"/>
        <w:right w:val="none" w:sz="0" w:space="0" w:color="auto"/>
      </w:divBdr>
    </w:div>
    <w:div w:id="1659377742">
      <w:bodyDiv w:val="1"/>
      <w:marLeft w:val="0"/>
      <w:marRight w:val="0"/>
      <w:marTop w:val="0"/>
      <w:marBottom w:val="0"/>
      <w:divBdr>
        <w:top w:val="none" w:sz="0" w:space="0" w:color="auto"/>
        <w:left w:val="none" w:sz="0" w:space="0" w:color="auto"/>
        <w:bottom w:val="none" w:sz="0" w:space="0" w:color="auto"/>
        <w:right w:val="none" w:sz="0" w:space="0" w:color="auto"/>
      </w:divBdr>
    </w:div>
    <w:div w:id="1756048991">
      <w:bodyDiv w:val="1"/>
      <w:marLeft w:val="0"/>
      <w:marRight w:val="0"/>
      <w:marTop w:val="0"/>
      <w:marBottom w:val="0"/>
      <w:divBdr>
        <w:top w:val="none" w:sz="0" w:space="0" w:color="auto"/>
        <w:left w:val="none" w:sz="0" w:space="0" w:color="auto"/>
        <w:bottom w:val="none" w:sz="0" w:space="0" w:color="auto"/>
        <w:right w:val="none" w:sz="0" w:space="0" w:color="auto"/>
      </w:divBdr>
    </w:div>
    <w:div w:id="1782414274">
      <w:bodyDiv w:val="1"/>
      <w:marLeft w:val="0"/>
      <w:marRight w:val="0"/>
      <w:marTop w:val="0"/>
      <w:marBottom w:val="0"/>
      <w:divBdr>
        <w:top w:val="none" w:sz="0" w:space="0" w:color="auto"/>
        <w:left w:val="none" w:sz="0" w:space="0" w:color="auto"/>
        <w:bottom w:val="none" w:sz="0" w:space="0" w:color="auto"/>
        <w:right w:val="none" w:sz="0" w:space="0" w:color="auto"/>
      </w:divBdr>
    </w:div>
    <w:div w:id="1788040013">
      <w:bodyDiv w:val="1"/>
      <w:marLeft w:val="0"/>
      <w:marRight w:val="0"/>
      <w:marTop w:val="0"/>
      <w:marBottom w:val="0"/>
      <w:divBdr>
        <w:top w:val="none" w:sz="0" w:space="0" w:color="auto"/>
        <w:left w:val="none" w:sz="0" w:space="0" w:color="auto"/>
        <w:bottom w:val="none" w:sz="0" w:space="0" w:color="auto"/>
        <w:right w:val="none" w:sz="0" w:space="0" w:color="auto"/>
      </w:divBdr>
    </w:div>
    <w:div w:id="1886873181">
      <w:bodyDiv w:val="1"/>
      <w:marLeft w:val="0"/>
      <w:marRight w:val="0"/>
      <w:marTop w:val="0"/>
      <w:marBottom w:val="0"/>
      <w:divBdr>
        <w:top w:val="none" w:sz="0" w:space="0" w:color="auto"/>
        <w:left w:val="none" w:sz="0" w:space="0" w:color="auto"/>
        <w:bottom w:val="none" w:sz="0" w:space="0" w:color="auto"/>
        <w:right w:val="none" w:sz="0" w:space="0" w:color="auto"/>
      </w:divBdr>
    </w:div>
    <w:div w:id="1902515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96D538-D81C-486C-80CA-86259755A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3770</Words>
  <Characters>21491</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Status of Implementation of Prior Year's Audit Recommendations</vt:lpstr>
    </vt:vector>
  </TitlesOfParts>
  <Company/>
  <LinksUpToDate>false</LinksUpToDate>
  <CharactersWithSpaces>25211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Status of Implementation of Prior Year's Audit Recommendations</dc:title>
  <dc:creator>COA - Philippine Charity Sweepstakes Office</dc:creator>
  <cp:lastModifiedBy>Jayson L. Gabat</cp:lastModifiedBy>
  <cp:revision>4</cp:revision>
  <cp:lastPrinted>2024-09-04T10:20:00Z</cp:lastPrinted>
  <dcterms:created xsi:type="dcterms:W3CDTF">2024-09-11T13:55:00Z</dcterms:created>
  <dcterms:modified xsi:type="dcterms:W3CDTF">2024-11-28T03:15:00Z</dcterms:modified>
</cp:coreProperties>
</file>