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NoSpacing"/>
        <w:jc w:val="center"/>
        <w:rPr>
          <w:rFonts w:ascii="Arial" w:hAnsi="Arial" w:cs="Arial"/>
          <w:b/>
        </w:rPr>
      </w:pPr>
      <w:bookmarkStart w:id="0" w:name="_GoBack"/>
      <w:bookmarkEnd w:id="0"/>
    </w:p>
    <w:p>
      <w:pPr>
        <w:pStyle w:val="NoSpacing"/>
        <w:jc w:val="center"/>
        <w:rPr>
          <w:rFonts w:ascii="Arial" w:hAnsi="Arial" w:cs="Arial"/>
          <w:b/>
        </w:rPr>
      </w:pPr>
    </w:p>
    <w:p>
      <w:pPr>
        <w:pStyle w:val="NoSpacing"/>
        <w:jc w:val="center"/>
        <w:rPr>
          <w:rFonts w:ascii="Arial" w:hAnsi="Arial" w:cs="Arial"/>
          <w:b/>
        </w:rPr>
      </w:pPr>
    </w:p>
    <w:p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TABLE OF CONTENTS</w:t>
      </w:r>
    </w:p>
    <w:p>
      <w:pPr>
        <w:jc w:val="center"/>
        <w:rPr>
          <w:rFonts w:ascii="Arial" w:hAnsi="Arial" w:cs="Arial"/>
          <w:sz w:val="22"/>
          <w:szCs w:val="22"/>
          <w:lang w:eastAsia="ja-JP"/>
        </w:rPr>
      </w:pPr>
    </w:p>
    <w:p>
      <w:pPr>
        <w:rPr>
          <w:rFonts w:ascii="Arial" w:hAnsi="Arial" w:cs="Arial"/>
          <w:sz w:val="22"/>
          <w:szCs w:val="22"/>
          <w:lang w:eastAsia="ja-JP"/>
        </w:rPr>
      </w:pPr>
      <w:r>
        <w:rPr>
          <w:rFonts w:ascii="Arial" w:hAnsi="Arial" w:cs="Arial"/>
          <w:sz w:val="22"/>
          <w:szCs w:val="22"/>
          <w:lang w:eastAsia="ja-JP"/>
        </w:rPr>
        <w:tab/>
      </w:r>
    </w:p>
    <w:tbl>
      <w:tblPr>
        <w:tblW w:w="9427" w:type="dxa"/>
        <w:tblInd w:w="-252" w:type="dxa"/>
        <w:tblLook w:val="04A0" w:firstRow="1" w:lastRow="0" w:firstColumn="1" w:lastColumn="0" w:noHBand="0" w:noVBand="1"/>
      </w:tblPr>
      <w:tblGrid>
        <w:gridCol w:w="1638"/>
        <w:gridCol w:w="6930"/>
        <w:gridCol w:w="859"/>
      </w:tblGrid>
      <w:tr>
        <w:trPr>
          <w:trHeight w:val="432"/>
        </w:trPr>
        <w:tc>
          <w:tcPr>
            <w:tcW w:w="1638" w:type="dxa"/>
            <w:vAlign w:val="center"/>
          </w:tcPr>
          <w:p>
            <w:pPr>
              <w:pStyle w:val="NoSpacing"/>
              <w:jc w:val="both"/>
              <w:rPr>
                <w:rFonts w:ascii="Arial" w:hAnsi="Arial" w:cs="Arial"/>
                <w:b/>
                <w:lang w:val="en-US" w:eastAsia="ja-JP"/>
              </w:rPr>
            </w:pPr>
            <w:r>
              <w:rPr>
                <w:rFonts w:ascii="Arial" w:hAnsi="Arial" w:cs="Arial"/>
                <w:b/>
              </w:rPr>
              <w:t>PART I         -</w:t>
            </w: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  <w:b/>
                <w:lang w:val="en-US" w:eastAsia="ja-JP"/>
              </w:rPr>
            </w:pPr>
            <w:r>
              <w:rPr>
                <w:rFonts w:ascii="Arial" w:hAnsi="Arial" w:cs="Arial"/>
                <w:b/>
              </w:rPr>
              <w:t>AUDITED FINANCIAL STATEMENTS</w:t>
            </w:r>
          </w:p>
        </w:tc>
        <w:tc>
          <w:tcPr>
            <w:tcW w:w="859" w:type="dxa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b/>
                <w:lang w:val="en-US" w:eastAsia="ja-JP"/>
              </w:rPr>
            </w:pPr>
          </w:p>
          <w:p>
            <w:pPr>
              <w:pStyle w:val="NoSpacing"/>
              <w:jc w:val="center"/>
              <w:rPr>
                <w:rFonts w:ascii="Arial" w:hAnsi="Arial" w:cs="Arial"/>
                <w:b/>
                <w:lang w:val="en-US" w:eastAsia="ja-JP"/>
              </w:rPr>
            </w:pPr>
            <w:r>
              <w:rPr>
                <w:rFonts w:ascii="Arial" w:hAnsi="Arial" w:cs="Arial"/>
                <w:b/>
                <w:lang w:val="en-US" w:eastAsia="ja-JP"/>
              </w:rPr>
              <w:t>Page</w:t>
            </w:r>
          </w:p>
          <w:p>
            <w:pPr>
              <w:pStyle w:val="NoSpacing"/>
              <w:jc w:val="center"/>
              <w:rPr>
                <w:rFonts w:ascii="Arial" w:hAnsi="Arial" w:cs="Arial"/>
                <w:b/>
                <w:lang w:val="en-US" w:eastAsia="ja-JP"/>
              </w:rPr>
            </w:pPr>
          </w:p>
        </w:tc>
      </w:tr>
      <w:tr>
        <w:trPr>
          <w:trHeight w:val="432"/>
        </w:trPr>
        <w:tc>
          <w:tcPr>
            <w:tcW w:w="1638" w:type="dxa"/>
            <w:vAlign w:val="center"/>
          </w:tcPr>
          <w:p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  <w:lang w:val="en-US" w:eastAsia="ja-JP"/>
              </w:rPr>
            </w:pPr>
            <w:r>
              <w:rPr>
                <w:rFonts w:ascii="Arial" w:hAnsi="Arial" w:cs="Arial"/>
                <w:lang w:val="en-US" w:eastAsia="ja-JP"/>
              </w:rPr>
              <w:t xml:space="preserve">Independent Auditor’s Report 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</w:t>
            </w:r>
          </w:p>
        </w:tc>
      </w:tr>
      <w:tr>
        <w:trPr>
          <w:trHeight w:val="432"/>
        </w:trPr>
        <w:tc>
          <w:tcPr>
            <w:tcW w:w="1638" w:type="dxa"/>
            <w:vAlign w:val="center"/>
          </w:tcPr>
          <w:p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Statement of Management's Responsibility for Financial  Statements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5</w:t>
            </w:r>
          </w:p>
        </w:tc>
      </w:tr>
      <w:tr>
        <w:trPr>
          <w:trHeight w:val="432"/>
        </w:trPr>
        <w:tc>
          <w:tcPr>
            <w:tcW w:w="1638" w:type="dxa"/>
            <w:vAlign w:val="center"/>
          </w:tcPr>
          <w:p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Statements of Financial Position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6</w:t>
            </w:r>
          </w:p>
        </w:tc>
      </w:tr>
      <w:tr>
        <w:trPr>
          <w:trHeight w:val="432"/>
        </w:trPr>
        <w:tc>
          <w:tcPr>
            <w:tcW w:w="1638" w:type="dxa"/>
            <w:vAlign w:val="center"/>
          </w:tcPr>
          <w:p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Statements of Comprehensive Income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7</w:t>
            </w:r>
          </w:p>
        </w:tc>
      </w:tr>
      <w:tr>
        <w:trPr>
          <w:trHeight w:val="432"/>
        </w:trPr>
        <w:tc>
          <w:tcPr>
            <w:tcW w:w="1638" w:type="dxa"/>
            <w:vAlign w:val="center"/>
          </w:tcPr>
          <w:p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Statements of Changes in Equity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8</w:t>
            </w:r>
          </w:p>
        </w:tc>
      </w:tr>
      <w:tr>
        <w:trPr>
          <w:trHeight w:val="432"/>
        </w:trPr>
        <w:tc>
          <w:tcPr>
            <w:tcW w:w="1638" w:type="dxa"/>
            <w:vAlign w:val="center"/>
          </w:tcPr>
          <w:p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Statements of Cash Flows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9</w:t>
            </w:r>
          </w:p>
        </w:tc>
      </w:tr>
      <w:tr>
        <w:trPr>
          <w:trHeight w:val="432"/>
        </w:trPr>
        <w:tc>
          <w:tcPr>
            <w:tcW w:w="1638" w:type="dxa"/>
            <w:vAlign w:val="center"/>
          </w:tcPr>
          <w:p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Notes to Financial Statements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10</w:t>
            </w:r>
          </w:p>
        </w:tc>
      </w:tr>
      <w:tr>
        <w:trPr>
          <w:trHeight w:val="531"/>
        </w:trPr>
        <w:tc>
          <w:tcPr>
            <w:tcW w:w="1638" w:type="dxa"/>
            <w:vAlign w:val="center"/>
          </w:tcPr>
          <w:p>
            <w:pPr>
              <w:pStyle w:val="NoSpacing"/>
              <w:rPr>
                <w:rFonts w:ascii="Arial" w:hAnsi="Arial" w:cs="Arial"/>
                <w:b/>
                <w:lang w:val="en-US" w:eastAsia="ja-JP"/>
              </w:rPr>
            </w:pPr>
            <w:r>
              <w:rPr>
                <w:rFonts w:ascii="Arial" w:hAnsi="Arial" w:cs="Arial"/>
                <w:b/>
              </w:rPr>
              <w:t>PART II        -</w:t>
            </w: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OBSERVATIONS AND RECOMMENDATIONS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70C0"/>
                <w:lang w:val="en-US" w:eastAsia="ja-JP"/>
              </w:rPr>
            </w:pPr>
          </w:p>
        </w:tc>
      </w:tr>
      <w:tr>
        <w:trPr>
          <w:trHeight w:val="432"/>
        </w:trPr>
        <w:tc>
          <w:tcPr>
            <w:tcW w:w="1638" w:type="dxa"/>
            <w:vAlign w:val="center"/>
          </w:tcPr>
          <w:p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 xml:space="preserve">A  -  </w:t>
            </w:r>
            <w:r>
              <w:rPr>
                <w:rFonts w:ascii="Arial" w:hAnsi="Arial" w:cs="Arial"/>
                <w:b/>
                <w:bCs/>
              </w:rPr>
              <w:t>FINANCIAL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highlight w:val="yellow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92</w:t>
            </w:r>
          </w:p>
        </w:tc>
      </w:tr>
      <w:tr>
        <w:trPr>
          <w:trHeight w:val="576"/>
        </w:trPr>
        <w:tc>
          <w:tcPr>
            <w:tcW w:w="1638" w:type="dxa"/>
            <w:vAlign w:val="center"/>
          </w:tcPr>
          <w:p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6930" w:type="dxa"/>
            <w:vAlign w:val="center"/>
          </w:tcPr>
          <w:p>
            <w:pPr>
              <w:pStyle w:val="NoSpacing"/>
              <w:ind w:hanging="1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  -  NON-FINANCIAL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137</w:t>
            </w:r>
          </w:p>
        </w:tc>
      </w:tr>
      <w:tr>
        <w:trPr>
          <w:trHeight w:val="576"/>
        </w:trPr>
        <w:tc>
          <w:tcPr>
            <w:tcW w:w="1638" w:type="dxa"/>
            <w:vAlign w:val="center"/>
          </w:tcPr>
          <w:p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</w:p>
        </w:tc>
      </w:tr>
      <w:tr>
        <w:trPr>
          <w:trHeight w:val="738"/>
        </w:trPr>
        <w:tc>
          <w:tcPr>
            <w:tcW w:w="1638" w:type="dxa"/>
          </w:tcPr>
          <w:p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PART  III       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930" w:type="dxa"/>
          </w:tcPr>
          <w:p>
            <w:pPr>
              <w:pStyle w:val="NoSpacing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STATUS OF IMPLEMENTATION OF PRIOR YEAR’S AUDIT RECOMMENDATIONS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171</w:t>
            </w:r>
          </w:p>
        </w:tc>
      </w:tr>
      <w:tr>
        <w:trPr>
          <w:trHeight w:val="440"/>
        </w:trPr>
        <w:tc>
          <w:tcPr>
            <w:tcW w:w="1638" w:type="dxa"/>
            <w:vAlign w:val="center"/>
          </w:tcPr>
          <w:p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PART IV       -</w:t>
            </w: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ANNEX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70C0"/>
                <w:highlight w:val="yellow"/>
                <w:lang w:val="en-US" w:eastAsia="ja-JP"/>
              </w:rPr>
            </w:pPr>
          </w:p>
        </w:tc>
      </w:tr>
      <w:tr>
        <w:trPr>
          <w:trHeight w:val="440"/>
        </w:trPr>
        <w:tc>
          <w:tcPr>
            <w:tcW w:w="1638" w:type="dxa"/>
            <w:vAlign w:val="center"/>
          </w:tcPr>
          <w:p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930" w:type="dxa"/>
            <w:vAlign w:val="center"/>
          </w:tcPr>
          <w:p>
            <w:pPr>
              <w:pStyle w:val="NoSpacing"/>
              <w:ind w:left="492" w:hanging="49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 –  Details and Status of Unsettled Audit Suspensions and Disallowances as of December 31, 2021</w:t>
            </w:r>
          </w:p>
          <w:p>
            <w:pPr>
              <w:pStyle w:val="NoSpacing"/>
              <w:ind w:left="324"/>
              <w:rPr>
                <w:rFonts w:ascii="Arial" w:hAnsi="Arial" w:cs="Arial"/>
                <w:bCs/>
              </w:rPr>
            </w:pPr>
          </w:p>
        </w:tc>
        <w:tc>
          <w:tcPr>
            <w:tcW w:w="859" w:type="dxa"/>
            <w:shd w:val="clear" w:color="auto" w:fill="auto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highlight w:val="yellow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181</w:t>
            </w:r>
          </w:p>
        </w:tc>
      </w:tr>
    </w:tbl>
    <w:p/>
    <w:sectPr>
      <w:footerReference w:type="default" r:id="rId6"/>
      <w:pgSz w:w="12240" w:h="15840" w:code="1"/>
      <w:pgMar w:top="1440" w:right="1440" w:bottom="1440" w:left="1440" w:header="720" w:footer="720" w:gutter="72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  <w:framePr w:wrap="auto" w:vAnchor="text" w:hAnchor="margin" w:xAlign="center" w:y="1"/>
      <w:rPr>
        <w:rStyle w:val="PageNumber"/>
      </w:rPr>
    </w:pPr>
  </w:p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8+Np2SiX6/nGVBVrY2Q0FUpHjb+mPf5kHdNH7RChEuLipj7uc4fuObvRIqeeppkKpkpENuoxYJzQfloLOK84Kg==" w:salt="beLIy/NgPg5dJLwxltpZ/A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E7891FA-C3E3-4548-A70D-9FF39593A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Times New Roman" w:eastAsia="Times New Roman" w:hAnsi="Times New Roman" w:cs="Times New Roman"/>
      <w:b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semiHidden/>
  </w:style>
  <w:style w:type="paragraph" w:styleId="NoSpacing">
    <w:name w:val="No Spacing"/>
    <w:uiPriority w:val="1"/>
    <w:qFormat/>
    <w:rPr>
      <w:rFonts w:eastAsia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subject/>
  <dc:creator>COA - Philippine Charity Sweepstakes Office</dc:creator>
  <cp:keywords/>
  <cp:lastModifiedBy>Ben A. Lazo, Jr.</cp:lastModifiedBy>
  <cp:revision>8</cp:revision>
  <cp:lastPrinted>2022-07-18T03:04:00Z</cp:lastPrinted>
  <dcterms:created xsi:type="dcterms:W3CDTF">2022-06-15T12:08:00Z</dcterms:created>
  <dcterms:modified xsi:type="dcterms:W3CDTF">2022-07-21T01:32:00Z</dcterms:modified>
</cp:coreProperties>
</file>