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0" w:line="240" w:lineRule="auto"/>
        <w:jc w:val="center"/>
        <w:rPr>
          <w:rFonts w:ascii="Arial" w:hAnsi="Arial" w:cs="Arial"/>
          <w:b/>
        </w:rPr>
      </w:pPr>
      <w:bookmarkStart w:id="0" w:name="_GoBack"/>
      <w:bookmarkEnd w:id="0"/>
      <w:r>
        <w:rPr>
          <w:rFonts w:ascii="Arial" w:hAnsi="Arial" w:cs="Arial"/>
          <w:b/>
        </w:rPr>
        <w:t xml:space="preserve">PART III - STATUS OF IMPLEMENTATION OF PRIOR YEAR’S </w:t>
      </w:r>
    </w:p>
    <w:p>
      <w:pPr>
        <w:spacing w:after="0" w:line="240" w:lineRule="auto"/>
        <w:jc w:val="center"/>
        <w:rPr>
          <w:rFonts w:ascii="Arial" w:hAnsi="Arial" w:cs="Arial"/>
          <w:b/>
        </w:rPr>
      </w:pPr>
      <w:r>
        <w:rPr>
          <w:rFonts w:ascii="Arial" w:hAnsi="Arial" w:cs="Arial"/>
          <w:b/>
        </w:rPr>
        <w:t>AUDIT RECOMMENDATIONS</w:t>
      </w:r>
    </w:p>
    <w:p>
      <w:pPr>
        <w:spacing w:after="0" w:line="240" w:lineRule="auto"/>
        <w:jc w:val="both"/>
        <w:rPr>
          <w:rFonts w:ascii="Arial" w:hAnsi="Arial" w:cs="Arial"/>
          <w:b/>
        </w:rPr>
      </w:pPr>
    </w:p>
    <w:p>
      <w:pPr>
        <w:spacing w:after="0" w:line="240" w:lineRule="auto"/>
        <w:ind w:right="-421"/>
        <w:jc w:val="both"/>
        <w:rPr>
          <w:rFonts w:ascii="Arial" w:hAnsi="Arial" w:cs="Arial"/>
        </w:rPr>
      </w:pPr>
      <w:r>
        <w:rPr>
          <w:rFonts w:ascii="Arial" w:hAnsi="Arial" w:cs="Arial"/>
        </w:rPr>
        <w:t>Out of the 29 audit recommendations embodied in the previous year’s Annual Audit Report (AAR), seven (7) were fully implemented, 21 were partially implemented and one (1) was not implemented. Details as follows:</w:t>
      </w:r>
    </w:p>
    <w:p>
      <w:pPr>
        <w:spacing w:after="0" w:line="240" w:lineRule="auto"/>
        <w:jc w:val="both"/>
        <w:rPr>
          <w:rFonts w:ascii="Arial" w:hAnsi="Arial" w:cs="Arial"/>
        </w:rPr>
      </w:pPr>
    </w:p>
    <w:tbl>
      <w:tblPr>
        <w:tblW w:w="9704" w:type="dxa"/>
        <w:tblInd w:w="108" w:type="dxa"/>
        <w:tblLayout w:type="fixed"/>
        <w:tblLook w:val="04A0" w:firstRow="1" w:lastRow="0" w:firstColumn="1" w:lastColumn="0" w:noHBand="0" w:noVBand="1"/>
      </w:tblPr>
      <w:tblGrid>
        <w:gridCol w:w="1513"/>
        <w:gridCol w:w="2740"/>
        <w:gridCol w:w="3060"/>
        <w:gridCol w:w="2391"/>
      </w:tblGrid>
      <w:tr>
        <w:trPr>
          <w:trHeight w:val="300"/>
          <w:tblHeader/>
        </w:trPr>
        <w:tc>
          <w:tcPr>
            <w:tcW w:w="1513" w:type="dxa"/>
            <w:tcBorders>
              <w:top w:val="single" w:sz="4" w:space="0" w:color="auto"/>
              <w:bottom w:val="single" w:sz="4" w:space="0" w:color="auto"/>
            </w:tcBorders>
            <w:shd w:val="clear" w:color="auto" w:fill="auto"/>
            <w:noWrap/>
            <w:vAlign w:val="bottom"/>
            <w:hideMark/>
          </w:tcPr>
          <w:p>
            <w:pPr>
              <w:suppressAutoHyphens w:val="0"/>
              <w:spacing w:after="0" w:line="240" w:lineRule="auto"/>
              <w:ind w:right="-41" w:hanging="108"/>
              <w:jc w:val="center"/>
              <w:rPr>
                <w:rFonts w:ascii="Arial" w:eastAsia="Times New Roman" w:hAnsi="Arial" w:cs="Arial"/>
                <w:b/>
                <w:bCs/>
                <w:lang w:eastAsia="en-US"/>
              </w:rPr>
            </w:pPr>
            <w:r>
              <w:rPr>
                <w:rFonts w:ascii="Arial" w:hAnsi="Arial" w:cs="Arial"/>
                <w:b/>
                <w:bCs/>
              </w:rPr>
              <w:t>REFERENCE</w:t>
            </w:r>
          </w:p>
        </w:tc>
        <w:tc>
          <w:tcPr>
            <w:tcW w:w="2740" w:type="dxa"/>
            <w:tcBorders>
              <w:top w:val="single" w:sz="4" w:space="0" w:color="auto"/>
              <w:bottom w:val="single" w:sz="4" w:space="0" w:color="auto"/>
            </w:tcBorders>
            <w:shd w:val="clear" w:color="auto" w:fill="auto"/>
            <w:vAlign w:val="bottom"/>
          </w:tcPr>
          <w:p>
            <w:pPr>
              <w:suppressAutoHyphens w:val="0"/>
              <w:spacing w:after="0" w:line="240" w:lineRule="auto"/>
              <w:ind w:right="-288"/>
              <w:jc w:val="center"/>
              <w:rPr>
                <w:rFonts w:ascii="Arial" w:eastAsia="Times New Roman" w:hAnsi="Arial" w:cs="Arial"/>
                <w:b/>
                <w:bCs/>
                <w:lang w:eastAsia="en-US"/>
              </w:rPr>
            </w:pPr>
            <w:r>
              <w:rPr>
                <w:rFonts w:ascii="Arial" w:hAnsi="Arial" w:cs="Arial"/>
                <w:b/>
                <w:bCs/>
              </w:rPr>
              <w:t>OBSERVATIONS</w:t>
            </w:r>
          </w:p>
        </w:tc>
        <w:tc>
          <w:tcPr>
            <w:tcW w:w="3060" w:type="dxa"/>
            <w:tcBorders>
              <w:top w:val="single" w:sz="4" w:space="0" w:color="auto"/>
              <w:bottom w:val="single" w:sz="4" w:space="0" w:color="auto"/>
            </w:tcBorders>
            <w:shd w:val="clear" w:color="auto" w:fill="auto"/>
            <w:vAlign w:val="bottom"/>
          </w:tcPr>
          <w:p>
            <w:pPr>
              <w:suppressAutoHyphens w:val="0"/>
              <w:spacing w:after="0" w:line="240" w:lineRule="auto"/>
              <w:jc w:val="center"/>
              <w:rPr>
                <w:rFonts w:ascii="Arial" w:eastAsia="Times New Roman" w:hAnsi="Arial" w:cs="Arial"/>
                <w:b/>
                <w:bCs/>
                <w:lang w:eastAsia="en-US"/>
              </w:rPr>
            </w:pPr>
            <w:r>
              <w:rPr>
                <w:rFonts w:ascii="Arial" w:hAnsi="Arial" w:cs="Arial"/>
                <w:b/>
                <w:bCs/>
              </w:rPr>
              <w:t>RECOMMENDATIONS</w:t>
            </w:r>
          </w:p>
        </w:tc>
        <w:tc>
          <w:tcPr>
            <w:tcW w:w="2391" w:type="dxa"/>
            <w:tcBorders>
              <w:top w:val="single" w:sz="4" w:space="0" w:color="auto"/>
              <w:bottom w:val="single" w:sz="4" w:space="0" w:color="auto"/>
            </w:tcBorders>
            <w:shd w:val="clear" w:color="auto" w:fill="auto"/>
            <w:vAlign w:val="bottom"/>
          </w:tcPr>
          <w:p>
            <w:pPr>
              <w:suppressAutoHyphens w:val="0"/>
              <w:spacing w:after="0" w:line="240" w:lineRule="auto"/>
              <w:jc w:val="center"/>
              <w:rPr>
                <w:rFonts w:ascii="Arial" w:eastAsia="Times New Roman" w:hAnsi="Arial" w:cs="Arial"/>
                <w:b/>
                <w:bCs/>
                <w:lang w:eastAsia="en-US"/>
              </w:rPr>
            </w:pPr>
            <w:r>
              <w:rPr>
                <w:rFonts w:ascii="Arial" w:hAnsi="Arial" w:cs="Arial"/>
                <w:b/>
                <w:bCs/>
              </w:rPr>
              <w:t>ACTION TAKEN/ COMMENTS</w:t>
            </w:r>
          </w:p>
        </w:tc>
      </w:tr>
      <w:tr>
        <w:trPr>
          <w:trHeight w:val="300"/>
        </w:trPr>
        <w:tc>
          <w:tcPr>
            <w:tcW w:w="9704" w:type="dxa"/>
            <w:gridSpan w:val="4"/>
            <w:tcBorders>
              <w:top w:val="single" w:sz="4" w:space="0" w:color="auto"/>
            </w:tcBorders>
            <w:shd w:val="clear" w:color="auto" w:fill="auto"/>
            <w:noWrap/>
          </w:tcPr>
          <w:p>
            <w:pPr>
              <w:suppressAutoHyphens w:val="0"/>
              <w:spacing w:after="0" w:line="240" w:lineRule="auto"/>
              <w:ind w:left="-79"/>
              <w:jc w:val="both"/>
              <w:rPr>
                <w:rFonts w:ascii="Arial" w:hAnsi="Arial" w:cs="Arial"/>
                <w:b/>
                <w:u w:val="single"/>
              </w:rPr>
            </w:pPr>
            <w:r>
              <w:rPr>
                <w:rFonts w:ascii="Arial" w:hAnsi="Arial" w:cs="Arial"/>
                <w:b/>
                <w:u w:val="single"/>
              </w:rPr>
              <w:t xml:space="preserve">Financial </w:t>
            </w:r>
          </w:p>
        </w:tc>
      </w:tr>
      <w:tr>
        <w:trPr>
          <w:trHeight w:val="300"/>
        </w:trPr>
        <w:tc>
          <w:tcPr>
            <w:tcW w:w="1513" w:type="dxa"/>
            <w:shd w:val="clear" w:color="auto" w:fill="auto"/>
            <w:noWrap/>
          </w:tcPr>
          <w:p>
            <w:pPr>
              <w:suppressAutoHyphens w:val="0"/>
              <w:spacing w:after="0" w:line="240" w:lineRule="auto"/>
              <w:ind w:left="-79"/>
              <w:jc w:val="both"/>
              <w:rPr>
                <w:rFonts w:ascii="Arial" w:hAnsi="Arial" w:cs="Arial"/>
              </w:rPr>
            </w:pPr>
            <w:r>
              <w:rPr>
                <w:rFonts w:ascii="Arial" w:hAnsi="Arial" w:cs="Arial"/>
              </w:rPr>
              <w:t xml:space="preserve">Audit Observation (AO) No. 1, </w:t>
            </w:r>
          </w:p>
          <w:p>
            <w:pPr>
              <w:suppressAutoHyphens w:val="0"/>
              <w:spacing w:after="0" w:line="240" w:lineRule="auto"/>
              <w:ind w:left="-79"/>
              <w:jc w:val="both"/>
              <w:rPr>
                <w:rFonts w:ascii="Arial" w:hAnsi="Arial" w:cs="Arial"/>
                <w:lang w:val="en-PH" w:eastAsia="en-PH"/>
              </w:rPr>
            </w:pPr>
            <w:r>
              <w:rPr>
                <w:rFonts w:ascii="Arial" w:hAnsi="Arial" w:cs="Arial"/>
              </w:rPr>
              <w:t>Page 87</w:t>
            </w:r>
          </w:p>
          <w:p>
            <w:pPr>
              <w:suppressAutoHyphens w:val="0"/>
              <w:spacing w:after="0" w:line="240" w:lineRule="auto"/>
              <w:ind w:left="-79"/>
              <w:jc w:val="both"/>
              <w:rPr>
                <w:rFonts w:ascii="Arial" w:hAnsi="Arial" w:cs="Arial"/>
                <w:bCs/>
              </w:rPr>
            </w:pPr>
          </w:p>
        </w:tc>
        <w:tc>
          <w:tcPr>
            <w:tcW w:w="2740" w:type="dxa"/>
            <w:shd w:val="clear" w:color="auto" w:fill="auto"/>
          </w:tcPr>
          <w:p>
            <w:pPr>
              <w:suppressAutoHyphens w:val="0"/>
              <w:spacing w:after="0" w:line="240" w:lineRule="auto"/>
              <w:jc w:val="both"/>
              <w:rPr>
                <w:rFonts w:ascii="Arial" w:eastAsia="Times New Roman" w:hAnsi="Arial" w:cs="Arial"/>
                <w:lang w:eastAsia="en-US"/>
              </w:rPr>
            </w:pPr>
            <w:r>
              <w:rPr>
                <w:rFonts w:ascii="Arial" w:hAnsi="Arial" w:cs="Arial"/>
              </w:rPr>
              <w:t xml:space="preserve">The </w:t>
            </w:r>
            <w:r>
              <w:rPr>
                <w:rFonts w:ascii="Arial" w:hAnsi="Arial" w:cs="Arial"/>
                <w:bCs/>
                <w:shd w:val="clear" w:color="auto" w:fill="FFFFFF"/>
              </w:rPr>
              <w:t xml:space="preserve">Guaranteed Minimum Monthly Retail Receipts (GMMRR) Shortfalls for calendar years (CYs) 2017-2018 and 2019 in the total amounts  of P13.905 billion and P6.305 billion and the corresponding amounts of Shortfalls due to PCSO (receivables) totaling P5.617 billion and P3.081 billion, respectively, were not recognized in the books of PCSO despite being valid revenues and receivables from the Authorized Agent Corporations (AACs), as defined under the Philippine Accounting Standard (PAS) 1 and the Conceptual Framework for Financial Reporting (CFFR), resulting in the understatement of Income from Gaming Operations-Small Town Lottery (STL), Receivables – STL, Retained Earnings, Expenses and Payables accounts by P6.305 billion, P6.980 billion, P2.331 billion, P4.696 billion and P4.757 billion, respectively, and overstatement of Other Business Income and </w:t>
            </w:r>
            <w:r>
              <w:rPr>
                <w:rFonts w:ascii="Arial" w:hAnsi="Arial" w:cs="Arial"/>
                <w:bCs/>
                <w:shd w:val="clear" w:color="auto" w:fill="FFFFFF"/>
              </w:rPr>
              <w:lastRenderedPageBreak/>
              <w:t>Miscellaneous Income accounts in the amounts of P1.055 billion and P663.001 million, respectively.</w:t>
            </w:r>
          </w:p>
          <w:p>
            <w:pPr>
              <w:suppressAutoHyphens w:val="0"/>
              <w:spacing w:after="0" w:line="240" w:lineRule="auto"/>
              <w:ind w:left="-79"/>
              <w:jc w:val="right"/>
              <w:rPr>
                <w:rFonts w:ascii="Arial" w:hAnsi="Arial" w:cs="Arial"/>
                <w:lang w:val="en-PH" w:eastAsia="en-PH"/>
              </w:rPr>
            </w:pPr>
            <w:r>
              <w:rPr>
                <w:rFonts w:ascii="Arial" w:hAnsi="Arial" w:cs="Arial"/>
                <w:lang w:val="en-PH" w:eastAsia="en-PH"/>
              </w:rPr>
              <w:t xml:space="preserve"> </w:t>
            </w:r>
          </w:p>
        </w:tc>
        <w:tc>
          <w:tcPr>
            <w:tcW w:w="3060" w:type="dxa"/>
            <w:shd w:val="clear" w:color="auto" w:fill="auto"/>
          </w:tcPr>
          <w:p>
            <w:pPr>
              <w:suppressAutoHyphens w:val="0"/>
              <w:spacing w:after="0" w:line="240" w:lineRule="auto"/>
              <w:jc w:val="both"/>
              <w:rPr>
                <w:rFonts w:ascii="Arial" w:hAnsi="Arial" w:cs="Arial"/>
                <w:bCs/>
              </w:rPr>
            </w:pPr>
            <w:r>
              <w:rPr>
                <w:rFonts w:ascii="Arial" w:hAnsi="Arial" w:cs="Arial"/>
                <w:bCs/>
              </w:rPr>
              <w:lastRenderedPageBreak/>
              <w:t>We reiterated our prior year’s recommendations that Management direct the concerned Accounting personnel to:</w:t>
            </w:r>
          </w:p>
          <w:p>
            <w:pPr>
              <w:pStyle w:val="Default"/>
              <w:jc w:val="both"/>
              <w:rPr>
                <w:bCs/>
                <w:color w:val="auto"/>
                <w:sz w:val="22"/>
                <w:szCs w:val="22"/>
              </w:rPr>
            </w:pPr>
          </w:p>
          <w:p>
            <w:pPr>
              <w:pStyle w:val="Default"/>
              <w:numPr>
                <w:ilvl w:val="0"/>
                <w:numId w:val="14"/>
              </w:numPr>
              <w:ind w:left="393" w:hanging="425"/>
              <w:jc w:val="both"/>
              <w:rPr>
                <w:bCs/>
                <w:color w:val="auto"/>
                <w:sz w:val="22"/>
                <w:szCs w:val="22"/>
              </w:rPr>
            </w:pPr>
            <w:r>
              <w:rPr>
                <w:bCs/>
                <w:color w:val="auto"/>
                <w:sz w:val="22"/>
                <w:szCs w:val="22"/>
              </w:rPr>
              <w:t>Recognize as part of the PCSO’s revenues the GMMRR shortfalls incurred by the concerned AACs during CYs 2017-2019 totaling P20.210 billion and recognize as receivables the amount of P6.980 billion, representing unsettled GMMRR shortfalls due to PCSO for CYs 2017-2019.</w:t>
            </w:r>
          </w:p>
          <w:p>
            <w:pPr>
              <w:pStyle w:val="Default"/>
              <w:ind w:left="393" w:hanging="425"/>
              <w:jc w:val="both"/>
              <w:rPr>
                <w:bCs/>
                <w:color w:val="auto"/>
                <w:sz w:val="22"/>
                <w:szCs w:val="22"/>
              </w:rPr>
            </w:pPr>
          </w:p>
          <w:p>
            <w:pPr>
              <w:pStyle w:val="Default"/>
              <w:numPr>
                <w:ilvl w:val="0"/>
                <w:numId w:val="14"/>
              </w:numPr>
              <w:ind w:left="393" w:hanging="425"/>
              <w:jc w:val="both"/>
              <w:rPr>
                <w:bCs/>
                <w:color w:val="auto"/>
                <w:sz w:val="22"/>
                <w:szCs w:val="22"/>
              </w:rPr>
            </w:pPr>
            <w:r>
              <w:rPr>
                <w:bCs/>
                <w:color w:val="auto"/>
                <w:sz w:val="22"/>
                <w:szCs w:val="22"/>
              </w:rPr>
              <w:t>Record the STL transactions on accrual basis to ensure that the same are recognized in the period in which they were earned and not when cash was collected, pursuant to Paragraphs 27 and 28 of PAS 1 and the CFFR.</w:t>
            </w:r>
          </w:p>
          <w:p>
            <w:pPr>
              <w:pStyle w:val="Default"/>
              <w:ind w:left="393" w:hanging="425"/>
              <w:jc w:val="both"/>
              <w:rPr>
                <w:bCs/>
                <w:color w:val="auto"/>
                <w:sz w:val="22"/>
                <w:szCs w:val="22"/>
              </w:rPr>
            </w:pPr>
          </w:p>
          <w:p>
            <w:pPr>
              <w:pStyle w:val="Default"/>
              <w:numPr>
                <w:ilvl w:val="0"/>
                <w:numId w:val="14"/>
              </w:numPr>
              <w:ind w:left="393" w:hanging="425"/>
              <w:jc w:val="both"/>
              <w:rPr>
                <w:bCs/>
                <w:color w:val="auto"/>
                <w:sz w:val="22"/>
                <w:szCs w:val="22"/>
              </w:rPr>
            </w:pPr>
            <w:r>
              <w:rPr>
                <w:bCs/>
                <w:color w:val="auto"/>
                <w:sz w:val="22"/>
                <w:szCs w:val="22"/>
              </w:rPr>
              <w:t>Effect the necessary adjusting entries to correct the misstatements of</w:t>
            </w:r>
            <w:r>
              <w:rPr>
                <w:bCs/>
                <w:color w:val="auto"/>
                <w:sz w:val="22"/>
                <w:szCs w:val="22"/>
                <w:shd w:val="clear" w:color="auto" w:fill="FFFFFF"/>
              </w:rPr>
              <w:t xml:space="preserve"> Retained Earnings, Expenses, Payables, Other Business Income and Miscellaneous Income accounts,</w:t>
            </w:r>
            <w:r>
              <w:rPr>
                <w:bCs/>
                <w:color w:val="auto"/>
                <w:sz w:val="22"/>
                <w:szCs w:val="22"/>
              </w:rPr>
              <w:t xml:space="preserve"> </w:t>
            </w:r>
            <w:r>
              <w:rPr>
                <w:bCs/>
                <w:color w:val="auto"/>
                <w:sz w:val="22"/>
                <w:szCs w:val="22"/>
              </w:rPr>
              <w:lastRenderedPageBreak/>
              <w:t>resulting from the inconsistent treatment of transactions relating to the settlements of GMMRR shortfalls as well as the unrecorded allocation of expenses relating to the unrecorded GMMRR shortfalls.</w:t>
            </w:r>
          </w:p>
          <w:p>
            <w:pPr>
              <w:pStyle w:val="Default"/>
              <w:ind w:left="393"/>
              <w:jc w:val="both"/>
              <w:rPr>
                <w:bCs/>
                <w:color w:val="auto"/>
                <w:sz w:val="22"/>
                <w:szCs w:val="22"/>
              </w:rPr>
            </w:pPr>
          </w:p>
        </w:tc>
        <w:tc>
          <w:tcPr>
            <w:tcW w:w="2391" w:type="dxa"/>
            <w:shd w:val="clear" w:color="auto" w:fill="auto"/>
          </w:tcPr>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r>
              <w:rPr>
                <w:rFonts w:ascii="Arial" w:hAnsi="Arial" w:cs="Arial"/>
                <w:bCs/>
              </w:rPr>
              <w:t>Partially Implemented.</w:t>
            </w: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r>
              <w:rPr>
                <w:rFonts w:ascii="Arial" w:hAnsi="Arial" w:cs="Arial"/>
                <w:bCs/>
              </w:rPr>
              <w:t>PCSO already recognized the receivables from the GMMRR shortfall dues. However, there were some amounts still for reconciliation as of December 31, 2020.</w:t>
            </w: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r>
              <w:rPr>
                <w:rFonts w:ascii="Arial" w:hAnsi="Arial" w:cs="Arial"/>
                <w:bCs/>
              </w:rPr>
              <w:t>Partially Implemented.</w:t>
            </w: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r>
              <w:rPr>
                <w:rFonts w:ascii="Arial" w:hAnsi="Arial" w:cs="Arial"/>
                <w:bCs/>
              </w:rPr>
              <w:t>In November 2020, PCSO started to record the STL revenues on accrual basis.</w:t>
            </w: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r>
              <w:rPr>
                <w:rFonts w:ascii="Arial" w:hAnsi="Arial" w:cs="Arial"/>
                <w:bCs/>
              </w:rPr>
              <w:t>Partially Implemented.</w:t>
            </w: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r>
              <w:rPr>
                <w:rFonts w:ascii="Arial" w:hAnsi="Arial" w:cs="Arial"/>
                <w:bCs/>
              </w:rPr>
              <w:t xml:space="preserve">Adjusting entry was made through GJ No. 2012149 dated December 31, 2020 but the adjustment made did not completely reflect the </w:t>
            </w:r>
            <w:r>
              <w:rPr>
                <w:rFonts w:ascii="Arial" w:hAnsi="Arial" w:cs="Arial"/>
                <w:bCs/>
              </w:rPr>
              <w:lastRenderedPageBreak/>
              <w:t>unrecorded GMMRR shortfall dues.</w:t>
            </w: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rPr>
            </w:pPr>
          </w:p>
          <w:p>
            <w:pPr>
              <w:suppressAutoHyphens w:val="0"/>
              <w:spacing w:after="0" w:line="240" w:lineRule="auto"/>
              <w:jc w:val="both"/>
              <w:rPr>
                <w:rFonts w:ascii="Arial" w:hAnsi="Arial" w:cs="Arial"/>
                <w:bCs/>
              </w:rPr>
            </w:pPr>
          </w:p>
        </w:tc>
      </w:tr>
      <w:tr>
        <w:trPr>
          <w:trHeight w:val="300"/>
        </w:trPr>
        <w:tc>
          <w:tcPr>
            <w:tcW w:w="1513" w:type="dxa"/>
            <w:shd w:val="clear" w:color="auto" w:fill="auto"/>
            <w:noWrap/>
          </w:tcPr>
          <w:p>
            <w:pPr>
              <w:suppressAutoHyphens w:val="0"/>
              <w:spacing w:after="0" w:line="240" w:lineRule="auto"/>
              <w:ind w:left="-79"/>
              <w:rPr>
                <w:rFonts w:ascii="Arial" w:hAnsi="Arial" w:cs="Arial"/>
                <w:highlight w:val="yellow"/>
              </w:rPr>
            </w:pPr>
            <w:r>
              <w:rPr>
                <w:rFonts w:ascii="Arial" w:hAnsi="Arial" w:cs="Arial"/>
              </w:rPr>
              <w:lastRenderedPageBreak/>
              <w:t>AO No. 2, Page 91</w:t>
            </w:r>
          </w:p>
        </w:tc>
        <w:tc>
          <w:tcPr>
            <w:tcW w:w="2740" w:type="dxa"/>
            <w:shd w:val="clear" w:color="auto" w:fill="auto"/>
          </w:tcPr>
          <w:p>
            <w:pPr>
              <w:suppressAutoHyphens w:val="0"/>
              <w:spacing w:after="0" w:line="240" w:lineRule="auto"/>
              <w:jc w:val="both"/>
              <w:rPr>
                <w:rFonts w:ascii="Arial" w:eastAsia="Times New Roman" w:hAnsi="Arial" w:cs="Arial"/>
                <w:lang w:eastAsia="en-US"/>
              </w:rPr>
            </w:pPr>
            <w:r>
              <w:rPr>
                <w:rFonts w:ascii="Arial" w:hAnsi="Arial" w:cs="Arial"/>
                <w:bCs/>
                <w:iCs/>
              </w:rPr>
              <w:t xml:space="preserve">The full amount of P961.013 million retail receipts generated from the Instant Sweepstakes Program (ISP), representing </w:t>
            </w:r>
            <w:r>
              <w:rPr>
                <w:rFonts w:ascii="Arial" w:hAnsi="Arial" w:cs="Arial"/>
              </w:rPr>
              <w:t>the CY 2019 guaranteed sales of P833.333 million plus the P127.680 million from the CY 2018 sales</w:t>
            </w:r>
            <w:r>
              <w:rPr>
                <w:rFonts w:ascii="Arial" w:hAnsi="Arial" w:cs="Arial"/>
                <w:bCs/>
                <w:iCs/>
              </w:rPr>
              <w:t xml:space="preserve">, were  recognized in the books despite that only thirteen (13) per cent thereof, or P124.932 million accrue to the PCSO as its guaranteed share, which  was tantamount to misrepresentation of the actual revenues derived from the ISP, contrary to </w:t>
            </w:r>
            <w:r>
              <w:rPr>
                <w:rFonts w:ascii="Arial" w:hAnsi="Arial" w:cs="Arial"/>
              </w:rPr>
              <w:t>Section 4 (i) of the RIRR for the ISP</w:t>
            </w:r>
            <w:r>
              <w:rPr>
                <w:rFonts w:ascii="Arial" w:hAnsi="Arial" w:cs="Arial"/>
                <w:bCs/>
                <w:iCs/>
              </w:rPr>
              <w:t xml:space="preserve">, Paragraph 15 of PAS 1 and Paragraph 4.47 of the Conceptual Framework for Financial Reporting (CFFR).  </w:t>
            </w:r>
          </w:p>
          <w:p>
            <w:pPr>
              <w:suppressAutoHyphens w:val="0"/>
              <w:spacing w:after="0" w:line="240" w:lineRule="auto"/>
              <w:ind w:left="-79"/>
              <w:jc w:val="both"/>
              <w:rPr>
                <w:rFonts w:ascii="Arial" w:hAnsi="Arial" w:cs="Arial"/>
                <w:highlight w:val="yellow"/>
              </w:rPr>
            </w:pPr>
          </w:p>
        </w:tc>
        <w:tc>
          <w:tcPr>
            <w:tcW w:w="3060" w:type="dxa"/>
            <w:shd w:val="clear" w:color="auto" w:fill="auto"/>
          </w:tcPr>
          <w:p>
            <w:pPr>
              <w:suppressAutoHyphens w:val="0"/>
              <w:spacing w:after="0" w:line="240" w:lineRule="auto"/>
              <w:jc w:val="both"/>
              <w:rPr>
                <w:rFonts w:ascii="Arial" w:eastAsia="Times New Roman" w:hAnsi="Arial" w:cs="Arial"/>
                <w:bCs/>
                <w:i/>
                <w:lang w:eastAsia="en-US"/>
              </w:rPr>
            </w:pPr>
            <w:r>
              <w:rPr>
                <w:rFonts w:ascii="Arial" w:hAnsi="Arial" w:cs="Arial"/>
                <w:bCs/>
              </w:rPr>
              <w:t xml:space="preserve">We reiterated our prior year’s recommendation that Management direct the concerned Accounting personnel to effect the necessary adjusting entries in order to reflect the correct amount of retail receipts from the ISP accruing to the PCSO pursuant to Section 4(i) of the RIRR for the ISP, in accordance with Paragraphs 15 and 4.47 of PAS 1 and CFFR, respectively.  </w:t>
            </w:r>
          </w:p>
          <w:p>
            <w:pPr>
              <w:suppressAutoHyphens w:val="0"/>
              <w:spacing w:after="0" w:line="240" w:lineRule="auto"/>
              <w:ind w:left="-79"/>
              <w:jc w:val="both"/>
              <w:rPr>
                <w:rFonts w:ascii="Arial" w:hAnsi="Arial" w:cs="Arial"/>
                <w:highlight w:val="yellow"/>
              </w:rPr>
            </w:pPr>
          </w:p>
        </w:tc>
        <w:tc>
          <w:tcPr>
            <w:tcW w:w="2391" w:type="dxa"/>
            <w:shd w:val="clear" w:color="auto" w:fill="auto"/>
          </w:tcPr>
          <w:p>
            <w:pPr>
              <w:suppressAutoHyphens w:val="0"/>
              <w:spacing w:after="0" w:line="240" w:lineRule="auto"/>
              <w:ind w:left="-79"/>
              <w:jc w:val="both"/>
              <w:rPr>
                <w:rFonts w:ascii="Arial" w:hAnsi="Arial" w:cs="Arial"/>
                <w:bCs/>
              </w:rPr>
            </w:pPr>
            <w:r>
              <w:rPr>
                <w:rFonts w:ascii="Arial" w:hAnsi="Arial" w:cs="Arial"/>
                <w:bCs/>
              </w:rPr>
              <w:t>Partially Implemented.</w:t>
            </w:r>
          </w:p>
          <w:p>
            <w:pPr>
              <w:suppressAutoHyphens w:val="0"/>
              <w:spacing w:after="0" w:line="240" w:lineRule="auto"/>
              <w:ind w:left="-79"/>
              <w:jc w:val="both"/>
              <w:rPr>
                <w:rFonts w:ascii="Arial" w:hAnsi="Arial" w:cs="Arial"/>
                <w:bCs/>
              </w:rPr>
            </w:pPr>
          </w:p>
          <w:p>
            <w:pPr>
              <w:suppressAutoHyphens w:val="0"/>
              <w:spacing w:after="0" w:line="240" w:lineRule="auto"/>
              <w:ind w:left="-79"/>
              <w:jc w:val="both"/>
              <w:rPr>
                <w:rFonts w:ascii="Arial" w:hAnsi="Arial" w:cs="Arial"/>
                <w:bCs/>
                <w:highlight w:val="yellow"/>
              </w:rPr>
            </w:pPr>
            <w:r>
              <w:rPr>
                <w:rFonts w:ascii="Arial" w:hAnsi="Arial" w:cs="Arial"/>
                <w:bCs/>
              </w:rPr>
              <w:t>The share of PCSO in the net proceeds of the ISP equivalent to 13% share was  disclosed in the Notes to Financial Statements.</w:t>
            </w:r>
          </w:p>
        </w:tc>
      </w:tr>
      <w:tr>
        <w:trPr>
          <w:trHeight w:val="300"/>
        </w:trPr>
        <w:tc>
          <w:tcPr>
            <w:tcW w:w="1513" w:type="dxa"/>
            <w:shd w:val="clear" w:color="auto" w:fill="auto"/>
            <w:noWrap/>
          </w:tcPr>
          <w:p>
            <w:pPr>
              <w:suppressAutoHyphens w:val="0"/>
              <w:spacing w:after="0" w:line="240" w:lineRule="auto"/>
              <w:rPr>
                <w:rFonts w:ascii="Arial" w:hAnsi="Arial" w:cs="Arial"/>
              </w:rPr>
            </w:pPr>
            <w:r>
              <w:rPr>
                <w:rFonts w:ascii="Arial" w:hAnsi="Arial" w:cs="Arial"/>
              </w:rPr>
              <w:t>AO No. 3, Page 93</w:t>
            </w:r>
          </w:p>
        </w:tc>
        <w:tc>
          <w:tcPr>
            <w:tcW w:w="2740" w:type="dxa"/>
            <w:shd w:val="clear" w:color="auto" w:fill="auto"/>
          </w:tcPr>
          <w:p>
            <w:pPr>
              <w:suppressAutoHyphens w:val="0"/>
              <w:spacing w:after="0" w:line="240" w:lineRule="auto"/>
              <w:jc w:val="both"/>
              <w:rPr>
                <w:rFonts w:ascii="Arial" w:eastAsia="Times New Roman" w:hAnsi="Arial" w:cs="Arial"/>
                <w:i/>
                <w:lang w:eastAsia="en-US"/>
              </w:rPr>
            </w:pPr>
            <w:r>
              <w:rPr>
                <w:rFonts w:ascii="Arial" w:hAnsi="Arial" w:cs="Arial"/>
              </w:rPr>
              <w:t xml:space="preserve">The faithful representation in the financial statements as of December 31, 2019 of the </w:t>
            </w:r>
            <w:r>
              <w:rPr>
                <w:rFonts w:ascii="Arial" w:eastAsia="STXihei" w:hAnsi="Arial" w:cs="Arial"/>
                <w:bCs/>
              </w:rPr>
              <w:t xml:space="preserve">Prize Fund expenses-STL account totaling </w:t>
            </w:r>
            <w:r>
              <w:rPr>
                <w:rFonts w:ascii="Arial" w:hAnsi="Arial" w:cs="Arial"/>
              </w:rPr>
              <w:t>P622.393 million</w:t>
            </w:r>
            <w:r>
              <w:rPr>
                <w:rFonts w:ascii="Arial" w:eastAsia="STXihei" w:hAnsi="Arial" w:cs="Arial"/>
                <w:bCs/>
              </w:rPr>
              <w:t xml:space="preserve"> could not be established due to the non-submission of the summary of all prizes and winnings paid and </w:t>
            </w:r>
            <w:r>
              <w:rPr>
                <w:rFonts w:ascii="Arial" w:eastAsia="STXihei" w:hAnsi="Arial" w:cs="Arial"/>
                <w:bCs/>
              </w:rPr>
              <w:lastRenderedPageBreak/>
              <w:t xml:space="preserve">charged to prize fund together with all the other related reports, as required under Section 18(g) of the 2019 Revised Implementing Rules and Regulations (RIRR) for the STL. </w:t>
            </w:r>
          </w:p>
          <w:p>
            <w:pPr>
              <w:suppressAutoHyphens w:val="0"/>
              <w:spacing w:after="0" w:line="240" w:lineRule="auto"/>
              <w:jc w:val="both"/>
              <w:rPr>
                <w:rFonts w:ascii="Arial" w:hAnsi="Arial" w:cs="Arial"/>
                <w:lang w:val="en-PH" w:eastAsia="en-PH"/>
              </w:rPr>
            </w:pPr>
          </w:p>
        </w:tc>
        <w:tc>
          <w:tcPr>
            <w:tcW w:w="3060" w:type="dxa"/>
            <w:shd w:val="clear" w:color="auto" w:fill="auto"/>
          </w:tcPr>
          <w:p>
            <w:pPr>
              <w:suppressAutoHyphens w:val="0"/>
              <w:spacing w:after="0" w:line="240" w:lineRule="auto"/>
              <w:jc w:val="both"/>
              <w:rPr>
                <w:rFonts w:ascii="Arial" w:eastAsia="Times New Roman" w:hAnsi="Arial" w:cs="Arial"/>
                <w:lang w:eastAsia="en-US"/>
              </w:rPr>
            </w:pPr>
            <w:r>
              <w:rPr>
                <w:rFonts w:ascii="Arial" w:eastAsia="STXihei" w:hAnsi="Arial" w:cs="Arial"/>
              </w:rPr>
              <w:lastRenderedPageBreak/>
              <w:t xml:space="preserve">We recommended that Management: (a) require the AACs to submit the reports on the utilization of the STL Prize Fund enumerated under Section 18(g) of the RIRR for the STL, copy furnished the Office of the Auditor; and (b) ensure that recognition of prize fund expenses in the books of </w:t>
            </w:r>
            <w:r>
              <w:rPr>
                <w:rFonts w:ascii="Arial" w:eastAsia="STXihei" w:hAnsi="Arial" w:cs="Arial"/>
              </w:rPr>
              <w:lastRenderedPageBreak/>
              <w:t xml:space="preserve">accounts is supported by valid documents.  </w:t>
            </w:r>
          </w:p>
          <w:p>
            <w:pPr>
              <w:suppressAutoHyphens w:val="0"/>
              <w:spacing w:after="0" w:line="240" w:lineRule="auto"/>
              <w:jc w:val="both"/>
              <w:rPr>
                <w:rFonts w:ascii="Arial" w:hAnsi="Arial" w:cs="Arial"/>
              </w:rPr>
            </w:pPr>
          </w:p>
        </w:tc>
        <w:tc>
          <w:tcPr>
            <w:tcW w:w="2391" w:type="dxa"/>
            <w:shd w:val="clear" w:color="auto" w:fill="auto"/>
          </w:tcPr>
          <w:p>
            <w:pPr>
              <w:suppressAutoHyphens w:val="0"/>
              <w:spacing w:after="0" w:line="240" w:lineRule="auto"/>
              <w:ind w:right="-105"/>
              <w:jc w:val="both"/>
              <w:rPr>
                <w:rFonts w:ascii="Arial" w:hAnsi="Arial" w:cs="Arial"/>
                <w:bCs/>
              </w:rPr>
            </w:pPr>
            <w:r>
              <w:rPr>
                <w:rFonts w:ascii="Arial" w:hAnsi="Arial" w:cs="Arial"/>
                <w:bCs/>
              </w:rPr>
              <w:lastRenderedPageBreak/>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BOS already required the AACs to submit the reports of prize fund utilization, however, it was still not considered in the recording of prize fund expenses.</w:t>
            </w:r>
          </w:p>
        </w:tc>
      </w:tr>
      <w:tr>
        <w:trPr>
          <w:trHeight w:val="300"/>
        </w:trPr>
        <w:tc>
          <w:tcPr>
            <w:tcW w:w="1513" w:type="dxa"/>
            <w:shd w:val="clear" w:color="auto" w:fill="auto"/>
            <w:noWrap/>
          </w:tcPr>
          <w:p>
            <w:pPr>
              <w:suppressAutoHyphens w:val="0"/>
              <w:spacing w:after="0" w:line="240" w:lineRule="auto"/>
              <w:rPr>
                <w:rFonts w:ascii="Arial" w:hAnsi="Arial" w:cs="Arial"/>
              </w:rPr>
            </w:pPr>
            <w:r>
              <w:rPr>
                <w:rFonts w:ascii="Arial" w:hAnsi="Arial" w:cs="Arial"/>
              </w:rPr>
              <w:t>AO No. 4, Page 95</w:t>
            </w:r>
          </w:p>
        </w:tc>
        <w:tc>
          <w:tcPr>
            <w:tcW w:w="2740" w:type="dxa"/>
            <w:shd w:val="clear" w:color="auto" w:fill="auto"/>
          </w:tcPr>
          <w:p>
            <w:pPr>
              <w:suppressAutoHyphens w:val="0"/>
              <w:spacing w:after="0" w:line="240" w:lineRule="auto"/>
              <w:jc w:val="both"/>
              <w:rPr>
                <w:rFonts w:ascii="Arial" w:eastAsia="Times New Roman" w:hAnsi="Arial" w:cs="Arial"/>
                <w:lang w:eastAsia="en-US"/>
              </w:rPr>
            </w:pPr>
            <w:r>
              <w:rPr>
                <w:rFonts w:ascii="Arial" w:hAnsi="Arial" w:cs="Arial"/>
              </w:rPr>
              <w:t>The faithful representation in the financial statements of the balance of the Cash and Cash Equivalents account of P14.840 billion as of December 31, 2019 was not established due to various deficiencies enumerated below, contrary to Paragraph 15 of PAS 1 and QC12 of the CFFR:</w:t>
            </w:r>
          </w:p>
          <w:p>
            <w:pPr>
              <w:pStyle w:val="ListParagraph"/>
              <w:spacing w:after="0" w:line="240" w:lineRule="auto"/>
              <w:ind w:left="226" w:hanging="226"/>
              <w:jc w:val="both"/>
              <w:rPr>
                <w:rFonts w:ascii="Arial" w:hAnsi="Arial" w:cs="Arial"/>
              </w:rPr>
            </w:pPr>
          </w:p>
          <w:p>
            <w:pPr>
              <w:pStyle w:val="ListParagraph"/>
              <w:numPr>
                <w:ilvl w:val="0"/>
                <w:numId w:val="1"/>
              </w:numPr>
              <w:suppressAutoHyphens w:val="0"/>
              <w:spacing w:after="0" w:line="240" w:lineRule="auto"/>
              <w:ind w:left="226" w:hanging="283"/>
              <w:contextualSpacing w:val="0"/>
              <w:jc w:val="both"/>
              <w:rPr>
                <w:rFonts w:ascii="Arial" w:hAnsi="Arial" w:cs="Arial"/>
              </w:rPr>
            </w:pPr>
            <w:r>
              <w:rPr>
                <w:rFonts w:ascii="Arial" w:hAnsi="Arial" w:cs="Arial"/>
              </w:rPr>
              <w:t>Variance between the balances per books and the confirmed bank balances of the Operating Fund (OF) accounts and Main account in the total amount of P46.138 million;</w:t>
            </w:r>
          </w:p>
          <w:p>
            <w:pPr>
              <w:pStyle w:val="ListParagraph"/>
              <w:spacing w:after="0" w:line="240" w:lineRule="auto"/>
              <w:ind w:left="226" w:hanging="226"/>
              <w:jc w:val="both"/>
              <w:rPr>
                <w:rFonts w:ascii="Arial" w:hAnsi="Arial" w:cs="Arial"/>
              </w:rPr>
            </w:pPr>
          </w:p>
          <w:p>
            <w:pPr>
              <w:pStyle w:val="ListParagraph"/>
              <w:numPr>
                <w:ilvl w:val="0"/>
                <w:numId w:val="1"/>
              </w:numPr>
              <w:suppressAutoHyphens w:val="0"/>
              <w:spacing w:after="0" w:line="240" w:lineRule="auto"/>
              <w:ind w:left="226" w:hanging="283"/>
              <w:contextualSpacing w:val="0"/>
              <w:jc w:val="both"/>
              <w:rPr>
                <w:rFonts w:ascii="Arial" w:hAnsi="Arial" w:cs="Arial"/>
              </w:rPr>
            </w:pPr>
            <w:r>
              <w:rPr>
                <w:rFonts w:ascii="Arial" w:hAnsi="Arial" w:cs="Arial"/>
              </w:rPr>
              <w:t>Variance of P61.861 million between the balances per books and the confirmed bank balances of the Charity Fund (CF), Prize Fund (PF) and Small Town Lottery (STL) remittances accounts;</w:t>
            </w:r>
          </w:p>
          <w:p>
            <w:pPr>
              <w:pStyle w:val="ListParagraph"/>
              <w:spacing w:after="0" w:line="240" w:lineRule="auto"/>
              <w:ind w:left="226" w:hanging="226"/>
              <w:rPr>
                <w:rFonts w:ascii="Arial" w:hAnsi="Arial" w:cs="Arial"/>
              </w:rPr>
            </w:pPr>
          </w:p>
          <w:p>
            <w:pPr>
              <w:pStyle w:val="ListParagraph"/>
              <w:numPr>
                <w:ilvl w:val="0"/>
                <w:numId w:val="1"/>
              </w:numPr>
              <w:suppressAutoHyphens w:val="0"/>
              <w:spacing w:after="0" w:line="240" w:lineRule="auto"/>
              <w:ind w:left="226" w:hanging="283"/>
              <w:contextualSpacing w:val="0"/>
              <w:jc w:val="both"/>
              <w:rPr>
                <w:rFonts w:ascii="Arial" w:hAnsi="Arial" w:cs="Arial"/>
                <w:i/>
                <w:sz w:val="24"/>
                <w:szCs w:val="24"/>
              </w:rPr>
            </w:pPr>
            <w:r>
              <w:rPr>
                <w:rFonts w:ascii="Arial" w:hAnsi="Arial" w:cs="Arial"/>
              </w:rPr>
              <w:t xml:space="preserve">Closed accounts still having outstanding balances in the books amounting to P12.020 million and P39.280 </w:t>
            </w:r>
            <w:r>
              <w:rPr>
                <w:rFonts w:ascii="Arial" w:hAnsi="Arial" w:cs="Arial"/>
              </w:rPr>
              <w:lastRenderedPageBreak/>
              <w:t xml:space="preserve">million (negative); </w:t>
            </w:r>
          </w:p>
          <w:p>
            <w:pPr>
              <w:pStyle w:val="ListParagraph"/>
              <w:spacing w:after="0" w:line="240" w:lineRule="auto"/>
              <w:ind w:left="226" w:hanging="226"/>
              <w:rPr>
                <w:rFonts w:ascii="Arial" w:hAnsi="Arial" w:cs="Arial"/>
                <w:i/>
              </w:rPr>
            </w:pPr>
          </w:p>
          <w:p>
            <w:pPr>
              <w:pStyle w:val="ListParagraph"/>
              <w:numPr>
                <w:ilvl w:val="0"/>
                <w:numId w:val="1"/>
              </w:numPr>
              <w:suppressAutoHyphens w:val="0"/>
              <w:spacing w:after="0" w:line="240" w:lineRule="auto"/>
              <w:ind w:left="226" w:hanging="283"/>
              <w:contextualSpacing w:val="0"/>
              <w:jc w:val="both"/>
              <w:rPr>
                <w:rFonts w:ascii="Arial" w:hAnsi="Arial" w:cs="Arial"/>
                <w:i/>
              </w:rPr>
            </w:pPr>
            <w:r>
              <w:rPr>
                <w:rFonts w:ascii="Arial" w:hAnsi="Arial" w:cs="Arial"/>
              </w:rPr>
              <w:t>Variance of P3.377 million between the balances per books and the confirmed bank balances of the bank accounts maintained with the Land Bank of the Philippines (LBP) that was not reconciled due to non-preparation of the monthly Bank Reconciliation Statements (BRSs); and</w:t>
            </w:r>
          </w:p>
          <w:p>
            <w:pPr>
              <w:spacing w:after="0" w:line="240" w:lineRule="auto"/>
              <w:ind w:left="226" w:hanging="226"/>
              <w:contextualSpacing/>
              <w:jc w:val="both"/>
              <w:rPr>
                <w:rFonts w:ascii="Arial" w:hAnsi="Arial" w:cs="Arial"/>
                <w:i/>
              </w:rPr>
            </w:pPr>
          </w:p>
          <w:p>
            <w:pPr>
              <w:pStyle w:val="ListParagraph"/>
              <w:numPr>
                <w:ilvl w:val="0"/>
                <w:numId w:val="1"/>
              </w:numPr>
              <w:suppressAutoHyphens w:val="0"/>
              <w:spacing w:after="0" w:line="240" w:lineRule="auto"/>
              <w:ind w:left="226" w:hanging="283"/>
              <w:contextualSpacing w:val="0"/>
              <w:jc w:val="both"/>
              <w:rPr>
                <w:rFonts w:ascii="Arial" w:hAnsi="Arial" w:cs="Arial"/>
                <w:vanish/>
              </w:rPr>
            </w:pPr>
            <w:r>
              <w:rPr>
                <w:rFonts w:ascii="Arial" w:hAnsi="Arial" w:cs="Arial"/>
              </w:rPr>
              <w:t>Checks totaling P1.550 million already presented to and cleared by the bank were erroneously included as unreleased checks that were reverted back to cash</w:t>
            </w:r>
          </w:p>
          <w:p>
            <w:pPr>
              <w:spacing w:after="0" w:line="240" w:lineRule="auto"/>
              <w:ind w:left="510" w:hanging="284"/>
              <w:jc w:val="both"/>
              <w:rPr>
                <w:rFonts w:ascii="Arial" w:hAnsi="Arial" w:cs="Arial"/>
                <w:vanish/>
              </w:rPr>
            </w:pPr>
          </w:p>
          <w:p>
            <w:pPr>
              <w:spacing w:after="0" w:line="240" w:lineRule="auto"/>
              <w:ind w:left="510" w:hanging="284"/>
              <w:rPr>
                <w:rFonts w:ascii="Arial" w:hAnsi="Arial" w:cs="Arial"/>
              </w:rPr>
            </w:pPr>
            <w:r>
              <w:rPr>
                <w:rFonts w:ascii="Arial" w:hAnsi="Arial" w:cs="Arial"/>
              </w:rPr>
              <w:t xml:space="preserve"> at year-end.</w:t>
            </w:r>
          </w:p>
          <w:p>
            <w:pPr>
              <w:suppressAutoHyphens w:val="0"/>
              <w:spacing w:after="0" w:line="240" w:lineRule="auto"/>
              <w:ind w:left="226" w:hanging="226"/>
              <w:jc w:val="both"/>
              <w:rPr>
                <w:rFonts w:ascii="Arial" w:hAnsi="Arial" w:cs="Arial"/>
                <w:lang w:val="en-PH" w:eastAsia="en-PH"/>
              </w:rPr>
            </w:pPr>
          </w:p>
        </w:tc>
        <w:tc>
          <w:tcPr>
            <w:tcW w:w="3060" w:type="dxa"/>
            <w:shd w:val="clear" w:color="auto" w:fill="auto"/>
          </w:tcPr>
          <w:p>
            <w:pPr>
              <w:suppressAutoHyphens w:val="0"/>
              <w:spacing w:after="0" w:line="240" w:lineRule="auto"/>
              <w:jc w:val="both"/>
              <w:rPr>
                <w:rFonts w:ascii="Arial" w:eastAsia="Times New Roman" w:hAnsi="Arial" w:cs="Arial"/>
                <w:bCs/>
                <w:lang w:eastAsia="en-US"/>
              </w:rPr>
            </w:pPr>
            <w:r>
              <w:rPr>
                <w:rFonts w:ascii="Arial" w:hAnsi="Arial" w:cs="Arial"/>
                <w:bCs/>
              </w:rPr>
              <w:lastRenderedPageBreak/>
              <w:t>We recommended and Management agreed to direct the concerned Accounting personnel to:</w:t>
            </w:r>
          </w:p>
          <w:p>
            <w:pPr>
              <w:pStyle w:val="ListParagraph"/>
              <w:spacing w:after="0" w:line="240" w:lineRule="auto"/>
              <w:jc w:val="both"/>
              <w:rPr>
                <w:rFonts w:ascii="Arial" w:hAnsi="Arial" w:cs="Arial"/>
                <w:bCs/>
              </w:rPr>
            </w:pPr>
          </w:p>
          <w:p>
            <w:pPr>
              <w:pStyle w:val="ListParagraph"/>
              <w:numPr>
                <w:ilvl w:val="0"/>
                <w:numId w:val="2"/>
              </w:numPr>
              <w:suppressAutoHyphens w:val="0"/>
              <w:spacing w:after="0" w:line="240" w:lineRule="auto"/>
              <w:ind w:left="357" w:hanging="357"/>
              <w:jc w:val="both"/>
              <w:rPr>
                <w:rFonts w:ascii="Arial" w:hAnsi="Arial" w:cs="Arial"/>
                <w:bCs/>
              </w:rPr>
            </w:pPr>
            <w:r>
              <w:rPr>
                <w:rFonts w:ascii="Arial" w:hAnsi="Arial" w:cs="Arial"/>
                <w:bCs/>
              </w:rPr>
              <w:t xml:space="preserve">Effect the necessary adjustments, after a thorough verification of the book reconciling items for each of the subject bank accounts, in order to present fairly the balance of the Cash in Bank account in the financial statements;  </w:t>
            </w:r>
          </w:p>
          <w:p>
            <w:pPr>
              <w:pStyle w:val="ListParagraph"/>
              <w:spacing w:after="0" w:line="240" w:lineRule="auto"/>
              <w:ind w:left="357" w:hanging="206"/>
              <w:jc w:val="both"/>
              <w:rPr>
                <w:rFonts w:ascii="Arial" w:hAnsi="Arial" w:cs="Arial"/>
                <w:bCs/>
              </w:rPr>
            </w:pPr>
          </w:p>
          <w:p>
            <w:pPr>
              <w:pStyle w:val="ListParagraph"/>
              <w:numPr>
                <w:ilvl w:val="0"/>
                <w:numId w:val="2"/>
              </w:numPr>
              <w:suppressAutoHyphens w:val="0"/>
              <w:spacing w:after="0" w:line="240" w:lineRule="auto"/>
              <w:ind w:left="357" w:hanging="357"/>
              <w:jc w:val="both"/>
              <w:rPr>
                <w:rFonts w:ascii="Arial" w:hAnsi="Arial" w:cs="Arial"/>
                <w:bCs/>
              </w:rPr>
            </w:pPr>
            <w:r>
              <w:rPr>
                <w:rFonts w:ascii="Arial" w:hAnsi="Arial" w:cs="Arial"/>
                <w:bCs/>
              </w:rPr>
              <w:t xml:space="preserve">Intensify the efforts in coordinating with the corresponding depository banks to thresh out the details of the bank reconciling items and investigate the cause/s of the alleged unposted deposits totaling P32.733 million under the Operating Fund accounts </w:t>
            </w:r>
            <w:r>
              <w:rPr>
                <w:rFonts w:ascii="Arial" w:hAnsi="Arial" w:cs="Arial"/>
                <w:bCs/>
                <w:lang w:val="en-PH" w:eastAsia="en-PH"/>
              </w:rPr>
              <w:t>so that appropriate action may be taken thereafter;</w:t>
            </w:r>
          </w:p>
          <w:p>
            <w:pPr>
              <w:pStyle w:val="ListParagraph"/>
              <w:spacing w:after="0" w:line="240" w:lineRule="auto"/>
              <w:ind w:left="357" w:hanging="206"/>
              <w:rPr>
                <w:rFonts w:ascii="Arial" w:hAnsi="Arial" w:cs="Arial"/>
                <w:bCs/>
              </w:rPr>
            </w:pPr>
          </w:p>
          <w:p>
            <w:pPr>
              <w:pStyle w:val="ListParagraph"/>
              <w:numPr>
                <w:ilvl w:val="0"/>
                <w:numId w:val="2"/>
              </w:numPr>
              <w:suppressAutoHyphens w:val="0"/>
              <w:spacing w:after="0" w:line="240" w:lineRule="auto"/>
              <w:ind w:left="357" w:hanging="357"/>
              <w:jc w:val="both"/>
              <w:rPr>
                <w:rFonts w:ascii="Arial" w:eastAsia="Times New Roman" w:hAnsi="Arial" w:cs="Arial"/>
                <w:bCs/>
              </w:rPr>
            </w:pPr>
            <w:r>
              <w:rPr>
                <w:rFonts w:ascii="Arial" w:hAnsi="Arial" w:cs="Arial"/>
                <w:bCs/>
              </w:rPr>
              <w:t xml:space="preserve">Effect the necessary adjusting entries, after a thorough verification of the long-outstanding reconciling items, in order to correct the P12.020 million overstatement of the Cash and Cash Equivalents account and </w:t>
            </w:r>
            <w:r>
              <w:rPr>
                <w:rFonts w:ascii="Arial" w:hAnsi="Arial" w:cs="Arial"/>
                <w:bCs/>
              </w:rPr>
              <w:lastRenderedPageBreak/>
              <w:t xml:space="preserve">the negative balance of P39.280 million, which pertained to book balances of closed PNB accounts; </w:t>
            </w:r>
          </w:p>
          <w:p>
            <w:pPr>
              <w:pStyle w:val="ListParagraph"/>
              <w:spacing w:after="0" w:line="240" w:lineRule="auto"/>
              <w:ind w:left="357" w:hanging="206"/>
              <w:rPr>
                <w:rFonts w:ascii="Arial" w:hAnsi="Arial" w:cs="Arial"/>
                <w:bCs/>
              </w:rPr>
            </w:pPr>
          </w:p>
          <w:p>
            <w:pPr>
              <w:pStyle w:val="ListParagraph"/>
              <w:numPr>
                <w:ilvl w:val="0"/>
                <w:numId w:val="2"/>
              </w:numPr>
              <w:suppressAutoHyphens w:val="0"/>
              <w:spacing w:after="0" w:line="240" w:lineRule="auto"/>
              <w:ind w:left="357" w:hanging="357"/>
              <w:jc w:val="both"/>
              <w:rPr>
                <w:rFonts w:ascii="Arial" w:eastAsia="Times New Roman" w:hAnsi="Arial" w:cs="Arial"/>
                <w:bCs/>
              </w:rPr>
            </w:pPr>
            <w:r>
              <w:rPr>
                <w:rFonts w:ascii="Arial" w:hAnsi="Arial" w:cs="Arial"/>
                <w:bCs/>
              </w:rPr>
              <w:t>Effect the necessary adjusting entries that will correct the P1.550 million overstatement of the Cash and Cash Equivalents and Accounts Payable accounts as of December 31, 2019 brought about by the erroneous entry reverting back to cash the issued checks that were already cleared by the concerned depository banks at year-end; and</w:t>
            </w:r>
          </w:p>
          <w:p>
            <w:pPr>
              <w:pStyle w:val="ListParagraph"/>
              <w:spacing w:after="0" w:line="240" w:lineRule="auto"/>
              <w:rPr>
                <w:rFonts w:ascii="Arial" w:hAnsi="Arial" w:cs="Arial"/>
                <w:bCs/>
              </w:rPr>
            </w:pPr>
          </w:p>
          <w:p>
            <w:pPr>
              <w:pStyle w:val="ListParagraph"/>
              <w:numPr>
                <w:ilvl w:val="0"/>
                <w:numId w:val="2"/>
              </w:numPr>
              <w:suppressAutoHyphens w:val="0"/>
              <w:spacing w:after="0" w:line="240" w:lineRule="auto"/>
              <w:ind w:left="357" w:hanging="357"/>
              <w:jc w:val="both"/>
              <w:rPr>
                <w:rFonts w:ascii="Arial" w:hAnsi="Arial" w:cs="Arial"/>
                <w:bCs/>
              </w:rPr>
            </w:pPr>
            <w:r>
              <w:rPr>
                <w:rFonts w:ascii="Arial" w:hAnsi="Arial" w:cs="Arial"/>
                <w:bCs/>
              </w:rPr>
              <w:t>Ensure the timely preparation of monthly BRSs for all the bank accounts of the PCSO to facilitate prompt reconciliation of discrepancies.</w:t>
            </w:r>
          </w:p>
          <w:p>
            <w:pPr>
              <w:pStyle w:val="ListParagraph"/>
              <w:suppressAutoHyphens w:val="0"/>
              <w:spacing w:after="0" w:line="240" w:lineRule="auto"/>
              <w:ind w:left="330"/>
              <w:jc w:val="both"/>
              <w:rPr>
                <w:rFonts w:ascii="Arial" w:hAnsi="Arial" w:cs="Arial"/>
                <w:bCs/>
              </w:rPr>
            </w:pPr>
          </w:p>
        </w:tc>
        <w:tc>
          <w:tcPr>
            <w:tcW w:w="2391" w:type="dxa"/>
            <w:shd w:val="clear" w:color="auto" w:fill="auto"/>
          </w:tcPr>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ind w:right="-105"/>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Reiterated with updates under Part II – Observation and Recommendation No. 3 of this Report.</w:t>
            </w:r>
          </w:p>
          <w:p>
            <w:pPr>
              <w:spacing w:after="0"/>
              <w:ind w:right="-108"/>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 xml:space="preserve"> </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ind w:right="-105"/>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Fully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Fully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tc>
      </w:tr>
      <w:tr>
        <w:trPr>
          <w:trHeight w:val="300"/>
        </w:trPr>
        <w:tc>
          <w:tcPr>
            <w:tcW w:w="1513" w:type="dxa"/>
            <w:shd w:val="clear" w:color="auto" w:fill="auto"/>
            <w:noWrap/>
          </w:tcPr>
          <w:p>
            <w:pPr>
              <w:suppressAutoHyphens w:val="0"/>
              <w:spacing w:after="0" w:line="240" w:lineRule="auto"/>
              <w:rPr>
                <w:rFonts w:ascii="Arial" w:hAnsi="Arial" w:cs="Arial"/>
              </w:rPr>
            </w:pPr>
            <w:r>
              <w:rPr>
                <w:rFonts w:ascii="Arial" w:hAnsi="Arial" w:cs="Arial"/>
              </w:rPr>
              <w:lastRenderedPageBreak/>
              <w:t>AO No. 5, Page 102</w:t>
            </w:r>
          </w:p>
        </w:tc>
        <w:tc>
          <w:tcPr>
            <w:tcW w:w="2740" w:type="dxa"/>
            <w:shd w:val="clear" w:color="auto" w:fill="auto"/>
          </w:tcPr>
          <w:p>
            <w:pPr>
              <w:suppressAutoHyphens w:val="0"/>
              <w:spacing w:after="0" w:line="240" w:lineRule="auto"/>
              <w:jc w:val="both"/>
              <w:rPr>
                <w:rFonts w:ascii="Arial" w:eastAsia="Times New Roman" w:hAnsi="Arial" w:cs="Arial"/>
                <w:lang w:val="en-PH" w:eastAsia="en-US"/>
              </w:rPr>
            </w:pPr>
            <w:r>
              <w:rPr>
                <w:rFonts w:ascii="Arial" w:hAnsi="Arial" w:cs="Arial"/>
                <w:lang w:val="en-PH"/>
              </w:rPr>
              <w:t xml:space="preserve">The faithful representation of the effects of the transactions relating to the Accounts Receivable (AR) account having a balance of P1.096 billion, net of Allowance for Impairment of P163.864 million, </w:t>
            </w:r>
            <w:r>
              <w:rPr>
                <w:rFonts w:ascii="Arial" w:hAnsi="Arial" w:cs="Arial"/>
              </w:rPr>
              <w:t>as of December 31, 2019 was not established due to various deficiencies enumerated below, contrary to Paragraph 15 of the PAS 1 and QC12 of the CFFR:</w:t>
            </w:r>
          </w:p>
          <w:p>
            <w:pPr>
              <w:pStyle w:val="ListParagraph"/>
              <w:spacing w:after="0" w:line="240" w:lineRule="auto"/>
              <w:ind w:left="576"/>
              <w:jc w:val="both"/>
              <w:rPr>
                <w:rFonts w:ascii="Arial" w:hAnsi="Arial" w:cs="Arial"/>
                <w:lang w:val="en-PH"/>
              </w:rPr>
            </w:pPr>
          </w:p>
          <w:p>
            <w:pPr>
              <w:pStyle w:val="ListParagraph"/>
              <w:numPr>
                <w:ilvl w:val="0"/>
                <w:numId w:val="3"/>
              </w:numPr>
              <w:suppressAutoHyphens w:val="0"/>
              <w:spacing w:after="0" w:line="240" w:lineRule="auto"/>
              <w:jc w:val="both"/>
              <w:rPr>
                <w:rFonts w:ascii="Arial" w:hAnsi="Arial" w:cs="Arial"/>
                <w:vanish/>
                <w:lang w:val="en-GB"/>
              </w:rPr>
            </w:pPr>
          </w:p>
          <w:p>
            <w:pPr>
              <w:pStyle w:val="ListParagraph"/>
              <w:numPr>
                <w:ilvl w:val="0"/>
                <w:numId w:val="3"/>
              </w:numPr>
              <w:suppressAutoHyphens w:val="0"/>
              <w:spacing w:after="0" w:line="240" w:lineRule="auto"/>
              <w:jc w:val="both"/>
              <w:rPr>
                <w:rFonts w:ascii="Arial" w:hAnsi="Arial" w:cs="Arial"/>
                <w:vanish/>
                <w:lang w:val="en-GB"/>
              </w:rPr>
            </w:pPr>
          </w:p>
          <w:p>
            <w:pPr>
              <w:pStyle w:val="ListParagraph"/>
              <w:numPr>
                <w:ilvl w:val="0"/>
                <w:numId w:val="4"/>
              </w:numPr>
              <w:suppressAutoHyphens w:val="0"/>
              <w:spacing w:after="0" w:line="240" w:lineRule="auto"/>
              <w:ind w:left="365" w:hanging="365"/>
              <w:jc w:val="both"/>
              <w:rPr>
                <w:rFonts w:ascii="Arial" w:eastAsia="Times New Roman" w:hAnsi="Arial" w:cs="Arial"/>
              </w:rPr>
            </w:pPr>
            <w:r>
              <w:rPr>
                <w:rFonts w:ascii="Arial" w:hAnsi="Arial" w:cs="Arial"/>
              </w:rPr>
              <w:t xml:space="preserve">Abnormal (credit) </w:t>
            </w:r>
            <w:r>
              <w:rPr>
                <w:rFonts w:ascii="Arial" w:hAnsi="Arial" w:cs="Arial"/>
              </w:rPr>
              <w:lastRenderedPageBreak/>
              <w:t>balances of four (4) AR sub-accounts totaling P681.735 million;</w:t>
            </w:r>
          </w:p>
          <w:p>
            <w:pPr>
              <w:pStyle w:val="ListParagraph"/>
              <w:spacing w:after="0" w:line="240" w:lineRule="auto"/>
              <w:ind w:left="365" w:hanging="284"/>
              <w:jc w:val="both"/>
              <w:rPr>
                <w:rFonts w:ascii="Arial" w:hAnsi="Arial" w:cs="Arial"/>
              </w:rPr>
            </w:pPr>
          </w:p>
          <w:p>
            <w:pPr>
              <w:pStyle w:val="ListParagraph"/>
              <w:numPr>
                <w:ilvl w:val="0"/>
                <w:numId w:val="4"/>
              </w:numPr>
              <w:suppressAutoHyphens w:val="0"/>
              <w:spacing w:after="0" w:line="240" w:lineRule="auto"/>
              <w:ind w:left="365" w:hanging="365"/>
              <w:jc w:val="both"/>
              <w:rPr>
                <w:rFonts w:ascii="Arial" w:hAnsi="Arial" w:cs="Arial"/>
              </w:rPr>
            </w:pPr>
            <w:r>
              <w:rPr>
                <w:rFonts w:ascii="Arial" w:hAnsi="Arial" w:cs="Arial"/>
              </w:rPr>
              <w:t>Variance in the total amount of P466.230 million between the account balances per General Ledger (GL) and the Aging Schedule resulting from prior period errors in posting of transactions; and</w:t>
            </w:r>
          </w:p>
          <w:p>
            <w:pPr>
              <w:pStyle w:val="ListParagraph"/>
              <w:spacing w:after="0" w:line="240" w:lineRule="auto"/>
              <w:ind w:left="365" w:hanging="284"/>
              <w:rPr>
                <w:rFonts w:ascii="Arial" w:hAnsi="Arial" w:cs="Arial"/>
              </w:rPr>
            </w:pPr>
          </w:p>
          <w:p>
            <w:pPr>
              <w:pStyle w:val="ListParagraph"/>
              <w:numPr>
                <w:ilvl w:val="0"/>
                <w:numId w:val="4"/>
              </w:numPr>
              <w:suppressAutoHyphens w:val="0"/>
              <w:spacing w:after="0" w:line="240" w:lineRule="auto"/>
              <w:ind w:left="365" w:hanging="422"/>
              <w:jc w:val="both"/>
              <w:rPr>
                <w:rFonts w:ascii="Arial" w:hAnsi="Arial" w:cs="Arial"/>
              </w:rPr>
            </w:pPr>
            <w:r>
              <w:rPr>
                <w:rFonts w:ascii="Arial" w:hAnsi="Arial" w:cs="Arial"/>
                <w:iCs/>
                <w:lang w:val="en-PH" w:eastAsia="ar-SA"/>
              </w:rPr>
              <w:t>Twelve (12) AR sub-accounts totaling P72.089 million cannot be validated due to absence of complete supporting subsidiary ledgers, schedules and the corresponding aging schedule.</w:t>
            </w:r>
          </w:p>
          <w:p>
            <w:pPr>
              <w:suppressAutoHyphens w:val="0"/>
              <w:spacing w:after="0" w:line="240" w:lineRule="auto"/>
              <w:jc w:val="both"/>
              <w:rPr>
                <w:rFonts w:ascii="Arial" w:hAnsi="Arial" w:cs="Arial"/>
                <w:lang w:val="en-PH" w:eastAsia="en-PH"/>
              </w:rPr>
            </w:pPr>
          </w:p>
        </w:tc>
        <w:tc>
          <w:tcPr>
            <w:tcW w:w="3060" w:type="dxa"/>
            <w:shd w:val="clear" w:color="auto" w:fill="auto"/>
          </w:tcPr>
          <w:p>
            <w:pPr>
              <w:suppressAutoHyphens w:val="0"/>
              <w:spacing w:after="0" w:line="240" w:lineRule="auto"/>
              <w:jc w:val="both"/>
              <w:rPr>
                <w:rFonts w:ascii="Arial" w:eastAsia="Times New Roman" w:hAnsi="Arial" w:cs="Arial"/>
                <w:bCs/>
                <w:lang w:val="en-PH" w:eastAsia="en-US"/>
              </w:rPr>
            </w:pPr>
            <w:r>
              <w:rPr>
                <w:rFonts w:ascii="Arial" w:hAnsi="Arial" w:cs="Arial"/>
                <w:bCs/>
              </w:rPr>
              <w:lastRenderedPageBreak/>
              <w:t>We recommended that Management:</w:t>
            </w:r>
          </w:p>
          <w:p>
            <w:pPr>
              <w:pStyle w:val="ListParagraph"/>
              <w:spacing w:after="0" w:line="240" w:lineRule="auto"/>
              <w:rPr>
                <w:rFonts w:ascii="Arial" w:hAnsi="Arial" w:cs="Arial"/>
                <w:bCs/>
                <w:sz w:val="20"/>
                <w:szCs w:val="20"/>
              </w:rPr>
            </w:pPr>
          </w:p>
          <w:p>
            <w:pPr>
              <w:pStyle w:val="ListParagraph"/>
              <w:numPr>
                <w:ilvl w:val="0"/>
                <w:numId w:val="5"/>
              </w:numPr>
              <w:suppressAutoHyphens w:val="0"/>
              <w:spacing w:after="0" w:line="240" w:lineRule="auto"/>
              <w:ind w:left="357" w:hanging="357"/>
              <w:jc w:val="both"/>
              <w:rPr>
                <w:rFonts w:ascii="Arial" w:hAnsi="Arial" w:cs="Arial"/>
              </w:rPr>
            </w:pPr>
            <w:r>
              <w:rPr>
                <w:rFonts w:ascii="Arial" w:hAnsi="Arial" w:cs="Arial"/>
              </w:rPr>
              <w:t xml:space="preserve">Direct the concerned Accounting personnel to: (i) conduct an immediate thorough evaluation of the AR sub-accounts with abnormal balances totaling P681.735 million; (ii) undertake closer coordination with the concerned Branch officials and employees in order to determine the specific cause/s thereof, and thereafter, effect the necessary adjusting </w:t>
            </w:r>
            <w:r>
              <w:rPr>
                <w:rFonts w:ascii="Arial" w:hAnsi="Arial" w:cs="Arial"/>
              </w:rPr>
              <w:lastRenderedPageBreak/>
              <w:t>entries to bring the accounts to their normal balances; and (iii)</w:t>
            </w:r>
            <w:r>
              <w:rPr>
                <w:rFonts w:ascii="Arial" w:hAnsi="Arial" w:cs="Arial"/>
                <w:lang w:eastAsia="ar-SA"/>
              </w:rPr>
              <w:t xml:space="preserve"> submit to the Audit Team the complete supporting schedules, subsidiary ledgers and aging schedules for the AR sub-accounts in the total amount of P72.089 million, pursuant to the provisions of PD No. 1445 and </w:t>
            </w:r>
            <w:r>
              <w:rPr>
                <w:rFonts w:ascii="Arial" w:hAnsi="Arial" w:cs="Arial"/>
              </w:rPr>
              <w:t>COA Circular No. 2015-004.</w:t>
            </w:r>
          </w:p>
          <w:p>
            <w:pPr>
              <w:pStyle w:val="ListParagraph"/>
              <w:spacing w:after="0" w:line="240" w:lineRule="auto"/>
              <w:ind w:left="357" w:hanging="284"/>
              <w:jc w:val="both"/>
              <w:rPr>
                <w:rFonts w:ascii="Arial" w:hAnsi="Arial" w:cs="Arial"/>
                <w:sz w:val="20"/>
                <w:szCs w:val="20"/>
              </w:rPr>
            </w:pPr>
          </w:p>
          <w:p>
            <w:pPr>
              <w:pStyle w:val="ListParagraph"/>
              <w:numPr>
                <w:ilvl w:val="0"/>
                <w:numId w:val="5"/>
              </w:numPr>
              <w:suppressAutoHyphens w:val="0"/>
              <w:spacing w:after="0" w:line="240" w:lineRule="auto"/>
              <w:ind w:left="357" w:hanging="284"/>
              <w:jc w:val="both"/>
              <w:rPr>
                <w:rFonts w:ascii="Arial" w:hAnsi="Arial" w:cs="Arial"/>
              </w:rPr>
            </w:pPr>
            <w:r>
              <w:rPr>
                <w:rFonts w:ascii="Arial" w:hAnsi="Arial" w:cs="Arial"/>
                <w:lang w:val="en-PH" w:eastAsia="ar-SA"/>
              </w:rPr>
              <w:t xml:space="preserve">Direct the ABD and the BOS to: </w:t>
            </w:r>
          </w:p>
          <w:p>
            <w:pPr>
              <w:pStyle w:val="ListParagraph"/>
              <w:rPr>
                <w:rFonts w:ascii="Arial" w:hAnsi="Arial" w:cs="Arial"/>
                <w:lang w:val="en-PH" w:eastAsia="ar-SA"/>
              </w:rPr>
            </w:pPr>
          </w:p>
          <w:p>
            <w:pPr>
              <w:pStyle w:val="ListParagraph"/>
              <w:suppressAutoHyphens w:val="0"/>
              <w:spacing w:after="0" w:line="240" w:lineRule="auto"/>
              <w:ind w:left="777" w:hanging="420"/>
              <w:jc w:val="both"/>
              <w:rPr>
                <w:rFonts w:ascii="Arial" w:hAnsi="Arial" w:cs="Arial"/>
              </w:rPr>
            </w:pPr>
            <w:r>
              <w:rPr>
                <w:rFonts w:ascii="Arial" w:hAnsi="Arial" w:cs="Arial"/>
                <w:lang w:val="en-PH" w:eastAsia="ar-SA"/>
              </w:rPr>
              <w:t>b.1. Conduct thorough analysis of the outstanding receivables due from each agent/debtor and reconcile their records in order to determine the causes of the P466.230 million variance between the balance per GL and the aging schedule of the subject receivables; and</w:t>
            </w:r>
          </w:p>
          <w:p>
            <w:pPr>
              <w:pStyle w:val="ListParagraph"/>
              <w:spacing w:after="0" w:line="240" w:lineRule="auto"/>
              <w:rPr>
                <w:rFonts w:ascii="Arial" w:hAnsi="Arial" w:cs="Arial"/>
                <w:lang w:val="en-PH" w:eastAsia="ar-SA"/>
              </w:rPr>
            </w:pPr>
          </w:p>
          <w:p>
            <w:pPr>
              <w:pStyle w:val="ListParagraph"/>
              <w:suppressAutoHyphens w:val="0"/>
              <w:spacing w:after="0" w:line="240" w:lineRule="auto"/>
              <w:ind w:left="777" w:hanging="420"/>
              <w:jc w:val="both"/>
              <w:rPr>
                <w:rFonts w:ascii="Arial" w:hAnsi="Arial" w:cs="Arial"/>
              </w:rPr>
            </w:pPr>
            <w:r>
              <w:rPr>
                <w:rFonts w:ascii="Arial" w:hAnsi="Arial" w:cs="Arial"/>
                <w:lang w:val="en-PH" w:eastAsia="ar-SA"/>
              </w:rPr>
              <w:t>b.2 Effect the necessary adjusting entries thereafter to ensure that the balance of the AR account presented in the financial statements faithfully represents the effects of transactions on the said account and properly supported with reliable financial records</w:t>
            </w:r>
            <w:r>
              <w:rPr>
                <w:rFonts w:ascii="Arial" w:hAnsi="Arial" w:cs="Arial"/>
                <w:bCs/>
                <w:lang w:val="en-PH" w:eastAsia="ar-SA"/>
              </w:rPr>
              <w:t>.</w:t>
            </w:r>
          </w:p>
        </w:tc>
        <w:tc>
          <w:tcPr>
            <w:tcW w:w="2391" w:type="dxa"/>
            <w:shd w:val="clear" w:color="auto" w:fill="auto"/>
          </w:tcPr>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ind w:right="-105"/>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Reiterated with updates under Part II – Observation and Recommendation No. 2 of this Report.</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ind w:right="-105"/>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ind w:right="-105"/>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tc>
      </w:tr>
      <w:tr>
        <w:trPr>
          <w:trHeight w:val="300"/>
        </w:trPr>
        <w:tc>
          <w:tcPr>
            <w:tcW w:w="1513" w:type="dxa"/>
            <w:shd w:val="clear" w:color="auto" w:fill="auto"/>
            <w:noWrap/>
          </w:tcPr>
          <w:p>
            <w:pPr>
              <w:suppressAutoHyphens w:val="0"/>
              <w:spacing w:after="0" w:line="240" w:lineRule="auto"/>
              <w:ind w:left="-107"/>
              <w:rPr>
                <w:rFonts w:ascii="Arial" w:hAnsi="Arial" w:cs="Arial"/>
              </w:rPr>
            </w:pPr>
            <w:r>
              <w:rPr>
                <w:rFonts w:ascii="Arial" w:hAnsi="Arial" w:cs="Arial"/>
              </w:rPr>
              <w:lastRenderedPageBreak/>
              <w:t>AO No. 6,</w:t>
            </w:r>
          </w:p>
          <w:p>
            <w:pPr>
              <w:suppressAutoHyphens w:val="0"/>
              <w:spacing w:after="0" w:line="240" w:lineRule="auto"/>
              <w:ind w:left="-107"/>
              <w:rPr>
                <w:rFonts w:ascii="Arial" w:hAnsi="Arial" w:cs="Arial"/>
              </w:rPr>
            </w:pPr>
            <w:r>
              <w:rPr>
                <w:rFonts w:ascii="Arial" w:hAnsi="Arial" w:cs="Arial"/>
              </w:rPr>
              <w:t>Page 106</w:t>
            </w:r>
          </w:p>
        </w:tc>
        <w:tc>
          <w:tcPr>
            <w:tcW w:w="2740" w:type="dxa"/>
            <w:shd w:val="clear" w:color="auto" w:fill="auto"/>
          </w:tcPr>
          <w:p>
            <w:pPr>
              <w:suppressAutoHyphens w:val="0"/>
              <w:spacing w:after="0" w:line="240" w:lineRule="auto"/>
              <w:jc w:val="both"/>
              <w:rPr>
                <w:rFonts w:ascii="Arial" w:eastAsia="Times New Roman" w:hAnsi="Arial" w:cs="Arial"/>
                <w:lang w:eastAsia="en-US"/>
              </w:rPr>
            </w:pPr>
            <w:r>
              <w:rPr>
                <w:rFonts w:ascii="Arial" w:hAnsi="Arial" w:cs="Arial"/>
              </w:rPr>
              <w:t>The faithful representation in the financial statements of the balance of the Property, Plant and Equipment (PPE) account in the carrying amount of P931.244 million as of December 31, 2019 could not be ascertained due to the following deficiencies:</w:t>
            </w:r>
          </w:p>
          <w:p>
            <w:pPr>
              <w:pStyle w:val="ListParagraph"/>
              <w:spacing w:after="0" w:line="240" w:lineRule="auto"/>
              <w:ind w:left="567"/>
              <w:jc w:val="both"/>
              <w:rPr>
                <w:rFonts w:ascii="Arial" w:hAnsi="Arial" w:cs="Arial"/>
              </w:rPr>
            </w:pPr>
          </w:p>
          <w:p>
            <w:pPr>
              <w:pStyle w:val="ListParagraph"/>
              <w:numPr>
                <w:ilvl w:val="0"/>
                <w:numId w:val="6"/>
              </w:numPr>
              <w:suppressAutoHyphens w:val="0"/>
              <w:spacing w:after="0" w:line="240" w:lineRule="auto"/>
              <w:ind w:left="365" w:hanging="424"/>
              <w:jc w:val="both"/>
              <w:rPr>
                <w:rFonts w:ascii="Arial" w:hAnsi="Arial" w:cs="Arial"/>
              </w:rPr>
            </w:pPr>
            <w:r>
              <w:rPr>
                <w:rFonts w:ascii="Arial" w:hAnsi="Arial" w:cs="Arial"/>
              </w:rPr>
              <w:t xml:space="preserve">Net discrepancy of P151.273 million existed between the carrying amount of depreciable PPE per books and the corresponding lapsing schedules; and </w:t>
            </w:r>
          </w:p>
          <w:p>
            <w:pPr>
              <w:pStyle w:val="ListParagraph"/>
              <w:spacing w:after="0" w:line="240" w:lineRule="auto"/>
              <w:ind w:left="365" w:hanging="344"/>
              <w:jc w:val="both"/>
              <w:rPr>
                <w:rFonts w:ascii="Arial" w:hAnsi="Arial" w:cs="Arial"/>
              </w:rPr>
            </w:pPr>
          </w:p>
          <w:p>
            <w:pPr>
              <w:pStyle w:val="ListParagraph"/>
              <w:numPr>
                <w:ilvl w:val="0"/>
                <w:numId w:val="6"/>
              </w:numPr>
              <w:suppressAutoHyphens w:val="0"/>
              <w:spacing w:after="0" w:line="240" w:lineRule="auto"/>
              <w:ind w:left="365" w:hanging="424"/>
              <w:jc w:val="both"/>
              <w:rPr>
                <w:rFonts w:ascii="Arial" w:hAnsi="Arial" w:cs="Arial"/>
              </w:rPr>
            </w:pPr>
            <w:r>
              <w:rPr>
                <w:rFonts w:ascii="Arial" w:hAnsi="Arial" w:cs="Arial"/>
              </w:rPr>
              <w:t xml:space="preserve">Results of the actual physical count of various PPE comprising the Head Office and the various Branch Offices disclosed material net discrepancy of P157.311 million when compared with the balance per books of the PPE account. </w:t>
            </w:r>
          </w:p>
          <w:p>
            <w:pPr>
              <w:suppressAutoHyphens w:val="0"/>
              <w:spacing w:after="0" w:line="240" w:lineRule="auto"/>
              <w:jc w:val="both"/>
              <w:rPr>
                <w:rFonts w:ascii="Arial" w:hAnsi="Arial" w:cs="Arial"/>
                <w:lang w:val="en-PH" w:eastAsia="en-PH"/>
              </w:rPr>
            </w:pPr>
          </w:p>
          <w:p>
            <w:pPr>
              <w:suppressAutoHyphens w:val="0"/>
              <w:spacing w:after="0" w:line="240" w:lineRule="auto"/>
              <w:jc w:val="both"/>
              <w:rPr>
                <w:rFonts w:ascii="Arial" w:hAnsi="Arial" w:cs="Arial"/>
                <w:lang w:val="en-PH" w:eastAsia="en-PH"/>
              </w:rPr>
            </w:pPr>
          </w:p>
          <w:p>
            <w:pPr>
              <w:suppressAutoHyphens w:val="0"/>
              <w:spacing w:after="0" w:line="240" w:lineRule="auto"/>
              <w:jc w:val="both"/>
              <w:rPr>
                <w:rFonts w:ascii="Arial" w:hAnsi="Arial" w:cs="Arial"/>
                <w:lang w:val="en-PH" w:eastAsia="en-PH"/>
              </w:rPr>
            </w:pPr>
          </w:p>
          <w:p>
            <w:pPr>
              <w:suppressAutoHyphens w:val="0"/>
              <w:spacing w:after="0" w:line="240" w:lineRule="auto"/>
              <w:jc w:val="both"/>
              <w:rPr>
                <w:rFonts w:ascii="Arial" w:hAnsi="Arial" w:cs="Arial"/>
                <w:lang w:val="en-PH" w:eastAsia="en-PH"/>
              </w:rPr>
            </w:pPr>
          </w:p>
        </w:tc>
        <w:tc>
          <w:tcPr>
            <w:tcW w:w="3060" w:type="dxa"/>
            <w:shd w:val="clear" w:color="auto" w:fill="auto"/>
          </w:tcPr>
          <w:p>
            <w:pPr>
              <w:suppressAutoHyphens w:val="0"/>
              <w:spacing w:after="0" w:line="240" w:lineRule="auto"/>
              <w:jc w:val="both"/>
              <w:rPr>
                <w:rFonts w:ascii="Arial" w:hAnsi="Arial" w:cs="Arial"/>
                <w:bCs/>
                <w:lang w:eastAsia="ar-SA"/>
              </w:rPr>
            </w:pPr>
            <w:r>
              <w:rPr>
                <w:rFonts w:ascii="Arial" w:hAnsi="Arial" w:cs="Arial"/>
              </w:rPr>
              <w:t>We reiterated our prior years’ recommendation that Management direct the concerned Accounting personnel to: (a) conduct an immediate reconciliation of the balances per books with the balances in the corresponding lapsing schedules to determine the causes of discrepancy of P151.273 million</w:t>
            </w:r>
            <w:r>
              <w:rPr>
                <w:rFonts w:ascii="Arial" w:hAnsi="Arial" w:cs="Arial"/>
                <w:lang w:eastAsia="ar-SA"/>
              </w:rPr>
              <w:t xml:space="preserve"> as of December 31, 2019; and (b) thereafter, effect the necessary adjusting entries to correct the balances of the affected accounts so that the PPE account shall be fairly presented in the financial statements.</w:t>
            </w:r>
          </w:p>
          <w:p>
            <w:pPr>
              <w:suppressAutoHyphens w:val="0"/>
              <w:spacing w:after="0" w:line="240" w:lineRule="auto"/>
              <w:jc w:val="both"/>
              <w:rPr>
                <w:rFonts w:ascii="Arial" w:hAnsi="Arial" w:cs="Arial"/>
                <w:bCs/>
                <w:lang w:eastAsia="ar-SA"/>
              </w:rPr>
            </w:pPr>
          </w:p>
          <w:p>
            <w:pPr>
              <w:suppressAutoHyphens w:val="0"/>
              <w:spacing w:after="0" w:line="240" w:lineRule="auto"/>
              <w:jc w:val="both"/>
              <w:rPr>
                <w:rFonts w:ascii="Arial" w:eastAsia="Times New Roman" w:hAnsi="Arial" w:cs="Arial"/>
                <w:bCs/>
                <w:lang w:eastAsia="en-US"/>
              </w:rPr>
            </w:pPr>
            <w:r>
              <w:rPr>
                <w:rFonts w:ascii="Arial" w:hAnsi="Arial" w:cs="Arial"/>
                <w:bCs/>
                <w:lang w:eastAsia="ar-SA"/>
              </w:rPr>
              <w:t>We also recommended that Management:</w:t>
            </w:r>
          </w:p>
          <w:p>
            <w:pPr>
              <w:pStyle w:val="ListParagraph"/>
              <w:spacing w:after="0" w:line="240" w:lineRule="auto"/>
              <w:rPr>
                <w:rFonts w:ascii="Arial" w:hAnsi="Arial" w:cs="Arial"/>
                <w:lang w:eastAsia="ar-SA"/>
              </w:rPr>
            </w:pPr>
          </w:p>
          <w:p>
            <w:pPr>
              <w:pStyle w:val="ListParagraph"/>
              <w:numPr>
                <w:ilvl w:val="0"/>
                <w:numId w:val="7"/>
              </w:numPr>
              <w:suppressAutoHyphens w:val="0"/>
              <w:spacing w:after="0" w:line="240" w:lineRule="auto"/>
              <w:ind w:left="357" w:hanging="427"/>
              <w:jc w:val="both"/>
              <w:rPr>
                <w:rFonts w:ascii="Arial" w:hAnsi="Arial" w:cs="Arial"/>
                <w:bCs/>
                <w:lang w:eastAsia="ar-SA"/>
              </w:rPr>
            </w:pPr>
            <w:r>
              <w:rPr>
                <w:rFonts w:ascii="Arial" w:hAnsi="Arial" w:cs="Arial"/>
                <w:bCs/>
                <w:lang w:eastAsia="ar-SA"/>
              </w:rPr>
              <w:t xml:space="preserve">Direct </w:t>
            </w:r>
            <w:r>
              <w:rPr>
                <w:rFonts w:ascii="Arial" w:hAnsi="Arial" w:cs="Arial"/>
                <w:bCs/>
              </w:rPr>
              <w:t>the concerned officials and employees to: (i) conduct immediate reconciliation of the balance per books with the corresponding balances per inventory report as of December 31, 2019 in order to determine the causes of the material net discrepancy of P157.311 million as of December 31, 201; and (ii) thereafter, effect necessary adjusting entries so that the balance of the PPE account shall be fairly presented in the financial statements</w:t>
            </w:r>
            <w:r>
              <w:rPr>
                <w:rFonts w:ascii="Arial" w:hAnsi="Arial" w:cs="Arial"/>
                <w:bCs/>
                <w:lang w:eastAsia="ar-SA"/>
              </w:rPr>
              <w:t xml:space="preserve">. </w:t>
            </w:r>
          </w:p>
          <w:p>
            <w:pPr>
              <w:pStyle w:val="ListParagraph"/>
              <w:spacing w:after="0" w:line="240" w:lineRule="auto"/>
              <w:ind w:left="357" w:hanging="284"/>
              <w:jc w:val="both"/>
              <w:rPr>
                <w:rFonts w:ascii="Arial" w:hAnsi="Arial" w:cs="Arial"/>
                <w:bCs/>
                <w:lang w:eastAsia="ar-SA"/>
              </w:rPr>
            </w:pPr>
          </w:p>
          <w:p>
            <w:pPr>
              <w:pStyle w:val="ListParagraph"/>
              <w:numPr>
                <w:ilvl w:val="0"/>
                <w:numId w:val="7"/>
              </w:numPr>
              <w:suppressAutoHyphens w:val="0"/>
              <w:spacing w:after="0" w:line="240" w:lineRule="auto"/>
              <w:ind w:left="357" w:hanging="427"/>
              <w:jc w:val="both"/>
              <w:rPr>
                <w:rFonts w:ascii="Arial" w:hAnsi="Arial" w:cs="Arial"/>
                <w:lang w:eastAsia="en-US"/>
              </w:rPr>
            </w:pPr>
            <w:r>
              <w:rPr>
                <w:rFonts w:ascii="Arial" w:hAnsi="Arial" w:cs="Arial"/>
                <w:bCs/>
              </w:rPr>
              <w:t xml:space="preserve">Conduct deeper investigation considering that the balance per </w:t>
            </w:r>
            <w:r>
              <w:rPr>
                <w:rFonts w:ascii="Arial" w:hAnsi="Arial" w:cs="Arial"/>
                <w:bCs/>
              </w:rPr>
              <w:lastRenderedPageBreak/>
              <w:t>books was greater than the balance per physical count, which may indicate missing items of PPE, and undertake the appropriate legal and/or administrative actions under the circumstances</w:t>
            </w:r>
            <w:r>
              <w:rPr>
                <w:rFonts w:ascii="Arial" w:hAnsi="Arial" w:cs="Arial"/>
              </w:rPr>
              <w:t>.</w:t>
            </w:r>
          </w:p>
          <w:p>
            <w:pPr>
              <w:suppressAutoHyphens w:val="0"/>
              <w:spacing w:after="0" w:line="240" w:lineRule="auto"/>
              <w:jc w:val="both"/>
              <w:rPr>
                <w:rFonts w:ascii="Arial" w:hAnsi="Arial" w:cs="Arial"/>
              </w:rPr>
            </w:pPr>
          </w:p>
        </w:tc>
        <w:tc>
          <w:tcPr>
            <w:tcW w:w="2391" w:type="dxa"/>
            <w:shd w:val="clear" w:color="auto" w:fill="auto"/>
          </w:tcPr>
          <w:p>
            <w:pPr>
              <w:suppressAutoHyphens w:val="0"/>
              <w:spacing w:after="0" w:line="240" w:lineRule="auto"/>
              <w:ind w:right="-111"/>
              <w:jc w:val="both"/>
              <w:rPr>
                <w:rFonts w:ascii="Arial" w:hAnsi="Arial" w:cs="Arial"/>
                <w:bCs/>
              </w:rPr>
            </w:pPr>
            <w:r>
              <w:rPr>
                <w:rFonts w:ascii="Arial" w:hAnsi="Arial" w:cs="Arial"/>
                <w:bCs/>
              </w:rPr>
              <w:lastRenderedPageBreak/>
              <w:t>Partially Implemented.</w:t>
            </w: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r>
              <w:rPr>
                <w:rFonts w:ascii="Arial" w:hAnsi="Arial" w:cs="Arial"/>
              </w:rPr>
              <w:t>Reconciliation between ABD and ASMD is still ongoing.</w:t>
            </w: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ind w:right="-111"/>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ind w:right="-111"/>
              <w:jc w:val="both"/>
              <w:rPr>
                <w:rFonts w:ascii="Arial" w:hAnsi="Arial" w:cs="Arial"/>
              </w:rPr>
            </w:pPr>
            <w:r>
              <w:rPr>
                <w:rFonts w:ascii="Arial" w:hAnsi="Arial" w:cs="Arial"/>
              </w:rPr>
              <w:t>Partially Implemented.</w:t>
            </w:r>
          </w:p>
        </w:tc>
      </w:tr>
      <w:tr>
        <w:trPr>
          <w:trHeight w:val="300"/>
        </w:trPr>
        <w:tc>
          <w:tcPr>
            <w:tcW w:w="1513" w:type="dxa"/>
            <w:shd w:val="clear" w:color="auto" w:fill="auto"/>
            <w:noWrap/>
          </w:tcPr>
          <w:p>
            <w:pPr>
              <w:suppressAutoHyphens w:val="0"/>
              <w:spacing w:after="0" w:line="240" w:lineRule="auto"/>
              <w:rPr>
                <w:rFonts w:ascii="Arial" w:hAnsi="Arial" w:cs="Arial"/>
              </w:rPr>
            </w:pPr>
            <w:r>
              <w:rPr>
                <w:rFonts w:ascii="Arial" w:hAnsi="Arial" w:cs="Arial"/>
              </w:rPr>
              <w:t>AO No. 7, Page 108</w:t>
            </w:r>
          </w:p>
        </w:tc>
        <w:tc>
          <w:tcPr>
            <w:tcW w:w="2740" w:type="dxa"/>
            <w:shd w:val="clear" w:color="auto" w:fill="auto"/>
          </w:tcPr>
          <w:p>
            <w:pPr>
              <w:suppressAutoHyphens w:val="0"/>
              <w:spacing w:after="0" w:line="240" w:lineRule="auto"/>
              <w:jc w:val="both"/>
              <w:rPr>
                <w:rFonts w:ascii="Arial" w:eastAsia="Times New Roman" w:hAnsi="Arial" w:cs="Arial"/>
                <w:lang w:eastAsia="ar-SA"/>
              </w:rPr>
            </w:pPr>
            <w:r>
              <w:rPr>
                <w:rFonts w:ascii="Arial" w:hAnsi="Arial" w:cs="Arial"/>
                <w:bCs/>
              </w:rPr>
              <w:t>The measurement of right-of-use asset and lease liability was not in accordance with the Philippine Financial Reporting Standard (PFRS) 16 – Leases, resulting in the overstatement of the Finance Lease Payable, Prepaid Rent and Depreciation Expense accounts by P26.508 million, P24.631 million and P1.473 million, respectively, and the corresponding understatement of Leased Assets, Accumulated Depreciation, Interest Expense, Rent Expense and Retained Earnings accounts by P97.512 million, P98.985 million, P1.063 million, P0.874 million and P0.868 million, respectively.</w:t>
            </w:r>
          </w:p>
          <w:p>
            <w:pPr>
              <w:suppressAutoHyphens w:val="0"/>
              <w:spacing w:after="0" w:line="240" w:lineRule="auto"/>
              <w:jc w:val="both"/>
              <w:rPr>
                <w:rFonts w:ascii="Arial" w:hAnsi="Arial" w:cs="Arial"/>
              </w:rPr>
            </w:pPr>
          </w:p>
        </w:tc>
        <w:tc>
          <w:tcPr>
            <w:tcW w:w="3060" w:type="dxa"/>
            <w:shd w:val="clear" w:color="auto" w:fill="auto"/>
          </w:tcPr>
          <w:p>
            <w:pPr>
              <w:suppressAutoHyphens w:val="0"/>
              <w:spacing w:after="0" w:line="240" w:lineRule="auto"/>
              <w:jc w:val="both"/>
              <w:rPr>
                <w:rFonts w:ascii="Arial" w:eastAsia="Times New Roman" w:hAnsi="Arial" w:cs="Arial"/>
                <w:lang w:eastAsia="en-US"/>
              </w:rPr>
            </w:pPr>
            <w:r>
              <w:rPr>
                <w:rFonts w:ascii="Arial" w:hAnsi="Arial" w:cs="Arial"/>
              </w:rPr>
              <w:t xml:space="preserve">We recommended that Management direct the concerned Accounting personnel to effect the necessary adjusting entries to correct the erroneous entries made on the transition from operating lease to finance lease in accordance with PFRS 16 as well as to correct the misstatements in various accounts. </w:t>
            </w:r>
          </w:p>
          <w:p>
            <w:pPr>
              <w:suppressAutoHyphens w:val="0"/>
              <w:spacing w:after="0" w:line="240" w:lineRule="auto"/>
              <w:jc w:val="both"/>
              <w:rPr>
                <w:rFonts w:ascii="Arial" w:hAnsi="Arial" w:cs="Arial"/>
              </w:rPr>
            </w:pPr>
          </w:p>
        </w:tc>
        <w:tc>
          <w:tcPr>
            <w:tcW w:w="2391" w:type="dxa"/>
            <w:shd w:val="clear" w:color="auto" w:fill="auto"/>
          </w:tcPr>
          <w:p>
            <w:pPr>
              <w:suppressAutoHyphens w:val="0"/>
              <w:spacing w:after="0" w:line="240" w:lineRule="auto"/>
              <w:jc w:val="both"/>
              <w:rPr>
                <w:rFonts w:ascii="Arial" w:hAnsi="Arial" w:cs="Arial"/>
                <w:bCs/>
              </w:rPr>
            </w:pPr>
            <w:r>
              <w:rPr>
                <w:rFonts w:ascii="Arial" w:hAnsi="Arial" w:cs="Arial"/>
                <w:bCs/>
              </w:rPr>
              <w:t>Fully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tc>
      </w:tr>
      <w:tr>
        <w:trPr>
          <w:trHeight w:val="300"/>
        </w:trPr>
        <w:tc>
          <w:tcPr>
            <w:tcW w:w="9704" w:type="dxa"/>
            <w:gridSpan w:val="4"/>
            <w:shd w:val="clear" w:color="auto" w:fill="auto"/>
            <w:noWrap/>
          </w:tcPr>
          <w:p>
            <w:pPr>
              <w:suppressAutoHyphens w:val="0"/>
              <w:spacing w:after="0" w:line="240" w:lineRule="auto"/>
              <w:jc w:val="both"/>
              <w:rPr>
                <w:rFonts w:ascii="Arial" w:hAnsi="Arial" w:cs="Arial"/>
                <w:b/>
                <w:bCs/>
                <w:u w:val="single"/>
              </w:rPr>
            </w:pPr>
            <w:r>
              <w:rPr>
                <w:rFonts w:ascii="Arial" w:hAnsi="Arial" w:cs="Arial"/>
                <w:b/>
                <w:bCs/>
                <w:u w:val="single"/>
              </w:rPr>
              <w:t>Other Observations</w:t>
            </w:r>
          </w:p>
        </w:tc>
      </w:tr>
      <w:tr>
        <w:trPr>
          <w:trHeight w:val="300"/>
        </w:trPr>
        <w:tc>
          <w:tcPr>
            <w:tcW w:w="1513" w:type="dxa"/>
            <w:shd w:val="clear" w:color="auto" w:fill="auto"/>
            <w:noWrap/>
          </w:tcPr>
          <w:p>
            <w:pPr>
              <w:suppressAutoHyphens w:val="0"/>
              <w:spacing w:after="0" w:line="240" w:lineRule="auto"/>
              <w:rPr>
                <w:rFonts w:ascii="Arial" w:hAnsi="Arial" w:cs="Arial"/>
              </w:rPr>
            </w:pPr>
            <w:r>
              <w:rPr>
                <w:rFonts w:ascii="Arial" w:hAnsi="Arial" w:cs="Arial"/>
              </w:rPr>
              <w:t>AO No. 8,</w:t>
            </w:r>
          </w:p>
          <w:p>
            <w:pPr>
              <w:suppressAutoHyphens w:val="0"/>
              <w:spacing w:after="0" w:line="240" w:lineRule="auto"/>
              <w:rPr>
                <w:rFonts w:ascii="Arial" w:hAnsi="Arial" w:cs="Arial"/>
              </w:rPr>
            </w:pPr>
            <w:r>
              <w:rPr>
                <w:rFonts w:ascii="Arial" w:hAnsi="Arial" w:cs="Arial"/>
              </w:rPr>
              <w:t>Page 113</w:t>
            </w:r>
          </w:p>
        </w:tc>
        <w:tc>
          <w:tcPr>
            <w:tcW w:w="2740" w:type="dxa"/>
            <w:shd w:val="clear" w:color="auto" w:fill="auto"/>
          </w:tcPr>
          <w:p>
            <w:pPr>
              <w:suppressAutoHyphens w:val="0"/>
              <w:spacing w:after="0" w:line="240" w:lineRule="auto"/>
              <w:jc w:val="both"/>
              <w:rPr>
                <w:rFonts w:ascii="Arial" w:eastAsia="Times New Roman" w:hAnsi="Arial" w:cs="Arial"/>
                <w:lang w:eastAsia="en-US"/>
              </w:rPr>
            </w:pPr>
            <w:r>
              <w:rPr>
                <w:rFonts w:ascii="Arial" w:hAnsi="Arial" w:cs="Arial"/>
              </w:rPr>
              <w:t xml:space="preserve">Seventeen (17) </w:t>
            </w:r>
            <w:r>
              <w:rPr>
                <w:rFonts w:ascii="Arial" w:hAnsi="Arial" w:cs="Arial"/>
                <w:iCs/>
              </w:rPr>
              <w:t xml:space="preserve">beneficiaries/recipients of the financial assistance for the procurement of medical equipment in the total amount of P206.286 million were unable to submit the Terminal Financial and </w:t>
            </w:r>
            <w:r>
              <w:rPr>
                <w:rFonts w:ascii="Arial" w:hAnsi="Arial" w:cs="Arial"/>
                <w:iCs/>
              </w:rPr>
              <w:lastRenderedPageBreak/>
              <w:t xml:space="preserve">Accomplishment Reports required under the Memorandum of Agreement (MOA) executed with the PCSO as well as the Terminal/Liquidation Reports provided under Section E.4 of the Implementing Guidelines of the Financial Assistance for the Procurement of Medical Equipment Program, hence, it cannot be determined whether the financial assistance was spent by the concerned beneficiaries for the purpose this was given. Likewise, the </w:t>
            </w:r>
            <w:r>
              <w:rPr>
                <w:rFonts w:ascii="Arial" w:hAnsi="Arial" w:cs="Arial"/>
              </w:rPr>
              <w:t>Disbursement Vouchers (DVs) for the grant of medical equipment assistance to eight (8) beneficiaries/recipients during CY 2019 amounting to P105.328 million were processed despite the absence of certified copies of Abstract of Bids duly signed by the Bids and Awards Committee (BAC) Members and certified true copies of the Purchase Orders (POs) or Contracts, contrary to Section D.1 of the Financial Assistance for the Procurement of Medical Equipment Program Implementing Guidelines.</w:t>
            </w:r>
          </w:p>
          <w:p>
            <w:pPr>
              <w:suppressAutoHyphens w:val="0"/>
              <w:spacing w:after="0" w:line="240" w:lineRule="auto"/>
              <w:jc w:val="both"/>
              <w:rPr>
                <w:rFonts w:ascii="Arial" w:hAnsi="Arial" w:cs="Arial"/>
                <w:lang w:val="en-PH" w:eastAsia="en-PH"/>
              </w:rPr>
            </w:pPr>
          </w:p>
        </w:tc>
        <w:tc>
          <w:tcPr>
            <w:tcW w:w="3060" w:type="dxa"/>
            <w:shd w:val="clear" w:color="auto" w:fill="auto"/>
          </w:tcPr>
          <w:p>
            <w:pPr>
              <w:suppressAutoHyphens w:val="0"/>
              <w:spacing w:after="0" w:line="240" w:lineRule="auto"/>
              <w:jc w:val="both"/>
              <w:rPr>
                <w:rFonts w:ascii="Arial" w:eastAsia="Times New Roman" w:hAnsi="Arial" w:cs="Arial"/>
                <w:bCs/>
                <w:lang w:eastAsia="en-US"/>
              </w:rPr>
            </w:pPr>
            <w:r>
              <w:rPr>
                <w:rFonts w:ascii="Arial" w:hAnsi="Arial" w:cs="Arial"/>
                <w:bCs/>
              </w:rPr>
              <w:lastRenderedPageBreak/>
              <w:t>We recommended that Management cause the immediate submission of the:</w:t>
            </w:r>
          </w:p>
          <w:p>
            <w:pPr>
              <w:pStyle w:val="ListParagraph"/>
              <w:spacing w:after="0" w:line="240" w:lineRule="auto"/>
              <w:ind w:left="1440"/>
              <w:jc w:val="both"/>
              <w:rPr>
                <w:rFonts w:ascii="Arial" w:hAnsi="Arial" w:cs="Arial"/>
                <w:bCs/>
              </w:rPr>
            </w:pPr>
          </w:p>
          <w:p>
            <w:pPr>
              <w:pStyle w:val="ListParagraph"/>
              <w:numPr>
                <w:ilvl w:val="0"/>
                <w:numId w:val="8"/>
              </w:numPr>
              <w:tabs>
                <w:tab w:val="left" w:pos="72"/>
              </w:tabs>
              <w:suppressAutoHyphens w:val="0"/>
              <w:spacing w:after="0" w:line="240" w:lineRule="auto"/>
              <w:ind w:left="357" w:hanging="357"/>
              <w:jc w:val="both"/>
              <w:rPr>
                <w:rFonts w:ascii="Arial" w:hAnsi="Arial" w:cs="Arial"/>
                <w:bCs/>
              </w:rPr>
            </w:pPr>
            <w:r>
              <w:rPr>
                <w:rFonts w:ascii="Arial" w:hAnsi="Arial" w:cs="Arial"/>
                <w:bCs/>
              </w:rPr>
              <w:t xml:space="preserve">Terminal Financial and Accomplishment Reports required under the MOA as well as the </w:t>
            </w:r>
            <w:r>
              <w:rPr>
                <w:rFonts w:ascii="Arial" w:hAnsi="Arial" w:cs="Arial"/>
                <w:bCs/>
              </w:rPr>
              <w:lastRenderedPageBreak/>
              <w:t>Terminal/Liquidation Reports required under Section E.4 of the Implementing Guidelines for the subject program by the concerned beneficiaries/recipients in order to properly monitor and determine whether the financial assistance granted was utilized for the purpose it was given as well as to ensure that there was no wastage of government resources; and</w:t>
            </w:r>
          </w:p>
          <w:p>
            <w:pPr>
              <w:pStyle w:val="ListParagraph"/>
              <w:spacing w:after="0" w:line="240" w:lineRule="auto"/>
              <w:ind w:left="357" w:hanging="284"/>
              <w:jc w:val="both"/>
              <w:rPr>
                <w:rFonts w:ascii="Arial" w:hAnsi="Arial" w:cs="Arial"/>
                <w:bCs/>
              </w:rPr>
            </w:pPr>
          </w:p>
          <w:p>
            <w:pPr>
              <w:pStyle w:val="ListParagraph"/>
              <w:numPr>
                <w:ilvl w:val="0"/>
                <w:numId w:val="8"/>
              </w:numPr>
              <w:suppressAutoHyphens w:val="0"/>
              <w:spacing w:after="0" w:line="240" w:lineRule="auto"/>
              <w:ind w:left="357" w:hanging="284"/>
              <w:jc w:val="both"/>
              <w:rPr>
                <w:rFonts w:ascii="Arial" w:hAnsi="Arial" w:cs="Arial"/>
                <w:bCs/>
              </w:rPr>
            </w:pPr>
            <w:r>
              <w:rPr>
                <w:rFonts w:ascii="Arial" w:hAnsi="Arial" w:cs="Arial"/>
                <w:bCs/>
              </w:rPr>
              <w:t>Certified true copies of the Abstract of Bids duly signed by the BAC Members and certified true copies of the POs or Contracts required under Section D.1 of the Implementing Guidelines for the Financial Assistance for the Procurement of Medical Equipment Program to support the corresponding DVs processed and approved pertaining to the grant of the financial assistance to eight (8) beneficiaries/recipients. Otherwise, the transactions shall be suspended in audit for lack of necessary supporting documents.</w:t>
            </w:r>
          </w:p>
          <w:p>
            <w:pPr>
              <w:spacing w:after="0" w:line="240" w:lineRule="auto"/>
              <w:jc w:val="both"/>
              <w:rPr>
                <w:rFonts w:ascii="Arial" w:hAnsi="Arial" w:cs="Arial"/>
              </w:rPr>
            </w:pPr>
          </w:p>
        </w:tc>
        <w:tc>
          <w:tcPr>
            <w:tcW w:w="2391" w:type="dxa"/>
            <w:shd w:val="clear" w:color="auto" w:fill="auto"/>
          </w:tcPr>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ind w:right="-111"/>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 xml:space="preserve">Out of the 17 beneficiaries for the </w:t>
            </w:r>
            <w:r>
              <w:rPr>
                <w:rFonts w:ascii="Arial" w:hAnsi="Arial" w:cs="Arial"/>
                <w:bCs/>
              </w:rPr>
              <w:lastRenderedPageBreak/>
              <w:t>Procurement of Medical Equipment Program, seven have submitted the Liquidation reports and supporting documents</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Fully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tc>
      </w:tr>
      <w:tr>
        <w:trPr>
          <w:trHeight w:val="300"/>
        </w:trPr>
        <w:tc>
          <w:tcPr>
            <w:tcW w:w="1513" w:type="dxa"/>
            <w:shd w:val="clear" w:color="auto" w:fill="auto"/>
            <w:noWrap/>
          </w:tcPr>
          <w:p>
            <w:pPr>
              <w:suppressAutoHyphens w:val="0"/>
              <w:spacing w:after="0" w:line="240" w:lineRule="auto"/>
              <w:rPr>
                <w:rFonts w:ascii="Arial" w:hAnsi="Arial" w:cs="Arial"/>
              </w:rPr>
            </w:pPr>
            <w:r>
              <w:rPr>
                <w:rFonts w:ascii="Arial" w:hAnsi="Arial" w:cs="Arial"/>
              </w:rPr>
              <w:lastRenderedPageBreak/>
              <w:t>AO No. 9, Page 116</w:t>
            </w: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r>
              <w:rPr>
                <w:rFonts w:ascii="Arial" w:hAnsi="Arial" w:cs="Arial"/>
              </w:rPr>
              <w:t>AO No. 10, Page 119</w:t>
            </w: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pacing w:after="0" w:line="240" w:lineRule="auto"/>
              <w:rPr>
                <w:rFonts w:ascii="Arial" w:hAnsi="Arial" w:cs="Arial"/>
              </w:rPr>
            </w:pPr>
          </w:p>
          <w:p>
            <w:pPr>
              <w:spacing w:after="0" w:line="240" w:lineRule="auto"/>
              <w:rPr>
                <w:rFonts w:ascii="Arial" w:hAnsi="Arial" w:cs="Arial"/>
              </w:rPr>
            </w:pPr>
          </w:p>
          <w:p>
            <w:pPr>
              <w:spacing w:after="0" w:line="240" w:lineRule="auto"/>
              <w:rPr>
                <w:rFonts w:ascii="Arial" w:hAnsi="Arial" w:cs="Arial"/>
              </w:rPr>
            </w:pPr>
          </w:p>
          <w:p>
            <w:pPr>
              <w:spacing w:after="0" w:line="240" w:lineRule="auto"/>
              <w:rPr>
                <w:rFonts w:ascii="Arial" w:hAnsi="Arial" w:cs="Arial"/>
              </w:rPr>
            </w:pPr>
          </w:p>
          <w:p>
            <w:pPr>
              <w:spacing w:after="0" w:line="240" w:lineRule="auto"/>
              <w:rPr>
                <w:rFonts w:ascii="Arial" w:hAnsi="Arial" w:cs="Arial"/>
              </w:rPr>
            </w:pPr>
          </w:p>
        </w:tc>
        <w:tc>
          <w:tcPr>
            <w:tcW w:w="2740" w:type="dxa"/>
            <w:shd w:val="clear" w:color="auto" w:fill="auto"/>
          </w:tcPr>
          <w:p>
            <w:pPr>
              <w:suppressAutoHyphens w:val="0"/>
              <w:spacing w:after="0" w:line="240" w:lineRule="auto"/>
              <w:jc w:val="both"/>
              <w:rPr>
                <w:rFonts w:ascii="Arial" w:hAnsi="Arial" w:cs="Arial"/>
              </w:rPr>
            </w:pPr>
            <w:r>
              <w:rPr>
                <w:rFonts w:ascii="Arial" w:hAnsi="Arial" w:cs="Arial"/>
                <w:lang w:eastAsia="en-PH"/>
              </w:rPr>
              <w:lastRenderedPageBreak/>
              <w:t xml:space="preserve">The implementation of the </w:t>
            </w:r>
            <w:r>
              <w:rPr>
                <w:rFonts w:ascii="Arial" w:hAnsi="Arial" w:cs="Arial"/>
              </w:rPr>
              <w:t xml:space="preserve">Ambulance Donation Program of the PCSO, particularly those </w:t>
            </w:r>
            <w:r>
              <w:rPr>
                <w:rFonts w:ascii="Arial" w:hAnsi="Arial" w:cs="Arial"/>
              </w:rPr>
              <w:lastRenderedPageBreak/>
              <w:t>pertaining to the 221 units of ambulance released to the approved beneficiaries/ recipients during CY 2017 disclosed the following deficiencies:</w:t>
            </w:r>
          </w:p>
          <w:p>
            <w:pPr>
              <w:suppressAutoHyphens w:val="0"/>
              <w:spacing w:after="0" w:line="240" w:lineRule="auto"/>
              <w:jc w:val="both"/>
              <w:rPr>
                <w:rFonts w:ascii="Arial" w:eastAsia="Times New Roman" w:hAnsi="Arial" w:cs="Arial"/>
                <w:lang w:eastAsia="en-US"/>
              </w:rPr>
            </w:pPr>
          </w:p>
          <w:p>
            <w:pPr>
              <w:pStyle w:val="ListParagraph"/>
              <w:numPr>
                <w:ilvl w:val="0"/>
                <w:numId w:val="9"/>
              </w:numPr>
              <w:suppressAutoHyphens w:val="0"/>
              <w:spacing w:after="0" w:line="240" w:lineRule="auto"/>
              <w:ind w:left="223" w:hanging="283"/>
              <w:contextualSpacing w:val="0"/>
              <w:jc w:val="both"/>
              <w:rPr>
                <w:rFonts w:ascii="Arial" w:hAnsi="Arial" w:cs="Arial"/>
              </w:rPr>
            </w:pPr>
            <w:r>
              <w:rPr>
                <w:rFonts w:ascii="Arial" w:hAnsi="Arial" w:cs="Arial"/>
              </w:rPr>
              <w:t>Recipients of the thirteen (13) units of ambulance did not cover the said vehicles with comprehensive insurance to answer for any damage sustained or caused by these to any third party, contrary to the requirement under Section 2, Article III of the Deed of Donation (DOD);</w:t>
            </w:r>
          </w:p>
          <w:p>
            <w:pPr>
              <w:pStyle w:val="ListParagraph"/>
              <w:spacing w:after="0" w:line="240" w:lineRule="auto"/>
              <w:ind w:left="223" w:hanging="283"/>
              <w:jc w:val="both"/>
              <w:rPr>
                <w:rFonts w:ascii="Arial" w:hAnsi="Arial" w:cs="Arial"/>
                <w:sz w:val="24"/>
                <w:szCs w:val="24"/>
              </w:rPr>
            </w:pPr>
          </w:p>
          <w:p>
            <w:pPr>
              <w:pStyle w:val="ListParagraph"/>
              <w:numPr>
                <w:ilvl w:val="0"/>
                <w:numId w:val="9"/>
              </w:numPr>
              <w:suppressAutoHyphens w:val="0"/>
              <w:spacing w:after="0" w:line="240" w:lineRule="auto"/>
              <w:ind w:left="223" w:hanging="283"/>
              <w:contextualSpacing w:val="0"/>
              <w:jc w:val="both"/>
              <w:rPr>
                <w:rFonts w:ascii="Arial" w:hAnsi="Arial" w:cs="Arial"/>
              </w:rPr>
            </w:pPr>
            <w:r>
              <w:rPr>
                <w:rFonts w:ascii="Arial" w:hAnsi="Arial" w:cs="Arial"/>
              </w:rPr>
              <w:t>Forty-one (41) beneficiaries did not submit to the Assets and Supply Management Division (ASMD) of the PCSO a report on the utilization of the donated ambulance units as required under Section 3, Article III of the DOD; and</w:t>
            </w:r>
          </w:p>
          <w:p>
            <w:pPr>
              <w:pStyle w:val="ListParagraph"/>
              <w:spacing w:after="0" w:line="240" w:lineRule="auto"/>
              <w:ind w:left="223" w:hanging="283"/>
              <w:rPr>
                <w:rFonts w:ascii="Arial" w:hAnsi="Arial" w:cs="Arial"/>
              </w:rPr>
            </w:pPr>
          </w:p>
          <w:p>
            <w:pPr>
              <w:pStyle w:val="ListParagraph"/>
              <w:numPr>
                <w:ilvl w:val="0"/>
                <w:numId w:val="9"/>
              </w:numPr>
              <w:suppressAutoHyphens w:val="0"/>
              <w:spacing w:after="0" w:line="240" w:lineRule="auto"/>
              <w:ind w:left="223" w:hanging="283"/>
              <w:contextualSpacing w:val="0"/>
              <w:jc w:val="both"/>
              <w:rPr>
                <w:rFonts w:ascii="Arial" w:hAnsi="Arial" w:cs="Arial"/>
              </w:rPr>
            </w:pPr>
            <w:r>
              <w:rPr>
                <w:rFonts w:ascii="Arial" w:hAnsi="Arial" w:cs="Arial"/>
              </w:rPr>
              <w:t>Fifteen (15) donated ambulances have not been put into operation for a long period of time due to various engine problems, defeating the purpose for which these were given.</w:t>
            </w:r>
          </w:p>
          <w:p>
            <w:pPr>
              <w:spacing w:after="0" w:line="240" w:lineRule="auto"/>
              <w:jc w:val="both"/>
              <w:rPr>
                <w:rFonts w:ascii="Arial" w:hAnsi="Arial" w:cs="Arial"/>
              </w:rPr>
            </w:pPr>
          </w:p>
          <w:p>
            <w:pPr>
              <w:suppressAutoHyphens w:val="0"/>
              <w:spacing w:after="0" w:line="240" w:lineRule="auto"/>
              <w:jc w:val="both"/>
              <w:rPr>
                <w:rFonts w:ascii="Arial" w:hAnsi="Arial" w:cs="Arial"/>
              </w:rPr>
            </w:pPr>
            <w:r>
              <w:rPr>
                <w:rFonts w:ascii="Arial" w:hAnsi="Arial" w:cs="Arial"/>
              </w:rPr>
              <w:t xml:space="preserve">Absence of provisions in the 2019 Revised Implementing Rules and Regulations (RIRR) for </w:t>
            </w:r>
            <w:r>
              <w:rPr>
                <w:rFonts w:ascii="Arial" w:hAnsi="Arial" w:cs="Arial"/>
              </w:rPr>
              <w:lastRenderedPageBreak/>
              <w:t xml:space="preserve">the Small Town Lottery (STL) and the 2017 RIRR for the Instant Sweepstakes of the PCSO </w:t>
            </w:r>
            <w:r>
              <w:rPr>
                <w:rFonts w:ascii="Arial" w:hAnsi="Arial" w:cs="Arial"/>
                <w:lang w:val="en-PH"/>
              </w:rPr>
              <w:t xml:space="preserve">on the proper accounting and monitoring of the allocation for printing costs retained by the </w:t>
            </w:r>
            <w:r>
              <w:rPr>
                <w:rFonts w:ascii="Arial" w:hAnsi="Arial" w:cs="Arial"/>
              </w:rPr>
              <w:t>Authorized Agent Corporations</w:t>
            </w:r>
            <w:r>
              <w:rPr>
                <w:rFonts w:ascii="Arial" w:hAnsi="Arial" w:cs="Arial"/>
                <w:lang w:val="en-PH"/>
              </w:rPr>
              <w:t xml:space="preserve"> (AACs) and the </w:t>
            </w:r>
            <w:r>
              <w:rPr>
                <w:rFonts w:ascii="Arial" w:hAnsi="Arial" w:cs="Arial"/>
              </w:rPr>
              <w:t>Instant Sweepstakes Authorized Corporation</w:t>
            </w:r>
            <w:r>
              <w:rPr>
                <w:rFonts w:ascii="Arial" w:hAnsi="Arial" w:cs="Arial"/>
                <w:lang w:val="en-PH"/>
              </w:rPr>
              <w:t xml:space="preserve"> (ISAC) in the total amount of  </w:t>
            </w:r>
            <w:r>
              <w:rPr>
                <w:rFonts w:ascii="Arial" w:hAnsi="Arial" w:cs="Arial"/>
              </w:rPr>
              <w:t>P197.284 million during CY 2019</w:t>
            </w:r>
            <w:r>
              <w:rPr>
                <w:rFonts w:ascii="Arial" w:hAnsi="Arial" w:cs="Arial"/>
                <w:lang w:val="en-PH"/>
              </w:rPr>
              <w:t xml:space="preserve"> resulted in apparent absence of internal </w:t>
            </w:r>
            <w:r>
              <w:rPr>
                <w:rFonts w:ascii="Arial" w:hAnsi="Arial" w:cs="Arial"/>
              </w:rPr>
              <w:t>control system that will ensure that government funds are safeguarded against loss or wastage through illegal or improper disposition,  contrary to Section 2 of Presidential Decree (PD) No. 1445.</w:t>
            </w:r>
          </w:p>
        </w:tc>
        <w:tc>
          <w:tcPr>
            <w:tcW w:w="3060" w:type="dxa"/>
            <w:shd w:val="clear" w:color="auto" w:fill="auto"/>
          </w:tcPr>
          <w:p>
            <w:pPr>
              <w:suppressAutoHyphens w:val="0"/>
              <w:spacing w:after="0" w:line="240" w:lineRule="auto"/>
              <w:jc w:val="both"/>
              <w:rPr>
                <w:rFonts w:ascii="Arial" w:eastAsia="Times New Roman" w:hAnsi="Arial" w:cs="Arial"/>
                <w:bCs/>
                <w:lang w:eastAsia="en-US"/>
              </w:rPr>
            </w:pPr>
            <w:r>
              <w:rPr>
                <w:rFonts w:ascii="Arial" w:hAnsi="Arial" w:cs="Arial"/>
                <w:bCs/>
              </w:rPr>
              <w:lastRenderedPageBreak/>
              <w:t>We recommended that Management:</w:t>
            </w:r>
          </w:p>
          <w:p>
            <w:pPr>
              <w:suppressAutoHyphens w:val="0"/>
              <w:spacing w:after="0" w:line="240" w:lineRule="auto"/>
              <w:jc w:val="both"/>
              <w:rPr>
                <w:rFonts w:ascii="Arial" w:eastAsia="Times New Roman" w:hAnsi="Arial" w:cs="Arial"/>
                <w:bCs/>
                <w:lang w:eastAsia="en-US"/>
              </w:rPr>
            </w:pPr>
          </w:p>
          <w:p>
            <w:pPr>
              <w:pStyle w:val="ListParagraph"/>
              <w:numPr>
                <w:ilvl w:val="0"/>
                <w:numId w:val="10"/>
              </w:numPr>
              <w:suppressAutoHyphens w:val="0"/>
              <w:spacing w:after="0" w:line="240" w:lineRule="auto"/>
              <w:ind w:left="357" w:hanging="357"/>
              <w:contextualSpacing w:val="0"/>
              <w:jc w:val="both"/>
              <w:rPr>
                <w:rFonts w:ascii="Arial" w:hAnsi="Arial" w:cs="Arial"/>
                <w:bCs/>
              </w:rPr>
            </w:pPr>
            <w:r>
              <w:rPr>
                <w:rFonts w:ascii="Arial" w:hAnsi="Arial" w:cs="Arial"/>
                <w:bCs/>
              </w:rPr>
              <w:t xml:space="preserve">Direct the concerned </w:t>
            </w:r>
            <w:r>
              <w:rPr>
                <w:rFonts w:ascii="Arial" w:hAnsi="Arial" w:cs="Arial"/>
                <w:bCs/>
              </w:rPr>
              <w:lastRenderedPageBreak/>
              <w:t>official to closely monitor compliance by the Donees with Section 2, Article III of the DOD in order to ensure that donated ambulance units are covered with the required annual comprehensive insurance;</w:t>
            </w:r>
          </w:p>
          <w:p>
            <w:pPr>
              <w:spacing w:after="0" w:line="240" w:lineRule="auto"/>
              <w:jc w:val="both"/>
              <w:rPr>
                <w:rFonts w:ascii="Arial" w:hAnsi="Arial" w:cs="Arial"/>
                <w:bCs/>
              </w:rPr>
            </w:pPr>
          </w:p>
          <w:p>
            <w:pPr>
              <w:pStyle w:val="ListParagraph"/>
              <w:numPr>
                <w:ilvl w:val="0"/>
                <w:numId w:val="10"/>
              </w:numPr>
              <w:suppressAutoHyphens w:val="0"/>
              <w:spacing w:after="0" w:line="240" w:lineRule="auto"/>
              <w:ind w:left="357" w:hanging="357"/>
              <w:contextualSpacing w:val="0"/>
              <w:jc w:val="both"/>
              <w:rPr>
                <w:rFonts w:ascii="Arial" w:hAnsi="Arial" w:cs="Arial"/>
                <w:bCs/>
              </w:rPr>
            </w:pPr>
            <w:r>
              <w:rPr>
                <w:rFonts w:ascii="Arial" w:hAnsi="Arial" w:cs="Arial"/>
                <w:bCs/>
              </w:rPr>
              <w:t>Direct the concerned personnel of the ASMD to ensure compliance by the Donees with Section 3, Article III of the DOD, which requires the submission of a semi-annual report to the ASMD on the utilization of the PCSO donated ambulance units in order to determine whether the said units were utilized for the intended purpose; and</w:t>
            </w:r>
          </w:p>
          <w:p>
            <w:pPr>
              <w:pStyle w:val="ListParagraph"/>
              <w:spacing w:after="0" w:line="240" w:lineRule="auto"/>
              <w:ind w:left="357" w:hanging="211"/>
              <w:rPr>
                <w:rFonts w:ascii="Arial" w:hAnsi="Arial" w:cs="Arial"/>
                <w:bCs/>
              </w:rPr>
            </w:pPr>
          </w:p>
          <w:p>
            <w:pPr>
              <w:pStyle w:val="ListParagraph"/>
              <w:numPr>
                <w:ilvl w:val="0"/>
                <w:numId w:val="10"/>
              </w:numPr>
              <w:suppressAutoHyphens w:val="0"/>
              <w:spacing w:after="0" w:line="240" w:lineRule="auto"/>
              <w:ind w:left="357" w:hanging="357"/>
              <w:contextualSpacing w:val="0"/>
              <w:jc w:val="both"/>
              <w:rPr>
                <w:rFonts w:ascii="Arial" w:hAnsi="Arial" w:cs="Arial"/>
                <w:bCs/>
              </w:rPr>
            </w:pPr>
            <w:r>
              <w:rPr>
                <w:rFonts w:ascii="Arial" w:hAnsi="Arial" w:cs="Arial"/>
                <w:bCs/>
              </w:rPr>
              <w:t>Monitor all donated units of ambulance to determine their status/conditions and assist/inform the beneficiaries with defective units on how to coordinate with the concerned supplier/ dealer of the ambulances regarding the provisions under the Special Condition of the Contract with the Supplier.</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eastAsia="Times New Roman" w:hAnsi="Arial" w:cs="Arial"/>
                <w:bCs/>
                <w:lang w:eastAsia="en-US"/>
              </w:rPr>
            </w:pPr>
            <w:r>
              <w:rPr>
                <w:rFonts w:ascii="Arial" w:hAnsi="Arial" w:cs="Arial"/>
                <w:bCs/>
              </w:rPr>
              <w:t>We recommended that Management:</w:t>
            </w:r>
          </w:p>
          <w:p>
            <w:pPr>
              <w:pStyle w:val="ListParagraph"/>
              <w:spacing w:after="0" w:line="240" w:lineRule="auto"/>
              <w:ind w:left="1440"/>
              <w:jc w:val="both"/>
              <w:rPr>
                <w:rFonts w:ascii="Arial" w:hAnsi="Arial" w:cs="Arial"/>
                <w:bCs/>
              </w:rPr>
            </w:pPr>
          </w:p>
          <w:p>
            <w:pPr>
              <w:pStyle w:val="ListParagraph"/>
              <w:numPr>
                <w:ilvl w:val="0"/>
                <w:numId w:val="11"/>
              </w:numPr>
              <w:tabs>
                <w:tab w:val="left" w:pos="1418"/>
              </w:tabs>
              <w:suppressAutoHyphens w:val="0"/>
              <w:spacing w:after="0" w:line="240" w:lineRule="auto"/>
              <w:ind w:left="357" w:hanging="357"/>
              <w:contextualSpacing w:val="0"/>
              <w:jc w:val="both"/>
              <w:rPr>
                <w:rFonts w:ascii="Arial" w:hAnsi="Arial" w:cs="Arial"/>
                <w:bCs/>
              </w:rPr>
            </w:pPr>
            <w:r>
              <w:rPr>
                <w:rFonts w:ascii="Arial" w:hAnsi="Arial" w:cs="Arial"/>
                <w:bCs/>
              </w:rPr>
              <w:t xml:space="preserve">Revisit the 2019 RIRR </w:t>
            </w:r>
            <w:r>
              <w:rPr>
                <w:rFonts w:ascii="Arial" w:hAnsi="Arial" w:cs="Arial"/>
                <w:bCs/>
              </w:rPr>
              <w:lastRenderedPageBreak/>
              <w:t>for the STL and the 2017 RIRR for the Instant Sweepstakes and consider amending certain provisions relating to the printing costs of STL and Instant Sweepstakes tickets to include guidelines on the proper accounting, reporting and monitoring thereof; and</w:t>
            </w:r>
          </w:p>
          <w:p>
            <w:pPr>
              <w:pStyle w:val="ListParagraph"/>
              <w:tabs>
                <w:tab w:val="left" w:pos="1418"/>
              </w:tabs>
              <w:spacing w:after="0" w:line="240" w:lineRule="auto"/>
              <w:ind w:left="357" w:hanging="357"/>
              <w:jc w:val="both"/>
              <w:rPr>
                <w:rFonts w:ascii="Arial" w:hAnsi="Arial" w:cs="Arial"/>
                <w:bCs/>
              </w:rPr>
            </w:pPr>
          </w:p>
          <w:p>
            <w:pPr>
              <w:pStyle w:val="ListParagraph"/>
              <w:tabs>
                <w:tab w:val="left" w:pos="1418"/>
              </w:tabs>
              <w:spacing w:after="0" w:line="240" w:lineRule="auto"/>
              <w:ind w:left="357" w:hanging="357"/>
              <w:jc w:val="both"/>
              <w:rPr>
                <w:rFonts w:ascii="Arial" w:hAnsi="Arial" w:cs="Arial"/>
                <w:bCs/>
              </w:rPr>
            </w:pPr>
          </w:p>
          <w:p>
            <w:pPr>
              <w:pStyle w:val="ListParagraph"/>
              <w:numPr>
                <w:ilvl w:val="0"/>
                <w:numId w:val="11"/>
              </w:numPr>
              <w:tabs>
                <w:tab w:val="left" w:pos="1418"/>
              </w:tabs>
              <w:suppressAutoHyphens w:val="0"/>
              <w:spacing w:after="0" w:line="240" w:lineRule="auto"/>
              <w:ind w:left="357" w:hanging="357"/>
              <w:contextualSpacing w:val="0"/>
              <w:jc w:val="both"/>
              <w:rPr>
                <w:rFonts w:ascii="Arial" w:hAnsi="Arial" w:cs="Arial"/>
                <w:bCs/>
              </w:rPr>
            </w:pPr>
            <w:r>
              <w:rPr>
                <w:rFonts w:ascii="Arial" w:hAnsi="Arial" w:cs="Arial"/>
                <w:bCs/>
              </w:rPr>
              <w:t>Require the AACs and ISAC to liquidate the amounts retained by them for the printing of STL and Sweepstakes tickets, submit the original documents to support the utilization of funds and return to PCSO any unutilized amounts.</w:t>
            </w:r>
          </w:p>
        </w:tc>
        <w:tc>
          <w:tcPr>
            <w:tcW w:w="2391" w:type="dxa"/>
            <w:shd w:val="clear" w:color="auto" w:fill="auto"/>
          </w:tcPr>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Fully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ind w:right="-111"/>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 xml:space="preserve">Letters have been sent to beneficiaries, awaiting for their compliance. </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ind w:right="-111"/>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 xml:space="preserve">Letters have been sent to beneficiaries, awaiting for their compliance. </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ind w:right="-111"/>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 xml:space="preserve">The 2020 STL IRR, as approved by the President, provides that the entire printing cost shall be remitted to PCSO.  On the other hand, there were no revisions yet to the IRR of the Instant Sweepstakes to address the audit recommendation.  </w:t>
            </w:r>
          </w:p>
          <w:p>
            <w:pPr>
              <w:suppressAutoHyphens w:val="0"/>
              <w:spacing w:after="0" w:line="240" w:lineRule="auto"/>
              <w:jc w:val="both"/>
              <w:rPr>
                <w:rFonts w:ascii="Arial" w:hAnsi="Arial" w:cs="Arial"/>
                <w:bCs/>
              </w:rPr>
            </w:pPr>
          </w:p>
          <w:p>
            <w:pPr>
              <w:suppressAutoHyphens w:val="0"/>
              <w:spacing w:after="0" w:line="240" w:lineRule="auto"/>
              <w:ind w:right="-111"/>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As per 2020 STL IRR, this recommendation is not anymore applicable to AACs. However, there is still no submitted liquidation of the amounts retained by ISAC for the printing cost.</w:t>
            </w:r>
          </w:p>
        </w:tc>
      </w:tr>
      <w:tr>
        <w:trPr>
          <w:trHeight w:val="56"/>
        </w:trPr>
        <w:tc>
          <w:tcPr>
            <w:tcW w:w="9704" w:type="dxa"/>
            <w:gridSpan w:val="4"/>
            <w:shd w:val="clear" w:color="auto" w:fill="auto"/>
            <w:noWrap/>
          </w:tcPr>
          <w:p>
            <w:pPr>
              <w:spacing w:after="0" w:line="240" w:lineRule="auto"/>
              <w:jc w:val="both"/>
              <w:rPr>
                <w:rFonts w:ascii="Arial" w:hAnsi="Arial" w:cs="Arial"/>
              </w:rPr>
            </w:pPr>
          </w:p>
        </w:tc>
      </w:tr>
      <w:tr>
        <w:trPr>
          <w:trHeight w:val="1199"/>
        </w:trPr>
        <w:tc>
          <w:tcPr>
            <w:tcW w:w="1513" w:type="dxa"/>
            <w:shd w:val="clear" w:color="auto" w:fill="auto"/>
            <w:noWrap/>
          </w:tcPr>
          <w:p>
            <w:pPr>
              <w:suppressAutoHyphens w:val="0"/>
              <w:spacing w:after="0" w:line="240" w:lineRule="auto"/>
              <w:rPr>
                <w:rFonts w:ascii="Arial" w:hAnsi="Arial" w:cs="Arial"/>
              </w:rPr>
            </w:pPr>
            <w:r>
              <w:rPr>
                <w:rFonts w:ascii="Arial" w:hAnsi="Arial" w:cs="Arial"/>
              </w:rPr>
              <w:t>AO No. 11,</w:t>
            </w:r>
          </w:p>
          <w:p>
            <w:pPr>
              <w:suppressAutoHyphens w:val="0"/>
              <w:spacing w:after="0" w:line="240" w:lineRule="auto"/>
              <w:rPr>
                <w:rFonts w:ascii="Arial" w:hAnsi="Arial" w:cs="Arial"/>
              </w:rPr>
            </w:pPr>
            <w:r>
              <w:rPr>
                <w:rFonts w:ascii="Arial" w:hAnsi="Arial" w:cs="Arial"/>
              </w:rPr>
              <w:t>Page 121</w:t>
            </w: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p>
            <w:pPr>
              <w:suppressAutoHyphens w:val="0"/>
              <w:spacing w:after="0" w:line="240" w:lineRule="auto"/>
              <w:jc w:val="both"/>
              <w:rPr>
                <w:rFonts w:ascii="Arial" w:hAnsi="Arial" w:cs="Arial"/>
              </w:rPr>
            </w:pPr>
          </w:p>
        </w:tc>
        <w:tc>
          <w:tcPr>
            <w:tcW w:w="2740" w:type="dxa"/>
            <w:shd w:val="clear" w:color="auto" w:fill="auto"/>
          </w:tcPr>
          <w:p>
            <w:pPr>
              <w:suppressAutoHyphens w:val="0"/>
              <w:spacing w:after="0" w:line="240" w:lineRule="auto"/>
              <w:jc w:val="both"/>
              <w:rPr>
                <w:rFonts w:ascii="Arial" w:eastAsia="Times New Roman" w:hAnsi="Arial" w:cs="Arial"/>
                <w:iCs/>
                <w:lang w:eastAsia="en-US"/>
              </w:rPr>
            </w:pPr>
            <w:r>
              <w:rPr>
                <w:rFonts w:ascii="Arial" w:hAnsi="Arial" w:cs="Arial"/>
                <w:iCs/>
              </w:rPr>
              <w:t xml:space="preserve">The PCSO’s Annual GAD Plan and Budget (GPB) duly endorsed by the Philippine Commission on Women (PCW) and the corresponding Accomplishment Report (AR) were not submitted to COA within </w:t>
            </w:r>
            <w:r>
              <w:rPr>
                <w:rFonts w:ascii="Arial" w:hAnsi="Arial" w:cs="Arial"/>
              </w:rPr>
              <w:t>the period prescribed under Section V of COA Circular No. 2014-001, hence, the Audit Team was unable to promptly assess whether the PCSO’s accomplishments relating to GAD programs, activities and projects were within the approved GPB.</w:t>
            </w:r>
          </w:p>
          <w:p>
            <w:pPr>
              <w:spacing w:after="0" w:line="240" w:lineRule="auto"/>
              <w:jc w:val="both"/>
              <w:rPr>
                <w:rFonts w:ascii="Arial" w:hAnsi="Arial" w:cs="Arial"/>
                <w:iCs/>
              </w:rPr>
            </w:pPr>
          </w:p>
          <w:p>
            <w:pPr>
              <w:suppressAutoHyphens w:val="0"/>
              <w:spacing w:after="0" w:line="240" w:lineRule="auto"/>
              <w:jc w:val="both"/>
              <w:rPr>
                <w:rFonts w:ascii="Arial" w:hAnsi="Arial" w:cs="Arial"/>
                <w:iCs/>
              </w:rPr>
            </w:pPr>
            <w:r>
              <w:rPr>
                <w:rFonts w:ascii="Arial" w:hAnsi="Arial" w:cs="Arial"/>
                <w:lang w:eastAsia="ar-SA"/>
              </w:rPr>
              <w:lastRenderedPageBreak/>
              <w:t>The PCSO was able to allocate five per cent of its 2019 Approved Budget for CY 2019 GPB, in accordance with Joint Circular No. 2012-01 of the PCW, National Economic and Development Authority (NEDA) and the Department of Budget and Management (DBM).</w:t>
            </w:r>
          </w:p>
        </w:tc>
        <w:tc>
          <w:tcPr>
            <w:tcW w:w="3060" w:type="dxa"/>
            <w:shd w:val="clear" w:color="auto" w:fill="auto"/>
          </w:tcPr>
          <w:p>
            <w:pPr>
              <w:suppressAutoHyphens w:val="0"/>
              <w:spacing w:after="0" w:line="240" w:lineRule="auto"/>
              <w:jc w:val="both"/>
              <w:rPr>
                <w:rFonts w:ascii="Arial" w:eastAsia="Times New Roman" w:hAnsi="Arial" w:cs="Arial"/>
                <w:bCs/>
                <w:iCs/>
                <w:lang w:eastAsia="en-US"/>
              </w:rPr>
            </w:pPr>
            <w:r>
              <w:rPr>
                <w:rFonts w:ascii="Arial" w:hAnsi="Arial" w:cs="Arial"/>
              </w:rPr>
              <w:lastRenderedPageBreak/>
              <w:t>We reiterated our prior year’s recommendation that Management direct the concerned official and employees to comply with the provisions of Item V of COA Circular No. 2014-001 on the submission of the PCW-endorsed GPB as well as the GAD AR within the prescribed period</w:t>
            </w:r>
            <w:r>
              <w:rPr>
                <w:rFonts w:ascii="Arial" w:hAnsi="Arial" w:cs="Arial"/>
                <w:bCs/>
                <w:iCs/>
              </w:rPr>
              <w:t>.</w:t>
            </w: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pacing w:after="0" w:line="240" w:lineRule="auto"/>
              <w:jc w:val="both"/>
              <w:rPr>
                <w:rFonts w:ascii="Arial" w:hAnsi="Arial" w:cs="Arial"/>
              </w:rPr>
            </w:pPr>
          </w:p>
          <w:p>
            <w:pPr>
              <w:suppressAutoHyphens w:val="0"/>
              <w:spacing w:after="0" w:line="240" w:lineRule="auto"/>
              <w:jc w:val="both"/>
              <w:rPr>
                <w:rFonts w:ascii="Arial" w:hAnsi="Arial" w:cs="Arial"/>
                <w:bCs/>
                <w:iCs/>
              </w:rPr>
            </w:pPr>
            <w:r>
              <w:rPr>
                <w:rFonts w:ascii="Arial" w:hAnsi="Arial" w:cs="Arial"/>
                <w:bCs/>
                <w:iCs/>
              </w:rPr>
              <w:lastRenderedPageBreak/>
              <w:t>We recommended that  Management continue complying with the GAD related law, rules and regulations and commitments.</w:t>
            </w:r>
          </w:p>
          <w:p>
            <w:pPr>
              <w:pStyle w:val="ListParagraph"/>
              <w:spacing w:after="0" w:line="240" w:lineRule="auto"/>
              <w:ind w:left="1440"/>
              <w:jc w:val="both"/>
              <w:rPr>
                <w:rFonts w:ascii="Arial" w:hAnsi="Arial" w:cs="Arial"/>
                <w:iCs/>
              </w:rPr>
            </w:pPr>
          </w:p>
          <w:p>
            <w:pPr>
              <w:spacing w:after="0" w:line="240" w:lineRule="auto"/>
              <w:jc w:val="both"/>
              <w:rPr>
                <w:rFonts w:ascii="Arial" w:hAnsi="Arial" w:cs="Arial"/>
              </w:rPr>
            </w:pPr>
          </w:p>
        </w:tc>
        <w:tc>
          <w:tcPr>
            <w:tcW w:w="2391" w:type="dxa"/>
            <w:shd w:val="clear" w:color="auto" w:fill="auto"/>
          </w:tcPr>
          <w:p>
            <w:pPr>
              <w:suppressAutoHyphens w:val="0"/>
              <w:spacing w:after="0" w:line="240" w:lineRule="auto"/>
              <w:jc w:val="both"/>
              <w:rPr>
                <w:rFonts w:ascii="Arial" w:hAnsi="Arial" w:cs="Arial"/>
                <w:bCs/>
              </w:rPr>
            </w:pPr>
            <w:r>
              <w:rPr>
                <w:rFonts w:ascii="Arial" w:hAnsi="Arial" w:cs="Arial"/>
                <w:bCs/>
              </w:rPr>
              <w:lastRenderedPageBreak/>
              <w:t>Not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PCSO GPB and AR were not yet submitted to COA.</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Reiterated with updates under Part II – Observation and Recommendation No. 8 of this Report</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lastRenderedPageBreak/>
              <w:t>Fully Implemented.</w:t>
            </w:r>
          </w:p>
        </w:tc>
      </w:tr>
      <w:tr>
        <w:trPr>
          <w:trHeight w:val="56"/>
        </w:trPr>
        <w:tc>
          <w:tcPr>
            <w:tcW w:w="9704" w:type="dxa"/>
            <w:gridSpan w:val="4"/>
            <w:shd w:val="clear" w:color="auto" w:fill="auto"/>
            <w:noWrap/>
          </w:tcPr>
          <w:p>
            <w:pPr>
              <w:spacing w:after="0" w:line="240" w:lineRule="auto"/>
              <w:jc w:val="both"/>
              <w:rPr>
                <w:rFonts w:ascii="Arial" w:hAnsi="Arial" w:cs="Arial"/>
                <w:lang w:eastAsia="ar-SA"/>
              </w:rPr>
            </w:pPr>
          </w:p>
        </w:tc>
      </w:tr>
      <w:tr>
        <w:trPr>
          <w:trHeight w:val="300"/>
        </w:trPr>
        <w:tc>
          <w:tcPr>
            <w:tcW w:w="1513" w:type="dxa"/>
            <w:shd w:val="clear" w:color="auto" w:fill="auto"/>
            <w:noWrap/>
          </w:tcPr>
          <w:p>
            <w:pPr>
              <w:suppressAutoHyphens w:val="0"/>
              <w:spacing w:after="0" w:line="240" w:lineRule="auto"/>
              <w:ind w:left="-107"/>
              <w:rPr>
                <w:rFonts w:ascii="Arial" w:hAnsi="Arial" w:cs="Arial"/>
              </w:rPr>
            </w:pPr>
            <w:r>
              <w:rPr>
                <w:rFonts w:ascii="Arial" w:hAnsi="Arial" w:cs="Arial"/>
              </w:rPr>
              <w:t>AO No. 13,</w:t>
            </w:r>
          </w:p>
          <w:p>
            <w:pPr>
              <w:suppressAutoHyphens w:val="0"/>
              <w:spacing w:after="0" w:line="240" w:lineRule="auto"/>
              <w:ind w:left="-107"/>
              <w:rPr>
                <w:rFonts w:ascii="Arial" w:hAnsi="Arial" w:cs="Arial"/>
              </w:rPr>
            </w:pPr>
            <w:r>
              <w:rPr>
                <w:rFonts w:ascii="Arial" w:hAnsi="Arial" w:cs="Arial"/>
              </w:rPr>
              <w:t>Page 123</w:t>
            </w:r>
          </w:p>
        </w:tc>
        <w:tc>
          <w:tcPr>
            <w:tcW w:w="2740" w:type="dxa"/>
            <w:shd w:val="clear" w:color="auto" w:fill="auto"/>
          </w:tcPr>
          <w:p>
            <w:pPr>
              <w:suppressAutoHyphens w:val="0"/>
              <w:spacing w:after="0" w:line="240" w:lineRule="auto"/>
              <w:jc w:val="both"/>
              <w:rPr>
                <w:rFonts w:ascii="Arial" w:hAnsi="Arial" w:cs="Arial"/>
                <w:lang w:val="en-PH" w:eastAsia="en-PH"/>
              </w:rPr>
            </w:pPr>
            <w:r>
              <w:rPr>
                <w:rFonts w:ascii="Arial" w:hAnsi="Arial" w:cs="Arial"/>
              </w:rPr>
              <w:t>Applicable taxes for draw allowances paid by PCSO in CY 2019 in the total amount of P182.087 million were not withheld, in violation of the National Internal Revenue Code (NIRC) of the Philippines and depriving the National Government of additional revenue.</w:t>
            </w:r>
          </w:p>
        </w:tc>
        <w:tc>
          <w:tcPr>
            <w:tcW w:w="3060" w:type="dxa"/>
            <w:shd w:val="clear" w:color="auto" w:fill="auto"/>
          </w:tcPr>
          <w:p>
            <w:pPr>
              <w:suppressAutoHyphens w:val="0"/>
              <w:spacing w:after="0" w:line="240" w:lineRule="auto"/>
              <w:jc w:val="both"/>
              <w:rPr>
                <w:rFonts w:ascii="Arial" w:hAnsi="Arial" w:cs="Arial"/>
                <w:bCs/>
              </w:rPr>
            </w:pPr>
            <w:r>
              <w:rPr>
                <w:rFonts w:ascii="Arial" w:hAnsi="Arial" w:cs="Arial"/>
                <w:bCs/>
              </w:rPr>
              <w:t>We reiterated our prior year’s recommendation that Management ensure compliance with Section 251 of the NIRC of 1997, as amended by RA No. 10963, and direct the concerned officials to cause the withholding of the applicable taxes from the draw allowances being paid to the concerned PCSO officials and employees and other individuals and to remit the same to the BIR.</w:t>
            </w:r>
          </w:p>
          <w:p>
            <w:pPr>
              <w:suppressAutoHyphens w:val="0"/>
              <w:spacing w:after="0" w:line="240" w:lineRule="auto"/>
              <w:jc w:val="both"/>
              <w:rPr>
                <w:rFonts w:ascii="Arial" w:hAnsi="Arial" w:cs="Arial"/>
              </w:rPr>
            </w:pPr>
          </w:p>
        </w:tc>
        <w:tc>
          <w:tcPr>
            <w:tcW w:w="2391" w:type="dxa"/>
            <w:shd w:val="clear" w:color="auto" w:fill="auto"/>
          </w:tcPr>
          <w:p>
            <w:pPr>
              <w:suppressAutoHyphens w:val="0"/>
              <w:spacing w:after="0" w:line="240" w:lineRule="auto"/>
              <w:jc w:val="both"/>
              <w:rPr>
                <w:rFonts w:ascii="Arial" w:hAnsi="Arial" w:cs="Arial"/>
                <w:bCs/>
              </w:rPr>
            </w:pPr>
            <w:r>
              <w:rPr>
                <w:rFonts w:ascii="Arial" w:hAnsi="Arial" w:cs="Arial"/>
                <w:bCs/>
              </w:rPr>
              <w:t>Fully Implemented.</w:t>
            </w:r>
          </w:p>
        </w:tc>
      </w:tr>
      <w:tr>
        <w:trPr>
          <w:trHeight w:val="300"/>
        </w:trPr>
        <w:tc>
          <w:tcPr>
            <w:tcW w:w="1513" w:type="dxa"/>
            <w:shd w:val="clear" w:color="auto" w:fill="auto"/>
            <w:noWrap/>
          </w:tcPr>
          <w:p>
            <w:pPr>
              <w:suppressAutoHyphens w:val="0"/>
              <w:spacing w:after="0" w:line="240" w:lineRule="auto"/>
              <w:rPr>
                <w:rFonts w:ascii="Arial" w:hAnsi="Arial" w:cs="Arial"/>
              </w:rPr>
            </w:pPr>
            <w:r>
              <w:rPr>
                <w:rFonts w:ascii="Arial" w:hAnsi="Arial" w:cs="Arial"/>
              </w:rPr>
              <w:t>AO No. 15, Page 124</w:t>
            </w: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p>
            <w:pPr>
              <w:suppressAutoHyphens w:val="0"/>
              <w:spacing w:after="0" w:line="240" w:lineRule="auto"/>
              <w:rPr>
                <w:rFonts w:ascii="Arial" w:hAnsi="Arial" w:cs="Arial"/>
              </w:rPr>
            </w:pPr>
          </w:p>
        </w:tc>
        <w:tc>
          <w:tcPr>
            <w:tcW w:w="2740" w:type="dxa"/>
            <w:shd w:val="clear" w:color="auto" w:fill="auto"/>
          </w:tcPr>
          <w:p>
            <w:pPr>
              <w:suppressAutoHyphens w:val="0"/>
              <w:spacing w:after="0" w:line="240" w:lineRule="auto"/>
              <w:jc w:val="both"/>
              <w:rPr>
                <w:rFonts w:ascii="Arial" w:eastAsia="Times New Roman" w:hAnsi="Arial" w:cs="Arial"/>
                <w:lang w:eastAsia="en-US"/>
              </w:rPr>
            </w:pPr>
            <w:r>
              <w:rPr>
                <w:rFonts w:ascii="Arial" w:hAnsi="Arial" w:cs="Arial"/>
              </w:rPr>
              <w:lastRenderedPageBreak/>
              <w:t>The PCSO was unable to remit all the contributions to the Government Service Insurance System (GSIS) as there was under remittance of contributions in the total amount of P1.631 million due to the inability of the Agency to update its employees’ records with the GSIS, which was not in accordance with the provisions under Section 6 of Republic Act (RA) No. 8291.</w:t>
            </w:r>
          </w:p>
          <w:p>
            <w:pPr>
              <w:suppressAutoHyphens w:val="0"/>
              <w:spacing w:after="0" w:line="240" w:lineRule="auto"/>
              <w:jc w:val="both"/>
              <w:rPr>
                <w:rFonts w:ascii="Arial" w:hAnsi="Arial" w:cs="Arial"/>
                <w:lang w:val="en-PH" w:eastAsia="en-PH"/>
              </w:rPr>
            </w:pPr>
          </w:p>
          <w:p>
            <w:pPr>
              <w:suppressAutoHyphens w:val="0"/>
              <w:spacing w:after="0" w:line="240" w:lineRule="auto"/>
              <w:jc w:val="both"/>
              <w:rPr>
                <w:rFonts w:ascii="Arial" w:hAnsi="Arial" w:cs="Arial"/>
                <w:lang w:val="en-PH" w:eastAsia="en-PH"/>
              </w:rPr>
            </w:pPr>
          </w:p>
          <w:p>
            <w:pPr>
              <w:suppressAutoHyphens w:val="0"/>
              <w:spacing w:after="0" w:line="240" w:lineRule="auto"/>
              <w:jc w:val="both"/>
              <w:rPr>
                <w:rFonts w:ascii="Arial" w:hAnsi="Arial" w:cs="Arial"/>
                <w:lang w:val="en-PH" w:eastAsia="en-PH"/>
              </w:rPr>
            </w:pPr>
          </w:p>
          <w:p>
            <w:pPr>
              <w:suppressAutoHyphens w:val="0"/>
              <w:spacing w:after="0" w:line="240" w:lineRule="auto"/>
              <w:jc w:val="both"/>
              <w:rPr>
                <w:rFonts w:ascii="Arial" w:hAnsi="Arial" w:cs="Arial"/>
                <w:lang w:val="en-PH" w:eastAsia="en-PH"/>
              </w:rPr>
            </w:pPr>
          </w:p>
          <w:p>
            <w:pPr>
              <w:suppressAutoHyphens w:val="0"/>
              <w:spacing w:after="0" w:line="240" w:lineRule="auto"/>
              <w:jc w:val="both"/>
              <w:rPr>
                <w:rFonts w:ascii="Arial" w:hAnsi="Arial" w:cs="Arial"/>
                <w:lang w:val="en-PH" w:eastAsia="en-PH"/>
              </w:rPr>
            </w:pPr>
          </w:p>
          <w:p>
            <w:pPr>
              <w:suppressAutoHyphens w:val="0"/>
              <w:spacing w:after="0" w:line="240" w:lineRule="auto"/>
              <w:jc w:val="both"/>
              <w:rPr>
                <w:rFonts w:ascii="Arial" w:hAnsi="Arial" w:cs="Arial"/>
                <w:lang w:val="en-PH" w:eastAsia="en-PH"/>
              </w:rPr>
            </w:pPr>
          </w:p>
          <w:p>
            <w:pPr>
              <w:suppressAutoHyphens w:val="0"/>
              <w:spacing w:after="0" w:line="240" w:lineRule="auto"/>
              <w:jc w:val="both"/>
              <w:rPr>
                <w:rFonts w:ascii="Arial" w:hAnsi="Arial" w:cs="Arial"/>
                <w:lang w:val="en-PH" w:eastAsia="en-PH"/>
              </w:rPr>
            </w:pPr>
          </w:p>
          <w:p>
            <w:pPr>
              <w:suppressAutoHyphens w:val="0"/>
              <w:spacing w:after="0" w:line="240" w:lineRule="auto"/>
              <w:jc w:val="both"/>
              <w:rPr>
                <w:rFonts w:ascii="Arial" w:hAnsi="Arial" w:cs="Arial"/>
                <w:lang w:val="en-PH" w:eastAsia="en-PH"/>
              </w:rPr>
            </w:pPr>
          </w:p>
          <w:p>
            <w:pPr>
              <w:suppressAutoHyphens w:val="0"/>
              <w:spacing w:after="0" w:line="240" w:lineRule="auto"/>
              <w:jc w:val="both"/>
              <w:rPr>
                <w:rFonts w:ascii="Arial" w:hAnsi="Arial" w:cs="Arial"/>
                <w:lang w:val="en-PH" w:eastAsia="en-PH"/>
              </w:rPr>
            </w:pPr>
          </w:p>
          <w:p>
            <w:pPr>
              <w:suppressAutoHyphens w:val="0"/>
              <w:spacing w:after="0" w:line="240" w:lineRule="auto"/>
              <w:jc w:val="both"/>
              <w:rPr>
                <w:rFonts w:ascii="Arial" w:hAnsi="Arial" w:cs="Arial"/>
                <w:lang w:val="en-PH" w:eastAsia="en-PH"/>
              </w:rPr>
            </w:pPr>
          </w:p>
        </w:tc>
        <w:tc>
          <w:tcPr>
            <w:tcW w:w="3060" w:type="dxa"/>
            <w:shd w:val="clear" w:color="auto" w:fill="auto"/>
          </w:tcPr>
          <w:p>
            <w:pPr>
              <w:suppressAutoHyphens w:val="0"/>
              <w:spacing w:after="0" w:line="240" w:lineRule="auto"/>
              <w:jc w:val="both"/>
              <w:rPr>
                <w:rFonts w:ascii="Arial" w:eastAsia="Times New Roman" w:hAnsi="Arial" w:cs="Arial"/>
                <w:lang w:eastAsia="en-US"/>
              </w:rPr>
            </w:pPr>
            <w:r>
              <w:rPr>
                <w:rFonts w:ascii="Arial" w:hAnsi="Arial" w:cs="Arial"/>
                <w:lang w:val="en-PH"/>
              </w:rPr>
              <w:lastRenderedPageBreak/>
              <w:t>We recommended that Management direct:</w:t>
            </w:r>
          </w:p>
          <w:p>
            <w:pPr>
              <w:pStyle w:val="ListParagraph"/>
              <w:spacing w:after="0" w:line="240" w:lineRule="auto"/>
              <w:rPr>
                <w:rFonts w:ascii="Arial" w:hAnsi="Arial" w:cs="Arial"/>
                <w:lang w:val="en-PH"/>
              </w:rPr>
            </w:pPr>
          </w:p>
          <w:p>
            <w:pPr>
              <w:pStyle w:val="ListParagraph"/>
              <w:numPr>
                <w:ilvl w:val="0"/>
                <w:numId w:val="12"/>
              </w:numPr>
              <w:suppressAutoHyphens w:val="0"/>
              <w:spacing w:after="0" w:line="240" w:lineRule="auto"/>
              <w:ind w:left="357" w:hanging="353"/>
              <w:contextualSpacing w:val="0"/>
              <w:jc w:val="both"/>
              <w:rPr>
                <w:rFonts w:ascii="Arial" w:hAnsi="Arial" w:cs="Arial"/>
                <w:lang w:val="en-PH"/>
              </w:rPr>
            </w:pPr>
            <w:r>
              <w:rPr>
                <w:rFonts w:ascii="Arial" w:hAnsi="Arial" w:cs="Arial"/>
                <w:lang w:val="en-PH"/>
              </w:rPr>
              <w:t xml:space="preserve">The concerned official of the PCSO to coordinate with the GSIS and take the necessary steps towards the immediate remittance of the GSIS contributions amounting to P1.631 million; and </w:t>
            </w:r>
          </w:p>
          <w:p>
            <w:pPr>
              <w:pStyle w:val="ListParagraph"/>
              <w:suppressAutoHyphens w:val="0"/>
              <w:spacing w:after="0" w:line="240" w:lineRule="auto"/>
              <w:ind w:left="357"/>
              <w:contextualSpacing w:val="0"/>
              <w:jc w:val="both"/>
              <w:rPr>
                <w:rFonts w:ascii="Arial" w:hAnsi="Arial" w:cs="Arial"/>
                <w:lang w:val="en-PH"/>
              </w:rPr>
            </w:pPr>
          </w:p>
          <w:p>
            <w:pPr>
              <w:pStyle w:val="ListParagraph"/>
              <w:suppressAutoHyphens w:val="0"/>
              <w:spacing w:after="0" w:line="240" w:lineRule="auto"/>
              <w:ind w:left="357"/>
              <w:contextualSpacing w:val="0"/>
              <w:jc w:val="both"/>
              <w:rPr>
                <w:rFonts w:ascii="Arial" w:hAnsi="Arial" w:cs="Arial"/>
                <w:lang w:val="en-PH"/>
              </w:rPr>
            </w:pPr>
          </w:p>
          <w:p>
            <w:pPr>
              <w:pStyle w:val="ListParagraph"/>
              <w:suppressAutoHyphens w:val="0"/>
              <w:spacing w:after="0" w:line="240" w:lineRule="auto"/>
              <w:ind w:left="357"/>
              <w:contextualSpacing w:val="0"/>
              <w:jc w:val="both"/>
              <w:rPr>
                <w:rFonts w:ascii="Arial" w:hAnsi="Arial" w:cs="Arial"/>
                <w:lang w:val="en-PH"/>
              </w:rPr>
            </w:pPr>
          </w:p>
          <w:p>
            <w:pPr>
              <w:pStyle w:val="ListParagraph"/>
              <w:suppressAutoHyphens w:val="0"/>
              <w:spacing w:after="0" w:line="240" w:lineRule="auto"/>
              <w:ind w:left="357"/>
              <w:contextualSpacing w:val="0"/>
              <w:jc w:val="both"/>
              <w:rPr>
                <w:rFonts w:ascii="Arial" w:hAnsi="Arial" w:cs="Arial"/>
                <w:lang w:val="en-PH"/>
              </w:rPr>
            </w:pPr>
          </w:p>
          <w:p>
            <w:pPr>
              <w:pStyle w:val="ListParagraph"/>
              <w:suppressAutoHyphens w:val="0"/>
              <w:spacing w:after="0" w:line="240" w:lineRule="auto"/>
              <w:ind w:left="357"/>
              <w:contextualSpacing w:val="0"/>
              <w:jc w:val="both"/>
              <w:rPr>
                <w:rFonts w:ascii="Arial" w:hAnsi="Arial" w:cs="Arial"/>
                <w:lang w:val="en-PH"/>
              </w:rPr>
            </w:pPr>
          </w:p>
          <w:p>
            <w:pPr>
              <w:pStyle w:val="ListParagraph"/>
              <w:suppressAutoHyphens w:val="0"/>
              <w:spacing w:after="0" w:line="240" w:lineRule="auto"/>
              <w:ind w:left="357"/>
              <w:contextualSpacing w:val="0"/>
              <w:jc w:val="both"/>
              <w:rPr>
                <w:rFonts w:ascii="Arial" w:hAnsi="Arial" w:cs="Arial"/>
                <w:lang w:val="en-PH"/>
              </w:rPr>
            </w:pPr>
          </w:p>
          <w:p>
            <w:pPr>
              <w:pStyle w:val="ListParagraph"/>
              <w:suppressAutoHyphens w:val="0"/>
              <w:spacing w:after="0" w:line="240" w:lineRule="auto"/>
              <w:ind w:left="357"/>
              <w:contextualSpacing w:val="0"/>
              <w:jc w:val="both"/>
              <w:rPr>
                <w:rFonts w:ascii="Arial" w:hAnsi="Arial" w:cs="Arial"/>
                <w:lang w:val="en-PH"/>
              </w:rPr>
            </w:pPr>
          </w:p>
          <w:p>
            <w:pPr>
              <w:pStyle w:val="ListParagraph"/>
              <w:suppressAutoHyphens w:val="0"/>
              <w:spacing w:after="0" w:line="240" w:lineRule="auto"/>
              <w:ind w:left="357"/>
              <w:contextualSpacing w:val="0"/>
              <w:jc w:val="both"/>
              <w:rPr>
                <w:rFonts w:ascii="Arial" w:hAnsi="Arial" w:cs="Arial"/>
                <w:lang w:val="en-PH"/>
              </w:rPr>
            </w:pPr>
          </w:p>
          <w:p>
            <w:pPr>
              <w:pStyle w:val="ListParagraph"/>
              <w:suppressAutoHyphens w:val="0"/>
              <w:spacing w:after="0" w:line="240" w:lineRule="auto"/>
              <w:ind w:left="357"/>
              <w:contextualSpacing w:val="0"/>
              <w:jc w:val="both"/>
              <w:rPr>
                <w:rFonts w:ascii="Arial" w:hAnsi="Arial" w:cs="Arial"/>
                <w:lang w:val="en-PH"/>
              </w:rPr>
            </w:pPr>
          </w:p>
          <w:p>
            <w:pPr>
              <w:pStyle w:val="ListParagraph"/>
              <w:suppressAutoHyphens w:val="0"/>
              <w:spacing w:after="0" w:line="240" w:lineRule="auto"/>
              <w:ind w:left="357"/>
              <w:contextualSpacing w:val="0"/>
              <w:jc w:val="both"/>
              <w:rPr>
                <w:rFonts w:ascii="Arial" w:hAnsi="Arial" w:cs="Arial"/>
                <w:lang w:val="en-PH"/>
              </w:rPr>
            </w:pPr>
          </w:p>
          <w:p>
            <w:pPr>
              <w:pStyle w:val="ListParagraph"/>
              <w:suppressAutoHyphens w:val="0"/>
              <w:spacing w:after="0" w:line="240" w:lineRule="auto"/>
              <w:ind w:left="357"/>
              <w:contextualSpacing w:val="0"/>
              <w:jc w:val="both"/>
              <w:rPr>
                <w:rFonts w:ascii="Arial" w:hAnsi="Arial" w:cs="Arial"/>
                <w:lang w:val="en-PH"/>
              </w:rPr>
            </w:pPr>
          </w:p>
          <w:p>
            <w:pPr>
              <w:pStyle w:val="ListParagraph"/>
              <w:numPr>
                <w:ilvl w:val="0"/>
                <w:numId w:val="12"/>
              </w:numPr>
              <w:suppressAutoHyphens w:val="0"/>
              <w:spacing w:after="0" w:line="240" w:lineRule="auto"/>
              <w:ind w:left="357" w:hanging="353"/>
              <w:contextualSpacing w:val="0"/>
              <w:jc w:val="both"/>
              <w:rPr>
                <w:rFonts w:ascii="Arial" w:hAnsi="Arial" w:cs="Arial"/>
              </w:rPr>
            </w:pPr>
            <w:r>
              <w:rPr>
                <w:rFonts w:ascii="Arial" w:hAnsi="Arial" w:cs="Arial"/>
                <w:lang w:val="en-PH"/>
              </w:rPr>
              <w:t>The AAO and the ERF Officer of the PCSO to coordinate with each other to ensure that the employees’ records are promptly updated with the GSIS so that the correct amount of monthly contributions shall be remitted to the said Agency.</w:t>
            </w:r>
          </w:p>
        </w:tc>
        <w:tc>
          <w:tcPr>
            <w:tcW w:w="2391" w:type="dxa"/>
            <w:shd w:val="clear" w:color="auto" w:fill="auto"/>
          </w:tcPr>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Partially Implemented</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 xml:space="preserve">The HRD have partially updated the data of the employees. </w:t>
            </w:r>
          </w:p>
          <w:p>
            <w:pPr>
              <w:suppressAutoHyphens w:val="0"/>
              <w:spacing w:after="0" w:line="240" w:lineRule="auto"/>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 xml:space="preserve">Validation of the electronic copy of the Journal of Checks Issued for CY 2020 showed that PCSO have indeed made various payments for the unremitted GSIS premiums from previous months/ </w:t>
            </w:r>
            <w:r>
              <w:rPr>
                <w:rFonts w:ascii="Arial" w:hAnsi="Arial" w:cs="Arial"/>
                <w:bCs/>
              </w:rPr>
              <w:lastRenderedPageBreak/>
              <w:t xml:space="preserve">year. </w:t>
            </w:r>
          </w:p>
          <w:p>
            <w:pPr>
              <w:suppressAutoHyphens w:val="0"/>
              <w:spacing w:after="0" w:line="240" w:lineRule="auto"/>
              <w:jc w:val="both"/>
              <w:rPr>
                <w:rFonts w:ascii="Arial" w:hAnsi="Arial" w:cs="Arial"/>
                <w:bCs/>
              </w:rPr>
            </w:pPr>
          </w:p>
          <w:p>
            <w:pPr>
              <w:suppressAutoHyphens w:val="0"/>
              <w:spacing w:after="0" w:line="240" w:lineRule="auto"/>
              <w:ind w:right="-42"/>
              <w:jc w:val="both"/>
              <w:rPr>
                <w:rFonts w:ascii="Arial" w:hAnsi="Arial" w:cs="Arial"/>
                <w:bCs/>
              </w:rPr>
            </w:pPr>
            <w:r>
              <w:rPr>
                <w:rFonts w:ascii="Arial" w:hAnsi="Arial" w:cs="Arial"/>
                <w:bCs/>
              </w:rPr>
              <w:t>Partially Implemented.</w:t>
            </w:r>
          </w:p>
          <w:p>
            <w:pPr>
              <w:suppressAutoHyphens w:val="0"/>
              <w:spacing w:after="0" w:line="240" w:lineRule="auto"/>
              <w:ind w:right="-184"/>
              <w:jc w:val="both"/>
              <w:rPr>
                <w:rFonts w:ascii="Arial" w:hAnsi="Arial" w:cs="Arial"/>
                <w:bCs/>
              </w:rPr>
            </w:pPr>
          </w:p>
          <w:p>
            <w:pPr>
              <w:suppressAutoHyphens w:val="0"/>
              <w:spacing w:after="0" w:line="240" w:lineRule="auto"/>
              <w:jc w:val="both"/>
              <w:rPr>
                <w:rFonts w:ascii="Arial" w:hAnsi="Arial" w:cs="Arial"/>
                <w:bCs/>
              </w:rPr>
            </w:pPr>
            <w:r>
              <w:rPr>
                <w:rFonts w:ascii="Arial" w:hAnsi="Arial" w:cs="Arial"/>
                <w:bCs/>
              </w:rPr>
              <w:t>The ERF Officer is continuously reconciling the total amount of premiums withheld from salaries of the employees from previous years/months which remained unremitted.</w:t>
            </w:r>
          </w:p>
        </w:tc>
      </w:tr>
      <w:tr>
        <w:trPr>
          <w:cantSplit/>
          <w:trHeight w:val="56"/>
        </w:trPr>
        <w:tc>
          <w:tcPr>
            <w:tcW w:w="1513" w:type="dxa"/>
            <w:tcBorders>
              <w:bottom w:val="single" w:sz="4" w:space="0" w:color="auto"/>
            </w:tcBorders>
            <w:shd w:val="clear" w:color="auto" w:fill="auto"/>
            <w:noWrap/>
          </w:tcPr>
          <w:p>
            <w:pPr>
              <w:suppressAutoHyphens w:val="0"/>
              <w:spacing w:after="0" w:line="240" w:lineRule="auto"/>
              <w:rPr>
                <w:rFonts w:ascii="Arial" w:hAnsi="Arial" w:cs="Arial"/>
              </w:rPr>
            </w:pPr>
          </w:p>
        </w:tc>
        <w:tc>
          <w:tcPr>
            <w:tcW w:w="2740" w:type="dxa"/>
            <w:tcBorders>
              <w:bottom w:val="single" w:sz="4" w:space="0" w:color="auto"/>
            </w:tcBorders>
            <w:shd w:val="clear" w:color="auto" w:fill="auto"/>
          </w:tcPr>
          <w:p>
            <w:pPr>
              <w:suppressAutoHyphens w:val="0"/>
              <w:spacing w:after="0" w:line="240" w:lineRule="auto"/>
              <w:jc w:val="both"/>
              <w:rPr>
                <w:rFonts w:ascii="Arial" w:hAnsi="Arial" w:cs="Arial"/>
                <w:lang w:val="en-PH" w:eastAsia="en-PH"/>
              </w:rPr>
            </w:pPr>
          </w:p>
        </w:tc>
        <w:tc>
          <w:tcPr>
            <w:tcW w:w="3060" w:type="dxa"/>
            <w:tcBorders>
              <w:bottom w:val="single" w:sz="4" w:space="0" w:color="auto"/>
            </w:tcBorders>
            <w:shd w:val="clear" w:color="auto" w:fill="auto"/>
          </w:tcPr>
          <w:p>
            <w:pPr>
              <w:pStyle w:val="ListParagraph"/>
              <w:suppressAutoHyphens w:val="0"/>
              <w:spacing w:after="0" w:line="240" w:lineRule="auto"/>
              <w:ind w:left="357"/>
              <w:contextualSpacing w:val="0"/>
              <w:jc w:val="both"/>
              <w:rPr>
                <w:rFonts w:ascii="Arial" w:hAnsi="Arial" w:cs="Arial"/>
              </w:rPr>
            </w:pPr>
          </w:p>
        </w:tc>
        <w:tc>
          <w:tcPr>
            <w:tcW w:w="2391" w:type="dxa"/>
            <w:tcBorders>
              <w:bottom w:val="single" w:sz="4" w:space="0" w:color="auto"/>
            </w:tcBorders>
            <w:shd w:val="clear" w:color="auto" w:fill="auto"/>
          </w:tcPr>
          <w:p>
            <w:pPr>
              <w:suppressAutoHyphens w:val="0"/>
              <w:spacing w:after="0" w:line="240" w:lineRule="auto"/>
              <w:jc w:val="both"/>
              <w:rPr>
                <w:rFonts w:ascii="Arial" w:hAnsi="Arial" w:cs="Arial"/>
                <w:bCs/>
              </w:rPr>
            </w:pPr>
          </w:p>
        </w:tc>
      </w:tr>
    </w:tbl>
    <w:p>
      <w:pPr>
        <w:spacing w:after="0" w:line="240" w:lineRule="auto"/>
        <w:jc w:val="both"/>
        <w:rPr>
          <w:rFonts w:ascii="Arial" w:hAnsi="Arial" w:cs="Arial"/>
        </w:rPr>
      </w:pPr>
    </w:p>
    <w:sectPr>
      <w:footerReference w:type="default" r:id="rId8"/>
      <w:pgSz w:w="12240" w:h="15840" w:code="1"/>
      <w:pgMar w:top="1440" w:right="1440" w:bottom="1440" w:left="1440" w:header="567" w:footer="567" w:gutter="0"/>
      <w:pgNumType w:start="12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TXihei">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3591281"/>
      <w:docPartObj>
        <w:docPartGallery w:val="Page Numbers (Bottom of Page)"/>
        <w:docPartUnique/>
      </w:docPartObj>
    </w:sdtPr>
    <w:sdtEndPr>
      <w:rPr>
        <w:rFonts w:ascii="Arial" w:hAnsi="Arial" w:cs="Arial"/>
        <w:noProof/>
        <w:sz w:val="20"/>
        <w:szCs w:val="20"/>
      </w:rPr>
    </w:sdtEndPr>
    <w:sdtContent>
      <w:p>
        <w:pPr>
          <w:pStyle w:val="Footer"/>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PAGE   \* MERGEFORMAT </w:instrText>
        </w:r>
        <w:r>
          <w:rPr>
            <w:rFonts w:ascii="Arial" w:hAnsi="Arial" w:cs="Arial"/>
            <w:sz w:val="20"/>
            <w:szCs w:val="20"/>
          </w:rPr>
          <w:fldChar w:fldCharType="separate"/>
        </w:r>
        <w:r>
          <w:rPr>
            <w:rFonts w:ascii="Arial" w:hAnsi="Arial" w:cs="Arial"/>
            <w:noProof/>
            <w:sz w:val="20"/>
            <w:szCs w:val="20"/>
          </w:rPr>
          <w:t>121</w:t>
        </w:r>
        <w:r>
          <w:rPr>
            <w:rFonts w:ascii="Arial" w:hAnsi="Arial" w:cs="Arial"/>
            <w:noProof/>
            <w:sz w:val="20"/>
            <w:szCs w:val="20"/>
          </w:rPr>
          <w:fldChar w:fldCharType="end"/>
        </w:r>
      </w:p>
    </w:sdtContent>
  </w:sdt>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8C9"/>
    <w:multiLevelType w:val="hybridMultilevel"/>
    <w:tmpl w:val="6E44C862"/>
    <w:lvl w:ilvl="0" w:tplc="094268E4">
      <w:start w:val="1"/>
      <w:numFmt w:val="lowerLetter"/>
      <w:lvlText w:val="%1."/>
      <w:lvlJc w:val="left"/>
      <w:pPr>
        <w:ind w:left="2160" w:hanging="360"/>
      </w:pPr>
      <w:rPr>
        <w:b w:val="0"/>
        <w:i w:val="0"/>
      </w:rPr>
    </w:lvl>
    <w:lvl w:ilvl="1" w:tplc="34090019">
      <w:start w:val="1"/>
      <w:numFmt w:val="lowerLetter"/>
      <w:lvlText w:val="%2."/>
      <w:lvlJc w:val="left"/>
      <w:pPr>
        <w:ind w:left="2880" w:hanging="360"/>
      </w:pPr>
    </w:lvl>
    <w:lvl w:ilvl="2" w:tplc="3409001B">
      <w:start w:val="1"/>
      <w:numFmt w:val="lowerRoman"/>
      <w:lvlText w:val="%3."/>
      <w:lvlJc w:val="right"/>
      <w:pPr>
        <w:ind w:left="3600" w:hanging="180"/>
      </w:pPr>
    </w:lvl>
    <w:lvl w:ilvl="3" w:tplc="3409000F">
      <w:start w:val="1"/>
      <w:numFmt w:val="decimal"/>
      <w:lvlText w:val="%4."/>
      <w:lvlJc w:val="left"/>
      <w:pPr>
        <w:ind w:left="4320" w:hanging="360"/>
      </w:pPr>
    </w:lvl>
    <w:lvl w:ilvl="4" w:tplc="34090019">
      <w:start w:val="1"/>
      <w:numFmt w:val="lowerLetter"/>
      <w:lvlText w:val="%5."/>
      <w:lvlJc w:val="left"/>
      <w:pPr>
        <w:ind w:left="5040" w:hanging="360"/>
      </w:pPr>
    </w:lvl>
    <w:lvl w:ilvl="5" w:tplc="3409001B">
      <w:start w:val="1"/>
      <w:numFmt w:val="lowerRoman"/>
      <w:lvlText w:val="%6."/>
      <w:lvlJc w:val="right"/>
      <w:pPr>
        <w:ind w:left="5760" w:hanging="180"/>
      </w:pPr>
    </w:lvl>
    <w:lvl w:ilvl="6" w:tplc="3409000F">
      <w:start w:val="1"/>
      <w:numFmt w:val="decimal"/>
      <w:lvlText w:val="%7."/>
      <w:lvlJc w:val="left"/>
      <w:pPr>
        <w:ind w:left="6480" w:hanging="360"/>
      </w:pPr>
    </w:lvl>
    <w:lvl w:ilvl="7" w:tplc="34090019">
      <w:start w:val="1"/>
      <w:numFmt w:val="lowerLetter"/>
      <w:lvlText w:val="%8."/>
      <w:lvlJc w:val="left"/>
      <w:pPr>
        <w:ind w:left="7200" w:hanging="360"/>
      </w:pPr>
    </w:lvl>
    <w:lvl w:ilvl="8" w:tplc="3409001B">
      <w:start w:val="1"/>
      <w:numFmt w:val="lowerRoman"/>
      <w:lvlText w:val="%9."/>
      <w:lvlJc w:val="right"/>
      <w:pPr>
        <w:ind w:left="7920" w:hanging="180"/>
      </w:pPr>
    </w:lvl>
  </w:abstractNum>
  <w:abstractNum w:abstractNumId="1" w15:restartNumberingAfterBreak="0">
    <w:nsid w:val="01607FAA"/>
    <w:multiLevelType w:val="multilevel"/>
    <w:tmpl w:val="FC141BD6"/>
    <w:lvl w:ilvl="0">
      <w:start w:val="5"/>
      <w:numFmt w:val="decimal"/>
      <w:lvlText w:val="%1."/>
      <w:lvlJc w:val="left"/>
      <w:pPr>
        <w:ind w:left="360" w:hanging="360"/>
      </w:pPr>
      <w:rPr>
        <w:rFonts w:hint="default"/>
        <w:b/>
        <w:sz w:val="22"/>
        <w:szCs w:val="22"/>
      </w:rPr>
    </w:lvl>
    <w:lvl w:ilvl="1">
      <w:start w:val="1"/>
      <w:numFmt w:val="decimal"/>
      <w:lvlText w:val="%1.%2"/>
      <w:lvlJc w:val="left"/>
      <w:pPr>
        <w:ind w:left="786" w:hanging="360"/>
      </w:pPr>
      <w:rPr>
        <w:rFonts w:hint="default"/>
        <w:b w:val="0"/>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 w15:restartNumberingAfterBreak="0">
    <w:nsid w:val="17E143E9"/>
    <w:multiLevelType w:val="hybridMultilevel"/>
    <w:tmpl w:val="F3C6BD48"/>
    <w:lvl w:ilvl="0" w:tplc="E5C2DA9E">
      <w:start w:val="1"/>
      <w:numFmt w:val="lowerLetter"/>
      <w:lvlText w:val="%1."/>
      <w:lvlJc w:val="left"/>
      <w:pPr>
        <w:ind w:left="1440" w:hanging="360"/>
      </w:pPr>
      <w:rPr>
        <w:rFonts w:hint="default"/>
        <w:b w:val="0"/>
        <w:i w:val="0"/>
        <w:sz w:val="22"/>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 w15:restartNumberingAfterBreak="0">
    <w:nsid w:val="1F0E22CE"/>
    <w:multiLevelType w:val="multilevel"/>
    <w:tmpl w:val="FBF0C7D6"/>
    <w:lvl w:ilvl="0">
      <w:start w:val="1"/>
      <w:numFmt w:val="decimal"/>
      <w:lvlText w:val="%1."/>
      <w:lvlJc w:val="left"/>
      <w:pPr>
        <w:ind w:left="576" w:hanging="576"/>
      </w:pPr>
      <w:rPr>
        <w:rFonts w:hint="default"/>
        <w:b/>
        <w:i w:val="0"/>
        <w:color w:val="auto"/>
        <w:sz w:val="22"/>
        <w:szCs w:val="22"/>
      </w:rPr>
    </w:lvl>
    <w:lvl w:ilvl="1">
      <w:start w:val="1"/>
      <w:numFmt w:val="decimal"/>
      <w:lvlText w:val="%1.%2"/>
      <w:lvlJc w:val="left"/>
      <w:pPr>
        <w:ind w:left="1288" w:hanging="720"/>
      </w:pPr>
      <w:rPr>
        <w:rFonts w:ascii="Arial" w:hAnsi="Arial" w:cs="Arial" w:hint="default"/>
        <w:b w:val="0"/>
        <w:i w:val="0"/>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832382D"/>
    <w:multiLevelType w:val="hybridMultilevel"/>
    <w:tmpl w:val="92B6B6E4"/>
    <w:lvl w:ilvl="0" w:tplc="34090019">
      <w:start w:val="1"/>
      <w:numFmt w:val="lowerLetter"/>
      <w:lvlText w:val="%1."/>
      <w:lvlJc w:val="left"/>
      <w:pPr>
        <w:ind w:left="502" w:hanging="360"/>
      </w:pPr>
      <w:rPr>
        <w:sz w:val="22"/>
      </w:rPr>
    </w:lvl>
    <w:lvl w:ilvl="1" w:tplc="34090019">
      <w:start w:val="1"/>
      <w:numFmt w:val="lowerLetter"/>
      <w:lvlText w:val="%2."/>
      <w:lvlJc w:val="left"/>
      <w:pPr>
        <w:ind w:left="1222" w:hanging="360"/>
      </w:pPr>
    </w:lvl>
    <w:lvl w:ilvl="2" w:tplc="3409001B">
      <w:start w:val="1"/>
      <w:numFmt w:val="lowerRoman"/>
      <w:lvlText w:val="%3."/>
      <w:lvlJc w:val="right"/>
      <w:pPr>
        <w:ind w:left="1942" w:hanging="180"/>
      </w:pPr>
    </w:lvl>
    <w:lvl w:ilvl="3" w:tplc="3409000F">
      <w:start w:val="1"/>
      <w:numFmt w:val="decimal"/>
      <w:lvlText w:val="%4."/>
      <w:lvlJc w:val="left"/>
      <w:pPr>
        <w:ind w:left="2662" w:hanging="360"/>
      </w:pPr>
    </w:lvl>
    <w:lvl w:ilvl="4" w:tplc="34090019">
      <w:start w:val="1"/>
      <w:numFmt w:val="lowerLetter"/>
      <w:lvlText w:val="%5."/>
      <w:lvlJc w:val="left"/>
      <w:pPr>
        <w:ind w:left="3382" w:hanging="360"/>
      </w:pPr>
    </w:lvl>
    <w:lvl w:ilvl="5" w:tplc="3409001B">
      <w:start w:val="1"/>
      <w:numFmt w:val="lowerRoman"/>
      <w:lvlText w:val="%6."/>
      <w:lvlJc w:val="right"/>
      <w:pPr>
        <w:ind w:left="4102" w:hanging="180"/>
      </w:pPr>
    </w:lvl>
    <w:lvl w:ilvl="6" w:tplc="3409000F">
      <w:start w:val="1"/>
      <w:numFmt w:val="decimal"/>
      <w:lvlText w:val="%7."/>
      <w:lvlJc w:val="left"/>
      <w:pPr>
        <w:ind w:left="4822" w:hanging="360"/>
      </w:pPr>
    </w:lvl>
    <w:lvl w:ilvl="7" w:tplc="34090019">
      <w:start w:val="1"/>
      <w:numFmt w:val="lowerLetter"/>
      <w:lvlText w:val="%8."/>
      <w:lvlJc w:val="left"/>
      <w:pPr>
        <w:ind w:left="5542" w:hanging="360"/>
      </w:pPr>
    </w:lvl>
    <w:lvl w:ilvl="8" w:tplc="3409001B">
      <w:start w:val="1"/>
      <w:numFmt w:val="lowerRoman"/>
      <w:lvlText w:val="%9."/>
      <w:lvlJc w:val="right"/>
      <w:pPr>
        <w:ind w:left="6262" w:hanging="180"/>
      </w:pPr>
    </w:lvl>
  </w:abstractNum>
  <w:abstractNum w:abstractNumId="5" w15:restartNumberingAfterBreak="0">
    <w:nsid w:val="28E2324F"/>
    <w:multiLevelType w:val="multilevel"/>
    <w:tmpl w:val="9FF87064"/>
    <w:lvl w:ilvl="0">
      <w:start w:val="3"/>
      <w:numFmt w:val="decimal"/>
      <w:lvlText w:val="%1"/>
      <w:lvlJc w:val="left"/>
      <w:pPr>
        <w:ind w:left="360" w:hanging="360"/>
      </w:pPr>
    </w:lvl>
    <w:lvl w:ilvl="1">
      <w:start w:val="1"/>
      <w:numFmt w:val="decimal"/>
      <w:lvlText w:val="%1.%2"/>
      <w:lvlJc w:val="left"/>
      <w:pPr>
        <w:ind w:left="1080" w:hanging="360"/>
      </w:pPr>
      <w:rPr>
        <w:color w:val="000000" w:themeColor="text1"/>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6" w15:restartNumberingAfterBreak="0">
    <w:nsid w:val="301A1CD6"/>
    <w:multiLevelType w:val="hybridMultilevel"/>
    <w:tmpl w:val="CC36DC18"/>
    <w:lvl w:ilvl="0" w:tplc="8FD21684">
      <w:start w:val="1"/>
      <w:numFmt w:val="lowerLetter"/>
      <w:lvlText w:val="%1."/>
      <w:lvlJc w:val="left"/>
      <w:pPr>
        <w:ind w:left="1778" w:hanging="360"/>
      </w:pPr>
      <w:rPr>
        <w:i w:val="0"/>
        <w:sz w:val="22"/>
      </w:rPr>
    </w:lvl>
    <w:lvl w:ilvl="1" w:tplc="34090019">
      <w:start w:val="1"/>
      <w:numFmt w:val="lowerLetter"/>
      <w:lvlText w:val="%2."/>
      <w:lvlJc w:val="left"/>
      <w:pPr>
        <w:ind w:left="2498" w:hanging="360"/>
      </w:pPr>
    </w:lvl>
    <w:lvl w:ilvl="2" w:tplc="3409001B">
      <w:start w:val="1"/>
      <w:numFmt w:val="lowerRoman"/>
      <w:lvlText w:val="%3."/>
      <w:lvlJc w:val="right"/>
      <w:pPr>
        <w:ind w:left="3218" w:hanging="180"/>
      </w:pPr>
    </w:lvl>
    <w:lvl w:ilvl="3" w:tplc="3409000F">
      <w:start w:val="1"/>
      <w:numFmt w:val="decimal"/>
      <w:lvlText w:val="%4."/>
      <w:lvlJc w:val="left"/>
      <w:pPr>
        <w:ind w:left="3938" w:hanging="360"/>
      </w:pPr>
    </w:lvl>
    <w:lvl w:ilvl="4" w:tplc="34090019">
      <w:start w:val="1"/>
      <w:numFmt w:val="lowerLetter"/>
      <w:lvlText w:val="%5."/>
      <w:lvlJc w:val="left"/>
      <w:pPr>
        <w:ind w:left="4658" w:hanging="360"/>
      </w:pPr>
    </w:lvl>
    <w:lvl w:ilvl="5" w:tplc="3409001B">
      <w:start w:val="1"/>
      <w:numFmt w:val="lowerRoman"/>
      <w:lvlText w:val="%6."/>
      <w:lvlJc w:val="right"/>
      <w:pPr>
        <w:ind w:left="5378" w:hanging="180"/>
      </w:pPr>
    </w:lvl>
    <w:lvl w:ilvl="6" w:tplc="3409000F">
      <w:start w:val="1"/>
      <w:numFmt w:val="decimal"/>
      <w:lvlText w:val="%7."/>
      <w:lvlJc w:val="left"/>
      <w:pPr>
        <w:ind w:left="6098" w:hanging="360"/>
      </w:pPr>
    </w:lvl>
    <w:lvl w:ilvl="7" w:tplc="34090019">
      <w:start w:val="1"/>
      <w:numFmt w:val="lowerLetter"/>
      <w:lvlText w:val="%8."/>
      <w:lvlJc w:val="left"/>
      <w:pPr>
        <w:ind w:left="6818" w:hanging="360"/>
      </w:pPr>
    </w:lvl>
    <w:lvl w:ilvl="8" w:tplc="3409001B">
      <w:start w:val="1"/>
      <w:numFmt w:val="lowerRoman"/>
      <w:lvlText w:val="%9."/>
      <w:lvlJc w:val="right"/>
      <w:pPr>
        <w:ind w:left="7538" w:hanging="180"/>
      </w:pPr>
    </w:lvl>
  </w:abstractNum>
  <w:abstractNum w:abstractNumId="7" w15:restartNumberingAfterBreak="0">
    <w:nsid w:val="4F7B6C13"/>
    <w:multiLevelType w:val="hybridMultilevel"/>
    <w:tmpl w:val="63589A7A"/>
    <w:lvl w:ilvl="0" w:tplc="F83E0E50">
      <w:start w:val="1"/>
      <w:numFmt w:val="lowerLetter"/>
      <w:lvlText w:val="%1."/>
      <w:lvlJc w:val="left"/>
      <w:pPr>
        <w:ind w:left="1800" w:hanging="360"/>
      </w:pPr>
    </w:lvl>
    <w:lvl w:ilvl="1" w:tplc="34090019">
      <w:start w:val="1"/>
      <w:numFmt w:val="lowerLetter"/>
      <w:lvlText w:val="%2."/>
      <w:lvlJc w:val="left"/>
      <w:pPr>
        <w:ind w:left="2520" w:hanging="360"/>
      </w:pPr>
    </w:lvl>
    <w:lvl w:ilvl="2" w:tplc="3409001B">
      <w:start w:val="1"/>
      <w:numFmt w:val="lowerRoman"/>
      <w:lvlText w:val="%3."/>
      <w:lvlJc w:val="right"/>
      <w:pPr>
        <w:ind w:left="3240" w:hanging="180"/>
      </w:pPr>
    </w:lvl>
    <w:lvl w:ilvl="3" w:tplc="3409000F">
      <w:start w:val="1"/>
      <w:numFmt w:val="decimal"/>
      <w:lvlText w:val="%4."/>
      <w:lvlJc w:val="left"/>
      <w:pPr>
        <w:ind w:left="3960" w:hanging="360"/>
      </w:pPr>
    </w:lvl>
    <w:lvl w:ilvl="4" w:tplc="34090019">
      <w:start w:val="1"/>
      <w:numFmt w:val="lowerLetter"/>
      <w:lvlText w:val="%5."/>
      <w:lvlJc w:val="left"/>
      <w:pPr>
        <w:ind w:left="4680" w:hanging="360"/>
      </w:pPr>
    </w:lvl>
    <w:lvl w:ilvl="5" w:tplc="3409001B">
      <w:start w:val="1"/>
      <w:numFmt w:val="lowerRoman"/>
      <w:lvlText w:val="%6."/>
      <w:lvlJc w:val="right"/>
      <w:pPr>
        <w:ind w:left="5400" w:hanging="180"/>
      </w:pPr>
    </w:lvl>
    <w:lvl w:ilvl="6" w:tplc="3409000F">
      <w:start w:val="1"/>
      <w:numFmt w:val="decimal"/>
      <w:lvlText w:val="%7."/>
      <w:lvlJc w:val="left"/>
      <w:pPr>
        <w:ind w:left="6120" w:hanging="360"/>
      </w:pPr>
    </w:lvl>
    <w:lvl w:ilvl="7" w:tplc="34090019">
      <w:start w:val="1"/>
      <w:numFmt w:val="lowerLetter"/>
      <w:lvlText w:val="%8."/>
      <w:lvlJc w:val="left"/>
      <w:pPr>
        <w:ind w:left="6840" w:hanging="360"/>
      </w:pPr>
    </w:lvl>
    <w:lvl w:ilvl="8" w:tplc="3409001B">
      <w:start w:val="1"/>
      <w:numFmt w:val="lowerRoman"/>
      <w:lvlText w:val="%9."/>
      <w:lvlJc w:val="right"/>
      <w:pPr>
        <w:ind w:left="7560" w:hanging="180"/>
      </w:pPr>
    </w:lvl>
  </w:abstractNum>
  <w:abstractNum w:abstractNumId="8" w15:restartNumberingAfterBreak="0">
    <w:nsid w:val="57D24D3B"/>
    <w:multiLevelType w:val="hybridMultilevel"/>
    <w:tmpl w:val="268C2E76"/>
    <w:lvl w:ilvl="0" w:tplc="C5D8701E">
      <w:start w:val="1"/>
      <w:numFmt w:val="lowerLetter"/>
      <w:lvlText w:val="%1."/>
      <w:lvlJc w:val="left"/>
      <w:pPr>
        <w:ind w:left="936" w:hanging="360"/>
      </w:pPr>
      <w:rPr>
        <w:b w:val="0"/>
      </w:rPr>
    </w:lvl>
    <w:lvl w:ilvl="1" w:tplc="34090019">
      <w:start w:val="1"/>
      <w:numFmt w:val="lowerLetter"/>
      <w:lvlText w:val="%2."/>
      <w:lvlJc w:val="left"/>
      <w:pPr>
        <w:ind w:left="1656" w:hanging="360"/>
      </w:pPr>
    </w:lvl>
    <w:lvl w:ilvl="2" w:tplc="3409001B">
      <w:start w:val="1"/>
      <w:numFmt w:val="lowerRoman"/>
      <w:lvlText w:val="%3."/>
      <w:lvlJc w:val="right"/>
      <w:pPr>
        <w:ind w:left="2376" w:hanging="180"/>
      </w:pPr>
    </w:lvl>
    <w:lvl w:ilvl="3" w:tplc="3409000F">
      <w:start w:val="1"/>
      <w:numFmt w:val="decimal"/>
      <w:lvlText w:val="%4."/>
      <w:lvlJc w:val="left"/>
      <w:pPr>
        <w:ind w:left="3096" w:hanging="360"/>
      </w:pPr>
    </w:lvl>
    <w:lvl w:ilvl="4" w:tplc="34090019">
      <w:start w:val="1"/>
      <w:numFmt w:val="lowerLetter"/>
      <w:lvlText w:val="%5."/>
      <w:lvlJc w:val="left"/>
      <w:pPr>
        <w:ind w:left="3816" w:hanging="360"/>
      </w:pPr>
    </w:lvl>
    <w:lvl w:ilvl="5" w:tplc="3409001B">
      <w:start w:val="1"/>
      <w:numFmt w:val="lowerRoman"/>
      <w:lvlText w:val="%6."/>
      <w:lvlJc w:val="right"/>
      <w:pPr>
        <w:ind w:left="4536" w:hanging="180"/>
      </w:pPr>
    </w:lvl>
    <w:lvl w:ilvl="6" w:tplc="3409000F">
      <w:start w:val="1"/>
      <w:numFmt w:val="decimal"/>
      <w:lvlText w:val="%7."/>
      <w:lvlJc w:val="left"/>
      <w:pPr>
        <w:ind w:left="5256" w:hanging="360"/>
      </w:pPr>
    </w:lvl>
    <w:lvl w:ilvl="7" w:tplc="34090019">
      <w:start w:val="1"/>
      <w:numFmt w:val="lowerLetter"/>
      <w:lvlText w:val="%8."/>
      <w:lvlJc w:val="left"/>
      <w:pPr>
        <w:ind w:left="5976" w:hanging="360"/>
      </w:pPr>
    </w:lvl>
    <w:lvl w:ilvl="8" w:tplc="3409001B">
      <w:start w:val="1"/>
      <w:numFmt w:val="lowerRoman"/>
      <w:lvlText w:val="%9."/>
      <w:lvlJc w:val="right"/>
      <w:pPr>
        <w:ind w:left="6696" w:hanging="180"/>
      </w:pPr>
    </w:lvl>
  </w:abstractNum>
  <w:abstractNum w:abstractNumId="9" w15:restartNumberingAfterBreak="0">
    <w:nsid w:val="58D828FE"/>
    <w:multiLevelType w:val="hybridMultilevel"/>
    <w:tmpl w:val="9D5ECA08"/>
    <w:lvl w:ilvl="0" w:tplc="34090019">
      <w:start w:val="1"/>
      <w:numFmt w:val="lowerLetter"/>
      <w:lvlText w:val="%1."/>
      <w:lvlJc w:val="left"/>
      <w:pPr>
        <w:ind w:left="2160" w:hanging="360"/>
      </w:pPr>
    </w:lvl>
    <w:lvl w:ilvl="1" w:tplc="34090019">
      <w:start w:val="1"/>
      <w:numFmt w:val="lowerLetter"/>
      <w:lvlText w:val="%2."/>
      <w:lvlJc w:val="left"/>
      <w:pPr>
        <w:ind w:left="2880" w:hanging="360"/>
      </w:pPr>
    </w:lvl>
    <w:lvl w:ilvl="2" w:tplc="3409001B">
      <w:start w:val="1"/>
      <w:numFmt w:val="lowerRoman"/>
      <w:lvlText w:val="%3."/>
      <w:lvlJc w:val="right"/>
      <w:pPr>
        <w:ind w:left="3600" w:hanging="180"/>
      </w:pPr>
    </w:lvl>
    <w:lvl w:ilvl="3" w:tplc="3409000F">
      <w:start w:val="1"/>
      <w:numFmt w:val="decimal"/>
      <w:lvlText w:val="%4."/>
      <w:lvlJc w:val="left"/>
      <w:pPr>
        <w:ind w:left="4320" w:hanging="360"/>
      </w:pPr>
    </w:lvl>
    <w:lvl w:ilvl="4" w:tplc="34090019">
      <w:start w:val="1"/>
      <w:numFmt w:val="lowerLetter"/>
      <w:lvlText w:val="%5."/>
      <w:lvlJc w:val="left"/>
      <w:pPr>
        <w:ind w:left="5040" w:hanging="360"/>
      </w:pPr>
    </w:lvl>
    <w:lvl w:ilvl="5" w:tplc="3409001B">
      <w:start w:val="1"/>
      <w:numFmt w:val="lowerRoman"/>
      <w:lvlText w:val="%6."/>
      <w:lvlJc w:val="right"/>
      <w:pPr>
        <w:ind w:left="5760" w:hanging="180"/>
      </w:pPr>
    </w:lvl>
    <w:lvl w:ilvl="6" w:tplc="3409000F">
      <w:start w:val="1"/>
      <w:numFmt w:val="decimal"/>
      <w:lvlText w:val="%7."/>
      <w:lvlJc w:val="left"/>
      <w:pPr>
        <w:ind w:left="6480" w:hanging="360"/>
      </w:pPr>
    </w:lvl>
    <w:lvl w:ilvl="7" w:tplc="34090019">
      <w:start w:val="1"/>
      <w:numFmt w:val="lowerLetter"/>
      <w:lvlText w:val="%8."/>
      <w:lvlJc w:val="left"/>
      <w:pPr>
        <w:ind w:left="7200" w:hanging="360"/>
      </w:pPr>
    </w:lvl>
    <w:lvl w:ilvl="8" w:tplc="3409001B">
      <w:start w:val="1"/>
      <w:numFmt w:val="lowerRoman"/>
      <w:lvlText w:val="%9."/>
      <w:lvlJc w:val="right"/>
      <w:pPr>
        <w:ind w:left="7920" w:hanging="180"/>
      </w:pPr>
    </w:lvl>
  </w:abstractNum>
  <w:abstractNum w:abstractNumId="10" w15:restartNumberingAfterBreak="0">
    <w:nsid w:val="619613D3"/>
    <w:multiLevelType w:val="hybridMultilevel"/>
    <w:tmpl w:val="91E45A4A"/>
    <w:lvl w:ilvl="0" w:tplc="3F7E4A28">
      <w:start w:val="1"/>
      <w:numFmt w:val="lowerLetter"/>
      <w:lvlText w:val="%1."/>
      <w:lvlJc w:val="left"/>
      <w:pPr>
        <w:ind w:left="1440" w:hanging="360"/>
      </w:pPr>
      <w:rPr>
        <w:rFonts w:hint="default"/>
        <w:b w:val="0"/>
        <w:color w:val="000000" w:themeColor="text1"/>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1" w15:restartNumberingAfterBreak="0">
    <w:nsid w:val="6F0A170C"/>
    <w:multiLevelType w:val="hybridMultilevel"/>
    <w:tmpl w:val="F4E24A70"/>
    <w:lvl w:ilvl="0" w:tplc="016CF7EE">
      <w:start w:val="1"/>
      <w:numFmt w:val="lowerLetter"/>
      <w:lvlText w:val="%1."/>
      <w:lvlJc w:val="left"/>
      <w:pPr>
        <w:ind w:left="720" w:hanging="360"/>
      </w:pPr>
      <w:rPr>
        <w:b w:val="0"/>
        <w:i w:val="0"/>
      </w:rPr>
    </w:lvl>
    <w:lvl w:ilvl="1" w:tplc="E4AE922C">
      <w:start w:val="1"/>
      <w:numFmt w:val="lowerLetter"/>
      <w:lvlText w:val="%2."/>
      <w:lvlJc w:val="left"/>
      <w:pPr>
        <w:ind w:left="1440" w:hanging="360"/>
      </w:pPr>
      <w:rPr>
        <w:i/>
      </w:r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2" w15:restartNumberingAfterBreak="0">
    <w:nsid w:val="73584D17"/>
    <w:multiLevelType w:val="hybridMultilevel"/>
    <w:tmpl w:val="96523BA6"/>
    <w:lvl w:ilvl="0" w:tplc="34090019">
      <w:start w:val="1"/>
      <w:numFmt w:val="lowerLetter"/>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13" w15:restartNumberingAfterBreak="0">
    <w:nsid w:val="781C2C64"/>
    <w:multiLevelType w:val="hybridMultilevel"/>
    <w:tmpl w:val="10701A90"/>
    <w:lvl w:ilvl="0" w:tplc="6BCA9D1C">
      <w:start w:val="1"/>
      <w:numFmt w:val="lowerLetter"/>
      <w:lvlText w:val="%1."/>
      <w:lvlJc w:val="left"/>
      <w:pPr>
        <w:ind w:left="2160" w:hanging="360"/>
      </w:pPr>
      <w:rPr>
        <w:b w:val="0"/>
      </w:rPr>
    </w:lvl>
    <w:lvl w:ilvl="1" w:tplc="34090019">
      <w:start w:val="1"/>
      <w:numFmt w:val="lowerLetter"/>
      <w:lvlText w:val="%2."/>
      <w:lvlJc w:val="left"/>
      <w:pPr>
        <w:ind w:left="2880" w:hanging="360"/>
      </w:pPr>
    </w:lvl>
    <w:lvl w:ilvl="2" w:tplc="3409001B">
      <w:start w:val="1"/>
      <w:numFmt w:val="lowerRoman"/>
      <w:lvlText w:val="%3."/>
      <w:lvlJc w:val="right"/>
      <w:pPr>
        <w:ind w:left="3600" w:hanging="180"/>
      </w:pPr>
    </w:lvl>
    <w:lvl w:ilvl="3" w:tplc="3409000F">
      <w:start w:val="1"/>
      <w:numFmt w:val="decimal"/>
      <w:lvlText w:val="%4."/>
      <w:lvlJc w:val="left"/>
      <w:pPr>
        <w:ind w:left="4320" w:hanging="360"/>
      </w:pPr>
    </w:lvl>
    <w:lvl w:ilvl="4" w:tplc="34090019">
      <w:start w:val="1"/>
      <w:numFmt w:val="lowerLetter"/>
      <w:lvlText w:val="%5."/>
      <w:lvlJc w:val="left"/>
      <w:pPr>
        <w:ind w:left="5040" w:hanging="360"/>
      </w:pPr>
    </w:lvl>
    <w:lvl w:ilvl="5" w:tplc="3409001B">
      <w:start w:val="1"/>
      <w:numFmt w:val="lowerRoman"/>
      <w:lvlText w:val="%6."/>
      <w:lvlJc w:val="right"/>
      <w:pPr>
        <w:ind w:left="5760" w:hanging="180"/>
      </w:pPr>
    </w:lvl>
    <w:lvl w:ilvl="6" w:tplc="3409000F">
      <w:start w:val="1"/>
      <w:numFmt w:val="decimal"/>
      <w:lvlText w:val="%7."/>
      <w:lvlJc w:val="left"/>
      <w:pPr>
        <w:ind w:left="6480" w:hanging="360"/>
      </w:pPr>
    </w:lvl>
    <w:lvl w:ilvl="7" w:tplc="34090019">
      <w:start w:val="1"/>
      <w:numFmt w:val="lowerLetter"/>
      <w:lvlText w:val="%8."/>
      <w:lvlJc w:val="left"/>
      <w:pPr>
        <w:ind w:left="7200" w:hanging="360"/>
      </w:pPr>
    </w:lvl>
    <w:lvl w:ilvl="8" w:tplc="3409001B">
      <w:start w:val="1"/>
      <w:numFmt w:val="lowerRoman"/>
      <w:lvlText w:val="%9."/>
      <w:lvlJc w:val="right"/>
      <w:pPr>
        <w:ind w:left="7920" w:hanging="180"/>
      </w:pPr>
    </w:lvl>
  </w:abstractNum>
  <w:abstractNum w:abstractNumId="14" w15:restartNumberingAfterBreak="0">
    <w:nsid w:val="7E606B91"/>
    <w:multiLevelType w:val="hybridMultilevel"/>
    <w:tmpl w:val="DF4294F2"/>
    <w:lvl w:ilvl="0" w:tplc="8FD21684">
      <w:start w:val="1"/>
      <w:numFmt w:val="lowerLetter"/>
      <w:lvlText w:val="%1."/>
      <w:lvlJc w:val="left"/>
      <w:pPr>
        <w:ind w:left="2160" w:hanging="360"/>
      </w:pPr>
      <w:rPr>
        <w:i w:val="0"/>
        <w:sz w:val="22"/>
      </w:rPr>
    </w:lvl>
    <w:lvl w:ilvl="1" w:tplc="34090003">
      <w:start w:val="1"/>
      <w:numFmt w:val="bullet"/>
      <w:lvlText w:val="o"/>
      <w:lvlJc w:val="left"/>
      <w:pPr>
        <w:ind w:left="2880" w:hanging="360"/>
      </w:pPr>
      <w:rPr>
        <w:rFonts w:ascii="Courier New" w:hAnsi="Courier New" w:cs="Courier New" w:hint="default"/>
      </w:rPr>
    </w:lvl>
    <w:lvl w:ilvl="2" w:tplc="34090005">
      <w:start w:val="1"/>
      <w:numFmt w:val="bullet"/>
      <w:lvlText w:val=""/>
      <w:lvlJc w:val="left"/>
      <w:pPr>
        <w:ind w:left="3600" w:hanging="360"/>
      </w:pPr>
      <w:rPr>
        <w:rFonts w:ascii="Wingdings" w:hAnsi="Wingdings" w:hint="default"/>
      </w:rPr>
    </w:lvl>
    <w:lvl w:ilvl="3" w:tplc="34090001">
      <w:start w:val="1"/>
      <w:numFmt w:val="bullet"/>
      <w:lvlText w:val=""/>
      <w:lvlJc w:val="left"/>
      <w:pPr>
        <w:ind w:left="4320" w:hanging="360"/>
      </w:pPr>
      <w:rPr>
        <w:rFonts w:ascii="Symbol" w:hAnsi="Symbol" w:hint="default"/>
      </w:rPr>
    </w:lvl>
    <w:lvl w:ilvl="4" w:tplc="34090003">
      <w:start w:val="1"/>
      <w:numFmt w:val="bullet"/>
      <w:lvlText w:val="o"/>
      <w:lvlJc w:val="left"/>
      <w:pPr>
        <w:ind w:left="5040" w:hanging="360"/>
      </w:pPr>
      <w:rPr>
        <w:rFonts w:ascii="Courier New" w:hAnsi="Courier New" w:cs="Courier New" w:hint="default"/>
      </w:rPr>
    </w:lvl>
    <w:lvl w:ilvl="5" w:tplc="34090005">
      <w:start w:val="1"/>
      <w:numFmt w:val="bullet"/>
      <w:lvlText w:val=""/>
      <w:lvlJc w:val="left"/>
      <w:pPr>
        <w:ind w:left="5760" w:hanging="360"/>
      </w:pPr>
      <w:rPr>
        <w:rFonts w:ascii="Wingdings" w:hAnsi="Wingdings" w:hint="default"/>
      </w:rPr>
    </w:lvl>
    <w:lvl w:ilvl="6" w:tplc="34090001">
      <w:start w:val="1"/>
      <w:numFmt w:val="bullet"/>
      <w:lvlText w:val=""/>
      <w:lvlJc w:val="left"/>
      <w:pPr>
        <w:ind w:left="6480" w:hanging="360"/>
      </w:pPr>
      <w:rPr>
        <w:rFonts w:ascii="Symbol" w:hAnsi="Symbol" w:hint="default"/>
      </w:rPr>
    </w:lvl>
    <w:lvl w:ilvl="7" w:tplc="34090003">
      <w:start w:val="1"/>
      <w:numFmt w:val="bullet"/>
      <w:lvlText w:val="o"/>
      <w:lvlJc w:val="left"/>
      <w:pPr>
        <w:ind w:left="7200" w:hanging="360"/>
      </w:pPr>
      <w:rPr>
        <w:rFonts w:ascii="Courier New" w:hAnsi="Courier New" w:cs="Courier New" w:hint="default"/>
      </w:rPr>
    </w:lvl>
    <w:lvl w:ilvl="8" w:tplc="34090005">
      <w:start w:val="1"/>
      <w:numFmt w:val="bullet"/>
      <w:lvlText w:val=""/>
      <w:lvlJc w:val="left"/>
      <w:pPr>
        <w:ind w:left="79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2"/>
  </w:num>
  <w:num w:numId="1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aKTOmauTOeT90rXRjA5PYVvoBsQsuVdwlLWfxU/T8KNASw6I2qzYLETfym1N5RJqIhWq65v/p0dF1FokYz9nGA==" w:salt="Z2nTuyYZlZy8DUrevrgiEg=="/>
  <w:defaultTabStop w:val="720"/>
  <w:characterSpacingControl w:val="doNotCompres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ECA174-2CA6-43F4-8DC2-95F031EEB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cs="Times New Roman"/>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1"/>
    <w:basedOn w:val="Normal"/>
    <w:link w:val="ListParagraphChar"/>
    <w:uiPriority w:val="34"/>
    <w:qFormat/>
    <w:pPr>
      <w:ind w:left="720"/>
      <w:contextualSpacing/>
    </w:p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Calibri" w:hAnsi="Segoe UI" w:cs="Segoe UI"/>
      <w:sz w:val="18"/>
      <w:szCs w:val="18"/>
      <w:lang w:val="en-US" w:eastAsia="zh-CN"/>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Times New Roman"/>
      <w:lang w:val="en-US" w:eastAsia="zh-CN"/>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Times New Roman"/>
      <w:lang w:val="en-US" w:eastAsia="zh-CN"/>
    </w:rPr>
  </w:style>
  <w:style w:type="character" w:customStyle="1" w:styleId="ListParagraphChar">
    <w:name w:val="List Paragraph Char"/>
    <w:aliases w:val="Resume Title Char,List Paragraph1 Char"/>
    <w:link w:val="ListParagraph"/>
    <w:uiPriority w:val="34"/>
    <w:qFormat/>
    <w:rPr>
      <w:rFonts w:ascii="Calibri" w:eastAsia="Calibri" w:hAnsi="Calibri" w:cs="Times New Roman"/>
      <w:lang w:val="en-US" w:eastAsia="zh-CN"/>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78371">
      <w:bodyDiv w:val="1"/>
      <w:marLeft w:val="0"/>
      <w:marRight w:val="0"/>
      <w:marTop w:val="0"/>
      <w:marBottom w:val="0"/>
      <w:divBdr>
        <w:top w:val="none" w:sz="0" w:space="0" w:color="auto"/>
        <w:left w:val="none" w:sz="0" w:space="0" w:color="auto"/>
        <w:bottom w:val="none" w:sz="0" w:space="0" w:color="auto"/>
        <w:right w:val="none" w:sz="0" w:space="0" w:color="auto"/>
      </w:divBdr>
    </w:div>
    <w:div w:id="101533503">
      <w:bodyDiv w:val="1"/>
      <w:marLeft w:val="0"/>
      <w:marRight w:val="0"/>
      <w:marTop w:val="0"/>
      <w:marBottom w:val="0"/>
      <w:divBdr>
        <w:top w:val="none" w:sz="0" w:space="0" w:color="auto"/>
        <w:left w:val="none" w:sz="0" w:space="0" w:color="auto"/>
        <w:bottom w:val="none" w:sz="0" w:space="0" w:color="auto"/>
        <w:right w:val="none" w:sz="0" w:space="0" w:color="auto"/>
      </w:divBdr>
    </w:div>
    <w:div w:id="152650182">
      <w:bodyDiv w:val="1"/>
      <w:marLeft w:val="0"/>
      <w:marRight w:val="0"/>
      <w:marTop w:val="0"/>
      <w:marBottom w:val="0"/>
      <w:divBdr>
        <w:top w:val="none" w:sz="0" w:space="0" w:color="auto"/>
        <w:left w:val="none" w:sz="0" w:space="0" w:color="auto"/>
        <w:bottom w:val="none" w:sz="0" w:space="0" w:color="auto"/>
        <w:right w:val="none" w:sz="0" w:space="0" w:color="auto"/>
      </w:divBdr>
    </w:div>
    <w:div w:id="222644418">
      <w:bodyDiv w:val="1"/>
      <w:marLeft w:val="0"/>
      <w:marRight w:val="0"/>
      <w:marTop w:val="0"/>
      <w:marBottom w:val="0"/>
      <w:divBdr>
        <w:top w:val="none" w:sz="0" w:space="0" w:color="auto"/>
        <w:left w:val="none" w:sz="0" w:space="0" w:color="auto"/>
        <w:bottom w:val="none" w:sz="0" w:space="0" w:color="auto"/>
        <w:right w:val="none" w:sz="0" w:space="0" w:color="auto"/>
      </w:divBdr>
    </w:div>
    <w:div w:id="265502081">
      <w:bodyDiv w:val="1"/>
      <w:marLeft w:val="0"/>
      <w:marRight w:val="0"/>
      <w:marTop w:val="0"/>
      <w:marBottom w:val="0"/>
      <w:divBdr>
        <w:top w:val="none" w:sz="0" w:space="0" w:color="auto"/>
        <w:left w:val="none" w:sz="0" w:space="0" w:color="auto"/>
        <w:bottom w:val="none" w:sz="0" w:space="0" w:color="auto"/>
        <w:right w:val="none" w:sz="0" w:space="0" w:color="auto"/>
      </w:divBdr>
    </w:div>
    <w:div w:id="303699302">
      <w:bodyDiv w:val="1"/>
      <w:marLeft w:val="0"/>
      <w:marRight w:val="0"/>
      <w:marTop w:val="0"/>
      <w:marBottom w:val="0"/>
      <w:divBdr>
        <w:top w:val="none" w:sz="0" w:space="0" w:color="auto"/>
        <w:left w:val="none" w:sz="0" w:space="0" w:color="auto"/>
        <w:bottom w:val="none" w:sz="0" w:space="0" w:color="auto"/>
        <w:right w:val="none" w:sz="0" w:space="0" w:color="auto"/>
      </w:divBdr>
    </w:div>
    <w:div w:id="353263381">
      <w:bodyDiv w:val="1"/>
      <w:marLeft w:val="0"/>
      <w:marRight w:val="0"/>
      <w:marTop w:val="0"/>
      <w:marBottom w:val="0"/>
      <w:divBdr>
        <w:top w:val="none" w:sz="0" w:space="0" w:color="auto"/>
        <w:left w:val="none" w:sz="0" w:space="0" w:color="auto"/>
        <w:bottom w:val="none" w:sz="0" w:space="0" w:color="auto"/>
        <w:right w:val="none" w:sz="0" w:space="0" w:color="auto"/>
      </w:divBdr>
    </w:div>
    <w:div w:id="378479595">
      <w:bodyDiv w:val="1"/>
      <w:marLeft w:val="0"/>
      <w:marRight w:val="0"/>
      <w:marTop w:val="0"/>
      <w:marBottom w:val="0"/>
      <w:divBdr>
        <w:top w:val="none" w:sz="0" w:space="0" w:color="auto"/>
        <w:left w:val="none" w:sz="0" w:space="0" w:color="auto"/>
        <w:bottom w:val="none" w:sz="0" w:space="0" w:color="auto"/>
        <w:right w:val="none" w:sz="0" w:space="0" w:color="auto"/>
      </w:divBdr>
    </w:div>
    <w:div w:id="399640751">
      <w:bodyDiv w:val="1"/>
      <w:marLeft w:val="0"/>
      <w:marRight w:val="0"/>
      <w:marTop w:val="0"/>
      <w:marBottom w:val="0"/>
      <w:divBdr>
        <w:top w:val="none" w:sz="0" w:space="0" w:color="auto"/>
        <w:left w:val="none" w:sz="0" w:space="0" w:color="auto"/>
        <w:bottom w:val="none" w:sz="0" w:space="0" w:color="auto"/>
        <w:right w:val="none" w:sz="0" w:space="0" w:color="auto"/>
      </w:divBdr>
    </w:div>
    <w:div w:id="509220504">
      <w:bodyDiv w:val="1"/>
      <w:marLeft w:val="0"/>
      <w:marRight w:val="0"/>
      <w:marTop w:val="0"/>
      <w:marBottom w:val="0"/>
      <w:divBdr>
        <w:top w:val="none" w:sz="0" w:space="0" w:color="auto"/>
        <w:left w:val="none" w:sz="0" w:space="0" w:color="auto"/>
        <w:bottom w:val="none" w:sz="0" w:space="0" w:color="auto"/>
        <w:right w:val="none" w:sz="0" w:space="0" w:color="auto"/>
      </w:divBdr>
    </w:div>
    <w:div w:id="569848404">
      <w:bodyDiv w:val="1"/>
      <w:marLeft w:val="0"/>
      <w:marRight w:val="0"/>
      <w:marTop w:val="0"/>
      <w:marBottom w:val="0"/>
      <w:divBdr>
        <w:top w:val="none" w:sz="0" w:space="0" w:color="auto"/>
        <w:left w:val="none" w:sz="0" w:space="0" w:color="auto"/>
        <w:bottom w:val="none" w:sz="0" w:space="0" w:color="auto"/>
        <w:right w:val="none" w:sz="0" w:space="0" w:color="auto"/>
      </w:divBdr>
    </w:div>
    <w:div w:id="577634839">
      <w:bodyDiv w:val="1"/>
      <w:marLeft w:val="0"/>
      <w:marRight w:val="0"/>
      <w:marTop w:val="0"/>
      <w:marBottom w:val="0"/>
      <w:divBdr>
        <w:top w:val="none" w:sz="0" w:space="0" w:color="auto"/>
        <w:left w:val="none" w:sz="0" w:space="0" w:color="auto"/>
        <w:bottom w:val="none" w:sz="0" w:space="0" w:color="auto"/>
        <w:right w:val="none" w:sz="0" w:space="0" w:color="auto"/>
      </w:divBdr>
    </w:div>
    <w:div w:id="586114845">
      <w:bodyDiv w:val="1"/>
      <w:marLeft w:val="0"/>
      <w:marRight w:val="0"/>
      <w:marTop w:val="0"/>
      <w:marBottom w:val="0"/>
      <w:divBdr>
        <w:top w:val="none" w:sz="0" w:space="0" w:color="auto"/>
        <w:left w:val="none" w:sz="0" w:space="0" w:color="auto"/>
        <w:bottom w:val="none" w:sz="0" w:space="0" w:color="auto"/>
        <w:right w:val="none" w:sz="0" w:space="0" w:color="auto"/>
      </w:divBdr>
    </w:div>
    <w:div w:id="720057975">
      <w:bodyDiv w:val="1"/>
      <w:marLeft w:val="0"/>
      <w:marRight w:val="0"/>
      <w:marTop w:val="0"/>
      <w:marBottom w:val="0"/>
      <w:divBdr>
        <w:top w:val="none" w:sz="0" w:space="0" w:color="auto"/>
        <w:left w:val="none" w:sz="0" w:space="0" w:color="auto"/>
        <w:bottom w:val="none" w:sz="0" w:space="0" w:color="auto"/>
        <w:right w:val="none" w:sz="0" w:space="0" w:color="auto"/>
      </w:divBdr>
    </w:div>
    <w:div w:id="721442542">
      <w:bodyDiv w:val="1"/>
      <w:marLeft w:val="0"/>
      <w:marRight w:val="0"/>
      <w:marTop w:val="0"/>
      <w:marBottom w:val="0"/>
      <w:divBdr>
        <w:top w:val="none" w:sz="0" w:space="0" w:color="auto"/>
        <w:left w:val="none" w:sz="0" w:space="0" w:color="auto"/>
        <w:bottom w:val="none" w:sz="0" w:space="0" w:color="auto"/>
        <w:right w:val="none" w:sz="0" w:space="0" w:color="auto"/>
      </w:divBdr>
    </w:div>
    <w:div w:id="759062915">
      <w:bodyDiv w:val="1"/>
      <w:marLeft w:val="0"/>
      <w:marRight w:val="0"/>
      <w:marTop w:val="0"/>
      <w:marBottom w:val="0"/>
      <w:divBdr>
        <w:top w:val="none" w:sz="0" w:space="0" w:color="auto"/>
        <w:left w:val="none" w:sz="0" w:space="0" w:color="auto"/>
        <w:bottom w:val="none" w:sz="0" w:space="0" w:color="auto"/>
        <w:right w:val="none" w:sz="0" w:space="0" w:color="auto"/>
      </w:divBdr>
    </w:div>
    <w:div w:id="787553824">
      <w:bodyDiv w:val="1"/>
      <w:marLeft w:val="0"/>
      <w:marRight w:val="0"/>
      <w:marTop w:val="0"/>
      <w:marBottom w:val="0"/>
      <w:divBdr>
        <w:top w:val="none" w:sz="0" w:space="0" w:color="auto"/>
        <w:left w:val="none" w:sz="0" w:space="0" w:color="auto"/>
        <w:bottom w:val="none" w:sz="0" w:space="0" w:color="auto"/>
        <w:right w:val="none" w:sz="0" w:space="0" w:color="auto"/>
      </w:divBdr>
    </w:div>
    <w:div w:id="881788238">
      <w:bodyDiv w:val="1"/>
      <w:marLeft w:val="0"/>
      <w:marRight w:val="0"/>
      <w:marTop w:val="0"/>
      <w:marBottom w:val="0"/>
      <w:divBdr>
        <w:top w:val="none" w:sz="0" w:space="0" w:color="auto"/>
        <w:left w:val="none" w:sz="0" w:space="0" w:color="auto"/>
        <w:bottom w:val="none" w:sz="0" w:space="0" w:color="auto"/>
        <w:right w:val="none" w:sz="0" w:space="0" w:color="auto"/>
      </w:divBdr>
    </w:div>
    <w:div w:id="1113596369">
      <w:bodyDiv w:val="1"/>
      <w:marLeft w:val="0"/>
      <w:marRight w:val="0"/>
      <w:marTop w:val="0"/>
      <w:marBottom w:val="0"/>
      <w:divBdr>
        <w:top w:val="none" w:sz="0" w:space="0" w:color="auto"/>
        <w:left w:val="none" w:sz="0" w:space="0" w:color="auto"/>
        <w:bottom w:val="none" w:sz="0" w:space="0" w:color="auto"/>
        <w:right w:val="none" w:sz="0" w:space="0" w:color="auto"/>
      </w:divBdr>
    </w:div>
    <w:div w:id="1163619313">
      <w:bodyDiv w:val="1"/>
      <w:marLeft w:val="0"/>
      <w:marRight w:val="0"/>
      <w:marTop w:val="0"/>
      <w:marBottom w:val="0"/>
      <w:divBdr>
        <w:top w:val="none" w:sz="0" w:space="0" w:color="auto"/>
        <w:left w:val="none" w:sz="0" w:space="0" w:color="auto"/>
        <w:bottom w:val="none" w:sz="0" w:space="0" w:color="auto"/>
        <w:right w:val="none" w:sz="0" w:space="0" w:color="auto"/>
      </w:divBdr>
    </w:div>
    <w:div w:id="1215459215">
      <w:bodyDiv w:val="1"/>
      <w:marLeft w:val="0"/>
      <w:marRight w:val="0"/>
      <w:marTop w:val="0"/>
      <w:marBottom w:val="0"/>
      <w:divBdr>
        <w:top w:val="none" w:sz="0" w:space="0" w:color="auto"/>
        <w:left w:val="none" w:sz="0" w:space="0" w:color="auto"/>
        <w:bottom w:val="none" w:sz="0" w:space="0" w:color="auto"/>
        <w:right w:val="none" w:sz="0" w:space="0" w:color="auto"/>
      </w:divBdr>
    </w:div>
    <w:div w:id="1247574406">
      <w:bodyDiv w:val="1"/>
      <w:marLeft w:val="0"/>
      <w:marRight w:val="0"/>
      <w:marTop w:val="0"/>
      <w:marBottom w:val="0"/>
      <w:divBdr>
        <w:top w:val="none" w:sz="0" w:space="0" w:color="auto"/>
        <w:left w:val="none" w:sz="0" w:space="0" w:color="auto"/>
        <w:bottom w:val="none" w:sz="0" w:space="0" w:color="auto"/>
        <w:right w:val="none" w:sz="0" w:space="0" w:color="auto"/>
      </w:divBdr>
    </w:div>
    <w:div w:id="1273126356">
      <w:bodyDiv w:val="1"/>
      <w:marLeft w:val="0"/>
      <w:marRight w:val="0"/>
      <w:marTop w:val="0"/>
      <w:marBottom w:val="0"/>
      <w:divBdr>
        <w:top w:val="none" w:sz="0" w:space="0" w:color="auto"/>
        <w:left w:val="none" w:sz="0" w:space="0" w:color="auto"/>
        <w:bottom w:val="none" w:sz="0" w:space="0" w:color="auto"/>
        <w:right w:val="none" w:sz="0" w:space="0" w:color="auto"/>
      </w:divBdr>
    </w:div>
    <w:div w:id="1443181417">
      <w:bodyDiv w:val="1"/>
      <w:marLeft w:val="0"/>
      <w:marRight w:val="0"/>
      <w:marTop w:val="0"/>
      <w:marBottom w:val="0"/>
      <w:divBdr>
        <w:top w:val="none" w:sz="0" w:space="0" w:color="auto"/>
        <w:left w:val="none" w:sz="0" w:space="0" w:color="auto"/>
        <w:bottom w:val="none" w:sz="0" w:space="0" w:color="auto"/>
        <w:right w:val="none" w:sz="0" w:space="0" w:color="auto"/>
      </w:divBdr>
    </w:div>
    <w:div w:id="1451363300">
      <w:bodyDiv w:val="1"/>
      <w:marLeft w:val="0"/>
      <w:marRight w:val="0"/>
      <w:marTop w:val="0"/>
      <w:marBottom w:val="0"/>
      <w:divBdr>
        <w:top w:val="none" w:sz="0" w:space="0" w:color="auto"/>
        <w:left w:val="none" w:sz="0" w:space="0" w:color="auto"/>
        <w:bottom w:val="none" w:sz="0" w:space="0" w:color="auto"/>
        <w:right w:val="none" w:sz="0" w:space="0" w:color="auto"/>
      </w:divBdr>
    </w:div>
    <w:div w:id="1496654166">
      <w:bodyDiv w:val="1"/>
      <w:marLeft w:val="0"/>
      <w:marRight w:val="0"/>
      <w:marTop w:val="0"/>
      <w:marBottom w:val="0"/>
      <w:divBdr>
        <w:top w:val="none" w:sz="0" w:space="0" w:color="auto"/>
        <w:left w:val="none" w:sz="0" w:space="0" w:color="auto"/>
        <w:bottom w:val="none" w:sz="0" w:space="0" w:color="auto"/>
        <w:right w:val="none" w:sz="0" w:space="0" w:color="auto"/>
      </w:divBdr>
    </w:div>
    <w:div w:id="1560824505">
      <w:bodyDiv w:val="1"/>
      <w:marLeft w:val="0"/>
      <w:marRight w:val="0"/>
      <w:marTop w:val="0"/>
      <w:marBottom w:val="0"/>
      <w:divBdr>
        <w:top w:val="none" w:sz="0" w:space="0" w:color="auto"/>
        <w:left w:val="none" w:sz="0" w:space="0" w:color="auto"/>
        <w:bottom w:val="none" w:sz="0" w:space="0" w:color="auto"/>
        <w:right w:val="none" w:sz="0" w:space="0" w:color="auto"/>
      </w:divBdr>
    </w:div>
    <w:div w:id="1600597415">
      <w:bodyDiv w:val="1"/>
      <w:marLeft w:val="0"/>
      <w:marRight w:val="0"/>
      <w:marTop w:val="0"/>
      <w:marBottom w:val="0"/>
      <w:divBdr>
        <w:top w:val="none" w:sz="0" w:space="0" w:color="auto"/>
        <w:left w:val="none" w:sz="0" w:space="0" w:color="auto"/>
        <w:bottom w:val="none" w:sz="0" w:space="0" w:color="auto"/>
        <w:right w:val="none" w:sz="0" w:space="0" w:color="auto"/>
      </w:divBdr>
    </w:div>
    <w:div w:id="1656299892">
      <w:bodyDiv w:val="1"/>
      <w:marLeft w:val="0"/>
      <w:marRight w:val="0"/>
      <w:marTop w:val="0"/>
      <w:marBottom w:val="0"/>
      <w:divBdr>
        <w:top w:val="none" w:sz="0" w:space="0" w:color="auto"/>
        <w:left w:val="none" w:sz="0" w:space="0" w:color="auto"/>
        <w:bottom w:val="none" w:sz="0" w:space="0" w:color="auto"/>
        <w:right w:val="none" w:sz="0" w:space="0" w:color="auto"/>
      </w:divBdr>
    </w:div>
    <w:div w:id="1659377742">
      <w:bodyDiv w:val="1"/>
      <w:marLeft w:val="0"/>
      <w:marRight w:val="0"/>
      <w:marTop w:val="0"/>
      <w:marBottom w:val="0"/>
      <w:divBdr>
        <w:top w:val="none" w:sz="0" w:space="0" w:color="auto"/>
        <w:left w:val="none" w:sz="0" w:space="0" w:color="auto"/>
        <w:bottom w:val="none" w:sz="0" w:space="0" w:color="auto"/>
        <w:right w:val="none" w:sz="0" w:space="0" w:color="auto"/>
      </w:divBdr>
    </w:div>
    <w:div w:id="1756048991">
      <w:bodyDiv w:val="1"/>
      <w:marLeft w:val="0"/>
      <w:marRight w:val="0"/>
      <w:marTop w:val="0"/>
      <w:marBottom w:val="0"/>
      <w:divBdr>
        <w:top w:val="none" w:sz="0" w:space="0" w:color="auto"/>
        <w:left w:val="none" w:sz="0" w:space="0" w:color="auto"/>
        <w:bottom w:val="none" w:sz="0" w:space="0" w:color="auto"/>
        <w:right w:val="none" w:sz="0" w:space="0" w:color="auto"/>
      </w:divBdr>
    </w:div>
    <w:div w:id="1782414274">
      <w:bodyDiv w:val="1"/>
      <w:marLeft w:val="0"/>
      <w:marRight w:val="0"/>
      <w:marTop w:val="0"/>
      <w:marBottom w:val="0"/>
      <w:divBdr>
        <w:top w:val="none" w:sz="0" w:space="0" w:color="auto"/>
        <w:left w:val="none" w:sz="0" w:space="0" w:color="auto"/>
        <w:bottom w:val="none" w:sz="0" w:space="0" w:color="auto"/>
        <w:right w:val="none" w:sz="0" w:space="0" w:color="auto"/>
      </w:divBdr>
    </w:div>
    <w:div w:id="1788040013">
      <w:bodyDiv w:val="1"/>
      <w:marLeft w:val="0"/>
      <w:marRight w:val="0"/>
      <w:marTop w:val="0"/>
      <w:marBottom w:val="0"/>
      <w:divBdr>
        <w:top w:val="none" w:sz="0" w:space="0" w:color="auto"/>
        <w:left w:val="none" w:sz="0" w:space="0" w:color="auto"/>
        <w:bottom w:val="none" w:sz="0" w:space="0" w:color="auto"/>
        <w:right w:val="none" w:sz="0" w:space="0" w:color="auto"/>
      </w:divBdr>
    </w:div>
    <w:div w:id="1886873181">
      <w:bodyDiv w:val="1"/>
      <w:marLeft w:val="0"/>
      <w:marRight w:val="0"/>
      <w:marTop w:val="0"/>
      <w:marBottom w:val="0"/>
      <w:divBdr>
        <w:top w:val="none" w:sz="0" w:space="0" w:color="auto"/>
        <w:left w:val="none" w:sz="0" w:space="0" w:color="auto"/>
        <w:bottom w:val="none" w:sz="0" w:space="0" w:color="auto"/>
        <w:right w:val="none" w:sz="0" w:space="0" w:color="auto"/>
      </w:divBdr>
    </w:div>
    <w:div w:id="190251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3488B-678D-4790-BC79-3CC60E85D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12</Pages>
  <Words>3371</Words>
  <Characters>19216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Status of Implementation of Prior Year's Audit Recommendations</vt:lpstr>
    </vt:vector>
  </TitlesOfParts>
  <Company/>
  <LinksUpToDate>false</LinksUpToDate>
  <CharactersWithSpaces>22542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of Implementation of Prior Year's Audit Recommendations</dc:title>
  <dc:creator>COA - Philippine Charity Sweepstakes Office</dc:creator>
  <cp:lastModifiedBy>Ben A. Lazo, Jr.</cp:lastModifiedBy>
  <cp:revision>43</cp:revision>
  <cp:lastPrinted>2021-07-14T07:03:00Z</cp:lastPrinted>
  <dcterms:created xsi:type="dcterms:W3CDTF">2021-06-30T09:20:00Z</dcterms:created>
  <dcterms:modified xsi:type="dcterms:W3CDTF">2021-08-02T06:20:00Z</dcterms:modified>
</cp:coreProperties>
</file>