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B69081" w14:textId="2D900358" w:rsidR="00D27992" w:rsidRPr="008C6D27" w:rsidRDefault="00E23A5E" w:rsidP="008C0152">
      <w:pPr>
        <w:pStyle w:val="Heading1"/>
        <w:jc w:val="left"/>
        <w:rPr>
          <w:rFonts w:ascii="Arial" w:hAnsi="Arial" w:cs="Arial"/>
          <w:sz w:val="22"/>
          <w:szCs w:val="22"/>
        </w:rPr>
      </w:pPr>
      <w:bookmarkStart w:id="0" w:name="_GoBack"/>
      <w:bookmarkEnd w:id="0"/>
      <w:r>
        <w:rPr>
          <w:rFonts w:ascii="Arial" w:hAnsi="Arial" w:cs="Arial"/>
          <w:noProof/>
          <w:sz w:val="22"/>
          <w:szCs w:val="22"/>
          <w:lang w:val="en-PH" w:eastAsia="en-PH"/>
        </w:rPr>
        <w:object w:dxaOrig="1440" w:dyaOrig="1440" w14:anchorId="404AE4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9.25pt;margin-top:6.75pt;width:72.8pt;height:74.95pt;z-index:251657728" fillcolor="window">
            <v:imagedata r:id="rId8" o:title="" gain="79922f" blacklevel="-1966f"/>
          </v:shape>
          <o:OLEObject Type="Embed" ProgID="PBrush" ShapeID="_x0000_s1026" DrawAspect="Content" ObjectID="_1661859285" r:id="rId9"/>
        </w:object>
      </w:r>
    </w:p>
    <w:p w14:paraId="67786CD9" w14:textId="460A6DE2" w:rsidR="00D27992" w:rsidRPr="008C6D27" w:rsidRDefault="00D27992" w:rsidP="00D27992">
      <w:pPr>
        <w:ind w:left="720"/>
        <w:jc w:val="center"/>
        <w:rPr>
          <w:rFonts w:ascii="Arial" w:hAnsi="Arial" w:cs="Arial"/>
          <w:sz w:val="22"/>
          <w:szCs w:val="22"/>
          <w:lang w:val="id-ID"/>
        </w:rPr>
      </w:pPr>
      <w:r w:rsidRPr="008C6D27">
        <w:rPr>
          <w:rFonts w:ascii="Arial" w:hAnsi="Arial" w:cs="Arial"/>
          <w:sz w:val="22"/>
          <w:szCs w:val="22"/>
          <w:lang w:val="id-ID"/>
        </w:rPr>
        <w:t>Republic of the Philippines</w:t>
      </w:r>
    </w:p>
    <w:p w14:paraId="11F4BD97" w14:textId="77777777" w:rsidR="00D27992" w:rsidRPr="008C6D27" w:rsidRDefault="00D27992" w:rsidP="00D27992">
      <w:pPr>
        <w:ind w:left="720"/>
        <w:jc w:val="center"/>
        <w:rPr>
          <w:rFonts w:ascii="Arial" w:hAnsi="Arial" w:cs="Arial"/>
          <w:b/>
          <w:sz w:val="22"/>
          <w:szCs w:val="22"/>
          <w:lang w:val="id-ID"/>
        </w:rPr>
      </w:pPr>
      <w:r w:rsidRPr="008C6D27">
        <w:rPr>
          <w:rFonts w:ascii="Arial" w:hAnsi="Arial" w:cs="Arial"/>
          <w:b/>
          <w:sz w:val="22"/>
          <w:szCs w:val="22"/>
          <w:lang w:val="id-ID"/>
        </w:rPr>
        <w:t>COMMISSION ON AUDIT</w:t>
      </w:r>
    </w:p>
    <w:p w14:paraId="751A0DE3" w14:textId="77777777" w:rsidR="00D27992" w:rsidRPr="008C6D27" w:rsidRDefault="006B3D20" w:rsidP="00D27992">
      <w:pPr>
        <w:ind w:left="720"/>
        <w:jc w:val="center"/>
        <w:rPr>
          <w:rFonts w:ascii="Arial" w:hAnsi="Arial" w:cs="Arial"/>
          <w:sz w:val="22"/>
          <w:szCs w:val="22"/>
        </w:rPr>
      </w:pPr>
      <w:r w:rsidRPr="008C6D27">
        <w:rPr>
          <w:rFonts w:ascii="Arial" w:hAnsi="Arial" w:cs="Arial"/>
          <w:sz w:val="22"/>
          <w:szCs w:val="22"/>
        </w:rPr>
        <w:t xml:space="preserve">    </w:t>
      </w:r>
      <w:r w:rsidR="00D27992" w:rsidRPr="008C6D27">
        <w:rPr>
          <w:rFonts w:ascii="Arial" w:hAnsi="Arial" w:cs="Arial"/>
          <w:sz w:val="22"/>
          <w:szCs w:val="22"/>
          <w:lang w:val="id-ID"/>
        </w:rPr>
        <w:t>Commonwealth Avenue, Quezon City, Philippines</w:t>
      </w:r>
    </w:p>
    <w:p w14:paraId="0393BAF9" w14:textId="77777777" w:rsidR="00D27992" w:rsidRPr="008C6D27" w:rsidRDefault="00D27992" w:rsidP="008C0152">
      <w:pPr>
        <w:pStyle w:val="Heading1"/>
        <w:jc w:val="left"/>
        <w:rPr>
          <w:rFonts w:ascii="Arial" w:hAnsi="Arial" w:cs="Arial"/>
          <w:sz w:val="22"/>
          <w:szCs w:val="22"/>
        </w:rPr>
      </w:pPr>
    </w:p>
    <w:p w14:paraId="55789F86" w14:textId="77777777" w:rsidR="00D27992" w:rsidRPr="008C6D27" w:rsidRDefault="00D27992" w:rsidP="008C0152">
      <w:pPr>
        <w:pStyle w:val="Heading1"/>
        <w:jc w:val="left"/>
        <w:rPr>
          <w:rFonts w:ascii="Arial" w:hAnsi="Arial" w:cs="Arial"/>
          <w:sz w:val="22"/>
          <w:szCs w:val="22"/>
        </w:rPr>
      </w:pPr>
    </w:p>
    <w:p w14:paraId="0F8CB2F2" w14:textId="77777777" w:rsidR="0066732D" w:rsidRPr="008C6D27" w:rsidRDefault="00C13DB6" w:rsidP="00DC2D5D">
      <w:pPr>
        <w:pStyle w:val="Heading1"/>
        <w:ind w:firstLine="720"/>
        <w:rPr>
          <w:rFonts w:ascii="Arial" w:hAnsi="Arial" w:cs="Arial"/>
          <w:sz w:val="22"/>
          <w:szCs w:val="22"/>
        </w:rPr>
      </w:pPr>
      <w:r w:rsidRPr="008C6D27">
        <w:rPr>
          <w:rFonts w:ascii="Arial" w:hAnsi="Arial" w:cs="Arial"/>
          <w:sz w:val="22"/>
          <w:szCs w:val="22"/>
        </w:rPr>
        <w:t>INDEPENDENT</w:t>
      </w:r>
      <w:r w:rsidR="0066732D" w:rsidRPr="008C6D27">
        <w:rPr>
          <w:rFonts w:ascii="Arial" w:hAnsi="Arial" w:cs="Arial"/>
          <w:sz w:val="22"/>
          <w:szCs w:val="22"/>
        </w:rPr>
        <w:t xml:space="preserve"> AUDITOR’S REPORT</w:t>
      </w:r>
    </w:p>
    <w:p w14:paraId="23B9AA88" w14:textId="77777777" w:rsidR="0066732D" w:rsidRPr="008C6D27" w:rsidRDefault="0066732D">
      <w:pPr>
        <w:rPr>
          <w:rFonts w:ascii="Arial" w:hAnsi="Arial" w:cs="Arial"/>
          <w:sz w:val="22"/>
          <w:szCs w:val="22"/>
        </w:rPr>
      </w:pPr>
    </w:p>
    <w:p w14:paraId="24CFFB39" w14:textId="77777777" w:rsidR="0066732D" w:rsidRPr="008C6D27" w:rsidRDefault="0066732D">
      <w:pPr>
        <w:rPr>
          <w:rFonts w:ascii="Arial" w:hAnsi="Arial" w:cs="Arial"/>
          <w:sz w:val="22"/>
          <w:szCs w:val="22"/>
        </w:rPr>
      </w:pPr>
    </w:p>
    <w:p w14:paraId="59E58F0D" w14:textId="77777777" w:rsidR="0066732D" w:rsidRPr="008C6D27" w:rsidRDefault="0066732D">
      <w:pPr>
        <w:pStyle w:val="Heading2"/>
        <w:rPr>
          <w:rFonts w:ascii="Arial" w:hAnsi="Arial" w:cs="Arial"/>
          <w:caps/>
          <w:sz w:val="22"/>
          <w:szCs w:val="22"/>
        </w:rPr>
      </w:pPr>
      <w:r w:rsidRPr="008C6D27">
        <w:rPr>
          <w:rFonts w:ascii="Arial" w:hAnsi="Arial" w:cs="Arial"/>
          <w:caps/>
          <w:sz w:val="22"/>
          <w:szCs w:val="22"/>
        </w:rPr>
        <w:t>T</w:t>
      </w:r>
      <w:r w:rsidR="000E630D" w:rsidRPr="008C6D27">
        <w:rPr>
          <w:rFonts w:ascii="Arial" w:hAnsi="Arial" w:cs="Arial"/>
          <w:caps/>
          <w:sz w:val="22"/>
          <w:szCs w:val="22"/>
        </w:rPr>
        <w:t xml:space="preserve">he </w:t>
      </w:r>
      <w:r w:rsidR="00BD0EBE" w:rsidRPr="008C6D27">
        <w:rPr>
          <w:rFonts w:ascii="Arial" w:hAnsi="Arial" w:cs="Arial"/>
          <w:caps/>
          <w:sz w:val="22"/>
          <w:szCs w:val="22"/>
        </w:rPr>
        <w:t xml:space="preserve">Board of </w:t>
      </w:r>
      <w:r w:rsidR="003244AE" w:rsidRPr="008C6D27">
        <w:rPr>
          <w:rFonts w:ascii="Arial" w:hAnsi="Arial" w:cs="Arial"/>
          <w:caps/>
          <w:sz w:val="22"/>
          <w:szCs w:val="22"/>
        </w:rPr>
        <w:t>DIRECTORS</w:t>
      </w:r>
    </w:p>
    <w:p w14:paraId="56ADBB4A" w14:textId="77777777" w:rsidR="00737A8E" w:rsidRPr="008C6D27" w:rsidRDefault="003244AE">
      <w:pPr>
        <w:rPr>
          <w:rFonts w:ascii="Arial" w:hAnsi="Arial" w:cs="Arial"/>
          <w:sz w:val="22"/>
          <w:szCs w:val="22"/>
        </w:rPr>
      </w:pPr>
      <w:r w:rsidRPr="008C6D27">
        <w:rPr>
          <w:rFonts w:ascii="Arial" w:hAnsi="Arial" w:cs="Arial"/>
          <w:sz w:val="22"/>
          <w:szCs w:val="22"/>
        </w:rPr>
        <w:t>Philippine Charity Sweepstakes Office</w:t>
      </w:r>
      <w:r w:rsidR="00737A8E" w:rsidRPr="008C6D27">
        <w:rPr>
          <w:rFonts w:ascii="Arial" w:hAnsi="Arial" w:cs="Arial"/>
          <w:sz w:val="22"/>
          <w:szCs w:val="22"/>
        </w:rPr>
        <w:t xml:space="preserve"> </w:t>
      </w:r>
    </w:p>
    <w:p w14:paraId="61F6F05B" w14:textId="77777777" w:rsidR="00685A45" w:rsidRPr="008C6D27" w:rsidRDefault="003244AE">
      <w:pPr>
        <w:rPr>
          <w:rFonts w:ascii="Arial" w:hAnsi="Arial" w:cs="Arial"/>
          <w:sz w:val="22"/>
          <w:szCs w:val="22"/>
        </w:rPr>
      </w:pPr>
      <w:r w:rsidRPr="008C6D27">
        <w:rPr>
          <w:rFonts w:ascii="Arial" w:hAnsi="Arial" w:cs="Arial"/>
          <w:sz w:val="22"/>
          <w:szCs w:val="22"/>
        </w:rPr>
        <w:t xml:space="preserve">Sun Plaza </w:t>
      </w:r>
      <w:r w:rsidR="00685A45" w:rsidRPr="008C6D27">
        <w:rPr>
          <w:rFonts w:ascii="Arial" w:hAnsi="Arial" w:cs="Arial"/>
          <w:sz w:val="22"/>
          <w:szCs w:val="22"/>
        </w:rPr>
        <w:t>Building</w:t>
      </w:r>
    </w:p>
    <w:p w14:paraId="596FB12B" w14:textId="77777777" w:rsidR="0066732D" w:rsidRPr="008C6D27" w:rsidRDefault="00685A45">
      <w:pPr>
        <w:rPr>
          <w:rFonts w:ascii="Arial" w:hAnsi="Arial" w:cs="Arial"/>
          <w:sz w:val="22"/>
          <w:szCs w:val="22"/>
        </w:rPr>
      </w:pPr>
      <w:r w:rsidRPr="008C6D27">
        <w:rPr>
          <w:rFonts w:ascii="Arial" w:hAnsi="Arial" w:cs="Arial"/>
          <w:sz w:val="22"/>
          <w:szCs w:val="22"/>
        </w:rPr>
        <w:t>1507 Shaw Boulevard</w:t>
      </w:r>
    </w:p>
    <w:p w14:paraId="2CEC9DDB" w14:textId="77777777" w:rsidR="00685A45" w:rsidRPr="008C6D27" w:rsidRDefault="00685A45">
      <w:pPr>
        <w:rPr>
          <w:rFonts w:ascii="Arial" w:hAnsi="Arial" w:cs="Arial"/>
          <w:sz w:val="22"/>
          <w:szCs w:val="22"/>
        </w:rPr>
      </w:pPr>
      <w:r w:rsidRPr="008C6D27">
        <w:rPr>
          <w:rFonts w:ascii="Arial" w:hAnsi="Arial" w:cs="Arial"/>
          <w:sz w:val="22"/>
          <w:szCs w:val="22"/>
        </w:rPr>
        <w:t>Mandaluyong City</w:t>
      </w:r>
    </w:p>
    <w:p w14:paraId="0C70AF3B" w14:textId="77777777" w:rsidR="00C13DB6" w:rsidRPr="008C6D27" w:rsidRDefault="00C13DB6">
      <w:pPr>
        <w:rPr>
          <w:rFonts w:ascii="Arial" w:hAnsi="Arial" w:cs="Arial"/>
          <w:sz w:val="22"/>
          <w:szCs w:val="22"/>
        </w:rPr>
      </w:pPr>
    </w:p>
    <w:p w14:paraId="59FF27A6" w14:textId="77777777" w:rsidR="00B765E9" w:rsidRPr="008C6D27" w:rsidRDefault="00B765E9">
      <w:pPr>
        <w:rPr>
          <w:rFonts w:ascii="Arial" w:hAnsi="Arial" w:cs="Arial"/>
          <w:sz w:val="22"/>
          <w:szCs w:val="22"/>
        </w:rPr>
      </w:pPr>
    </w:p>
    <w:p w14:paraId="2CA0F481" w14:textId="77777777" w:rsidR="00C13DB6" w:rsidRPr="008C6D27" w:rsidRDefault="00EB2F72">
      <w:pPr>
        <w:rPr>
          <w:rFonts w:ascii="Arial" w:hAnsi="Arial" w:cs="Arial"/>
          <w:b/>
          <w:sz w:val="22"/>
          <w:szCs w:val="22"/>
        </w:rPr>
      </w:pPr>
      <w:r w:rsidRPr="008C6D27">
        <w:rPr>
          <w:rFonts w:ascii="Arial" w:hAnsi="Arial" w:cs="Arial"/>
          <w:b/>
          <w:sz w:val="22"/>
          <w:szCs w:val="22"/>
        </w:rPr>
        <w:t xml:space="preserve">Report on the </w:t>
      </w:r>
      <w:r w:rsidR="00546298" w:rsidRPr="008C6D27">
        <w:rPr>
          <w:rFonts w:ascii="Arial" w:hAnsi="Arial" w:cs="Arial"/>
          <w:b/>
          <w:sz w:val="22"/>
          <w:szCs w:val="22"/>
        </w:rPr>
        <w:t xml:space="preserve">Audit of the </w:t>
      </w:r>
      <w:r w:rsidRPr="008C6D27">
        <w:rPr>
          <w:rFonts w:ascii="Arial" w:hAnsi="Arial" w:cs="Arial"/>
          <w:b/>
          <w:sz w:val="22"/>
          <w:szCs w:val="22"/>
        </w:rPr>
        <w:t>Financial Statements</w:t>
      </w:r>
    </w:p>
    <w:p w14:paraId="35D0D39A" w14:textId="77777777" w:rsidR="00AC0461" w:rsidRPr="008C6D27" w:rsidRDefault="00AC0461">
      <w:pPr>
        <w:rPr>
          <w:rFonts w:ascii="Arial" w:hAnsi="Arial" w:cs="Arial"/>
          <w:b/>
          <w:sz w:val="22"/>
          <w:szCs w:val="22"/>
        </w:rPr>
      </w:pPr>
    </w:p>
    <w:p w14:paraId="27529383" w14:textId="77777777" w:rsidR="00546298" w:rsidRPr="0089678E" w:rsidRDefault="00AC0461">
      <w:pPr>
        <w:rPr>
          <w:rFonts w:ascii="Arial" w:hAnsi="Arial" w:cs="Arial"/>
          <w:b/>
          <w:i/>
          <w:sz w:val="22"/>
          <w:szCs w:val="22"/>
        </w:rPr>
      </w:pPr>
      <w:r w:rsidRPr="0089678E">
        <w:rPr>
          <w:rFonts w:ascii="Arial" w:hAnsi="Arial" w:cs="Arial"/>
          <w:b/>
          <w:i/>
          <w:sz w:val="22"/>
          <w:szCs w:val="22"/>
        </w:rPr>
        <w:t>Adverse</w:t>
      </w:r>
      <w:r w:rsidR="00E47BFD" w:rsidRPr="0089678E">
        <w:rPr>
          <w:rFonts w:ascii="Arial" w:hAnsi="Arial" w:cs="Arial"/>
          <w:b/>
          <w:i/>
          <w:sz w:val="22"/>
          <w:szCs w:val="22"/>
        </w:rPr>
        <w:t xml:space="preserve"> </w:t>
      </w:r>
      <w:r w:rsidR="00546298" w:rsidRPr="0089678E">
        <w:rPr>
          <w:rFonts w:ascii="Arial" w:hAnsi="Arial" w:cs="Arial"/>
          <w:b/>
          <w:i/>
          <w:sz w:val="22"/>
          <w:szCs w:val="22"/>
        </w:rPr>
        <w:t>Opinion</w:t>
      </w:r>
    </w:p>
    <w:p w14:paraId="25F1D6E4" w14:textId="77777777" w:rsidR="00EB2F72" w:rsidRPr="0089678E" w:rsidRDefault="00EB2F72">
      <w:pPr>
        <w:rPr>
          <w:rFonts w:ascii="Arial" w:hAnsi="Arial" w:cs="Arial"/>
          <w:b/>
          <w:sz w:val="22"/>
          <w:szCs w:val="22"/>
        </w:rPr>
      </w:pPr>
    </w:p>
    <w:p w14:paraId="49CDBB8C" w14:textId="77777777" w:rsidR="0066732D" w:rsidRPr="0089678E" w:rsidRDefault="0066732D" w:rsidP="0099591F">
      <w:pPr>
        <w:pStyle w:val="BodyText"/>
        <w:rPr>
          <w:rFonts w:ascii="Arial" w:hAnsi="Arial" w:cs="Arial"/>
          <w:sz w:val="22"/>
          <w:szCs w:val="22"/>
        </w:rPr>
      </w:pPr>
      <w:r w:rsidRPr="0089678E">
        <w:rPr>
          <w:rFonts w:ascii="Arial" w:hAnsi="Arial" w:cs="Arial"/>
          <w:sz w:val="22"/>
          <w:szCs w:val="22"/>
        </w:rPr>
        <w:t xml:space="preserve">We have audited the </w:t>
      </w:r>
      <w:r w:rsidR="007B1D8D" w:rsidRPr="0089678E">
        <w:rPr>
          <w:rFonts w:ascii="Arial" w:hAnsi="Arial" w:cs="Arial"/>
          <w:sz w:val="22"/>
          <w:szCs w:val="22"/>
        </w:rPr>
        <w:t>financial statements</w:t>
      </w:r>
      <w:r w:rsidRPr="0089678E">
        <w:rPr>
          <w:rFonts w:ascii="Arial" w:hAnsi="Arial" w:cs="Arial"/>
          <w:sz w:val="22"/>
          <w:szCs w:val="22"/>
        </w:rPr>
        <w:t xml:space="preserve"> of the </w:t>
      </w:r>
      <w:r w:rsidR="00685A45" w:rsidRPr="0089678E">
        <w:rPr>
          <w:rFonts w:ascii="Arial" w:hAnsi="Arial" w:cs="Arial"/>
          <w:b/>
          <w:sz w:val="22"/>
          <w:szCs w:val="22"/>
        </w:rPr>
        <w:t>Philippine Charity Sweepstakes Office</w:t>
      </w:r>
      <w:r w:rsidR="00E47BFD" w:rsidRPr="0089678E">
        <w:rPr>
          <w:rFonts w:ascii="Arial" w:hAnsi="Arial" w:cs="Arial"/>
          <w:b/>
          <w:sz w:val="22"/>
          <w:szCs w:val="22"/>
        </w:rPr>
        <w:t xml:space="preserve"> (PCSO)</w:t>
      </w:r>
      <w:r w:rsidR="007B1D8D" w:rsidRPr="0089678E">
        <w:rPr>
          <w:rFonts w:ascii="Arial" w:hAnsi="Arial" w:cs="Arial"/>
          <w:sz w:val="22"/>
          <w:szCs w:val="22"/>
        </w:rPr>
        <w:t>,</w:t>
      </w:r>
      <w:r w:rsidR="007B1D8D" w:rsidRPr="0089678E">
        <w:rPr>
          <w:rFonts w:ascii="Arial" w:hAnsi="Arial" w:cs="Arial"/>
          <w:b/>
          <w:sz w:val="22"/>
          <w:szCs w:val="22"/>
        </w:rPr>
        <w:t xml:space="preserve"> </w:t>
      </w:r>
      <w:r w:rsidR="007B1D8D" w:rsidRPr="0089678E">
        <w:rPr>
          <w:rFonts w:ascii="Arial" w:hAnsi="Arial" w:cs="Arial"/>
          <w:sz w:val="22"/>
          <w:szCs w:val="22"/>
        </w:rPr>
        <w:t xml:space="preserve">which comprise the </w:t>
      </w:r>
      <w:r w:rsidR="00EB2F72" w:rsidRPr="0089678E">
        <w:rPr>
          <w:rFonts w:ascii="Arial" w:hAnsi="Arial" w:cs="Arial"/>
          <w:sz w:val="22"/>
          <w:szCs w:val="22"/>
        </w:rPr>
        <w:t>s</w:t>
      </w:r>
      <w:r w:rsidR="00685A45" w:rsidRPr="0089678E">
        <w:rPr>
          <w:rFonts w:ascii="Arial" w:hAnsi="Arial" w:cs="Arial"/>
          <w:sz w:val="22"/>
          <w:szCs w:val="22"/>
        </w:rPr>
        <w:t>tatement</w:t>
      </w:r>
      <w:r w:rsidR="00171784" w:rsidRPr="0089678E">
        <w:rPr>
          <w:rFonts w:ascii="Arial" w:hAnsi="Arial" w:cs="Arial"/>
          <w:sz w:val="22"/>
          <w:szCs w:val="22"/>
        </w:rPr>
        <w:t>s</w:t>
      </w:r>
      <w:r w:rsidR="00685A45" w:rsidRPr="0089678E">
        <w:rPr>
          <w:rFonts w:ascii="Arial" w:hAnsi="Arial" w:cs="Arial"/>
          <w:sz w:val="22"/>
          <w:szCs w:val="22"/>
        </w:rPr>
        <w:t xml:space="preserve"> of </w:t>
      </w:r>
      <w:r w:rsidR="00EB2F72" w:rsidRPr="0089678E">
        <w:rPr>
          <w:rFonts w:ascii="Arial" w:hAnsi="Arial" w:cs="Arial"/>
          <w:sz w:val="22"/>
          <w:szCs w:val="22"/>
        </w:rPr>
        <w:t>f</w:t>
      </w:r>
      <w:r w:rsidR="00685A45" w:rsidRPr="0089678E">
        <w:rPr>
          <w:rFonts w:ascii="Arial" w:hAnsi="Arial" w:cs="Arial"/>
          <w:sz w:val="22"/>
          <w:szCs w:val="22"/>
        </w:rPr>
        <w:t xml:space="preserve">inancial </w:t>
      </w:r>
      <w:r w:rsidR="00EB2F72" w:rsidRPr="0089678E">
        <w:rPr>
          <w:rFonts w:ascii="Arial" w:hAnsi="Arial" w:cs="Arial"/>
          <w:sz w:val="22"/>
          <w:szCs w:val="22"/>
        </w:rPr>
        <w:t>p</w:t>
      </w:r>
      <w:r w:rsidR="00685A45" w:rsidRPr="0089678E">
        <w:rPr>
          <w:rFonts w:ascii="Arial" w:hAnsi="Arial" w:cs="Arial"/>
          <w:sz w:val="22"/>
          <w:szCs w:val="22"/>
        </w:rPr>
        <w:t>osition</w:t>
      </w:r>
      <w:r w:rsidR="00A64262" w:rsidRPr="0089678E">
        <w:rPr>
          <w:rFonts w:ascii="Arial" w:hAnsi="Arial" w:cs="Arial"/>
          <w:sz w:val="22"/>
          <w:szCs w:val="22"/>
        </w:rPr>
        <w:t xml:space="preserve"> as </w:t>
      </w:r>
      <w:r w:rsidR="00685A45" w:rsidRPr="0089678E">
        <w:rPr>
          <w:rFonts w:ascii="Arial" w:hAnsi="Arial" w:cs="Arial"/>
          <w:sz w:val="22"/>
          <w:szCs w:val="22"/>
        </w:rPr>
        <w:t>at</w:t>
      </w:r>
      <w:r w:rsidR="00A64262" w:rsidRPr="0089678E">
        <w:rPr>
          <w:rFonts w:ascii="Arial" w:hAnsi="Arial" w:cs="Arial"/>
          <w:sz w:val="22"/>
          <w:szCs w:val="22"/>
        </w:rPr>
        <w:t xml:space="preserve"> December 31, </w:t>
      </w:r>
      <w:r w:rsidR="00B008F6" w:rsidRPr="0089678E">
        <w:rPr>
          <w:rFonts w:ascii="Arial" w:hAnsi="Arial" w:cs="Arial"/>
          <w:sz w:val="22"/>
          <w:szCs w:val="22"/>
        </w:rPr>
        <w:t>201</w:t>
      </w:r>
      <w:r w:rsidR="00757E03" w:rsidRPr="0089678E">
        <w:rPr>
          <w:rFonts w:ascii="Arial" w:hAnsi="Arial" w:cs="Arial"/>
          <w:sz w:val="22"/>
          <w:szCs w:val="22"/>
        </w:rPr>
        <w:t>9</w:t>
      </w:r>
      <w:r w:rsidR="00546298" w:rsidRPr="0089678E">
        <w:rPr>
          <w:rFonts w:ascii="Arial" w:hAnsi="Arial" w:cs="Arial"/>
          <w:sz w:val="22"/>
          <w:szCs w:val="22"/>
        </w:rPr>
        <w:t xml:space="preserve"> </w:t>
      </w:r>
      <w:r w:rsidR="00B008F6" w:rsidRPr="0089678E">
        <w:rPr>
          <w:rFonts w:ascii="Arial" w:hAnsi="Arial" w:cs="Arial"/>
          <w:sz w:val="22"/>
          <w:szCs w:val="22"/>
        </w:rPr>
        <w:t>and 201</w:t>
      </w:r>
      <w:r w:rsidR="00757E03" w:rsidRPr="0089678E">
        <w:rPr>
          <w:rFonts w:ascii="Arial" w:hAnsi="Arial" w:cs="Arial"/>
          <w:sz w:val="22"/>
          <w:szCs w:val="22"/>
        </w:rPr>
        <w:t>8</w:t>
      </w:r>
      <w:r w:rsidR="00B008F6" w:rsidRPr="0089678E">
        <w:rPr>
          <w:rFonts w:ascii="Arial" w:hAnsi="Arial" w:cs="Arial"/>
          <w:sz w:val="22"/>
          <w:szCs w:val="22"/>
        </w:rPr>
        <w:t xml:space="preserve">, </w:t>
      </w:r>
      <w:r w:rsidR="007B1D8D" w:rsidRPr="0089678E">
        <w:rPr>
          <w:rFonts w:ascii="Arial" w:hAnsi="Arial" w:cs="Arial"/>
          <w:sz w:val="22"/>
          <w:szCs w:val="22"/>
        </w:rPr>
        <w:t>and the</w:t>
      </w:r>
      <w:r w:rsidR="00EC61A9" w:rsidRPr="0089678E">
        <w:rPr>
          <w:rFonts w:ascii="Arial" w:hAnsi="Arial" w:cs="Arial"/>
          <w:sz w:val="22"/>
          <w:szCs w:val="22"/>
        </w:rPr>
        <w:t xml:space="preserve"> </w:t>
      </w:r>
      <w:r w:rsidR="00B008F6" w:rsidRPr="0089678E">
        <w:rPr>
          <w:rFonts w:ascii="Arial" w:hAnsi="Arial" w:cs="Arial"/>
          <w:sz w:val="22"/>
          <w:szCs w:val="22"/>
        </w:rPr>
        <w:t>s</w:t>
      </w:r>
      <w:r w:rsidR="00685A45" w:rsidRPr="0089678E">
        <w:rPr>
          <w:rFonts w:ascii="Arial" w:hAnsi="Arial" w:cs="Arial"/>
          <w:sz w:val="22"/>
          <w:szCs w:val="22"/>
        </w:rPr>
        <w:t>tatements</w:t>
      </w:r>
      <w:r w:rsidR="00E47BFD" w:rsidRPr="0089678E">
        <w:rPr>
          <w:rFonts w:ascii="Arial" w:hAnsi="Arial" w:cs="Arial"/>
          <w:sz w:val="22"/>
          <w:szCs w:val="22"/>
        </w:rPr>
        <w:t xml:space="preserve"> of comprehensive income</w:t>
      </w:r>
      <w:r w:rsidR="00B404DD" w:rsidRPr="0089678E">
        <w:rPr>
          <w:rFonts w:ascii="Arial" w:hAnsi="Arial" w:cs="Arial"/>
          <w:sz w:val="22"/>
          <w:szCs w:val="22"/>
        </w:rPr>
        <w:t xml:space="preserve">, </w:t>
      </w:r>
      <w:r w:rsidR="00B008F6" w:rsidRPr="0089678E">
        <w:rPr>
          <w:rFonts w:ascii="Arial" w:hAnsi="Arial" w:cs="Arial"/>
          <w:sz w:val="22"/>
          <w:szCs w:val="22"/>
        </w:rPr>
        <w:t>s</w:t>
      </w:r>
      <w:r w:rsidR="00EC61A9" w:rsidRPr="0089678E">
        <w:rPr>
          <w:rFonts w:ascii="Arial" w:hAnsi="Arial" w:cs="Arial"/>
          <w:sz w:val="22"/>
          <w:szCs w:val="22"/>
        </w:rPr>
        <w:t>tatement</w:t>
      </w:r>
      <w:r w:rsidR="00B008F6" w:rsidRPr="0089678E">
        <w:rPr>
          <w:rFonts w:ascii="Arial" w:hAnsi="Arial" w:cs="Arial"/>
          <w:sz w:val="22"/>
          <w:szCs w:val="22"/>
        </w:rPr>
        <w:t>s</w:t>
      </w:r>
      <w:r w:rsidR="00EC61A9" w:rsidRPr="0089678E">
        <w:rPr>
          <w:rFonts w:ascii="Arial" w:hAnsi="Arial" w:cs="Arial"/>
          <w:sz w:val="22"/>
          <w:szCs w:val="22"/>
        </w:rPr>
        <w:t xml:space="preserve"> of </w:t>
      </w:r>
      <w:r w:rsidR="00E47BFD" w:rsidRPr="0089678E">
        <w:rPr>
          <w:rFonts w:ascii="Arial" w:hAnsi="Arial" w:cs="Arial"/>
          <w:sz w:val="22"/>
          <w:szCs w:val="22"/>
        </w:rPr>
        <w:t xml:space="preserve">changes in equity </w:t>
      </w:r>
      <w:r w:rsidRPr="0089678E">
        <w:rPr>
          <w:rFonts w:ascii="Arial" w:hAnsi="Arial" w:cs="Arial"/>
          <w:sz w:val="22"/>
          <w:szCs w:val="22"/>
        </w:rPr>
        <w:t xml:space="preserve">and </w:t>
      </w:r>
      <w:r w:rsidR="00B008F6" w:rsidRPr="0089678E">
        <w:rPr>
          <w:rFonts w:ascii="Arial" w:hAnsi="Arial" w:cs="Arial"/>
          <w:sz w:val="22"/>
          <w:szCs w:val="22"/>
        </w:rPr>
        <w:t>s</w:t>
      </w:r>
      <w:r w:rsidR="004A4D20" w:rsidRPr="0089678E">
        <w:rPr>
          <w:rFonts w:ascii="Arial" w:hAnsi="Arial" w:cs="Arial"/>
          <w:sz w:val="22"/>
          <w:szCs w:val="22"/>
        </w:rPr>
        <w:t>tatement</w:t>
      </w:r>
      <w:r w:rsidR="00B008F6" w:rsidRPr="0089678E">
        <w:rPr>
          <w:rFonts w:ascii="Arial" w:hAnsi="Arial" w:cs="Arial"/>
          <w:sz w:val="22"/>
          <w:szCs w:val="22"/>
        </w:rPr>
        <w:t>s</w:t>
      </w:r>
      <w:r w:rsidR="004A4D20" w:rsidRPr="0089678E">
        <w:rPr>
          <w:rFonts w:ascii="Arial" w:hAnsi="Arial" w:cs="Arial"/>
          <w:sz w:val="22"/>
          <w:szCs w:val="22"/>
        </w:rPr>
        <w:t xml:space="preserve"> of </w:t>
      </w:r>
      <w:r w:rsidR="00B008F6" w:rsidRPr="0089678E">
        <w:rPr>
          <w:rFonts w:ascii="Arial" w:hAnsi="Arial" w:cs="Arial"/>
          <w:sz w:val="22"/>
          <w:szCs w:val="22"/>
        </w:rPr>
        <w:t>c</w:t>
      </w:r>
      <w:r w:rsidR="004A4D20" w:rsidRPr="0089678E">
        <w:rPr>
          <w:rFonts w:ascii="Arial" w:hAnsi="Arial" w:cs="Arial"/>
          <w:sz w:val="22"/>
          <w:szCs w:val="22"/>
        </w:rPr>
        <w:t xml:space="preserve">ash </w:t>
      </w:r>
      <w:r w:rsidR="00B008F6" w:rsidRPr="0089678E">
        <w:rPr>
          <w:rFonts w:ascii="Arial" w:hAnsi="Arial" w:cs="Arial"/>
          <w:sz w:val="22"/>
          <w:szCs w:val="22"/>
        </w:rPr>
        <w:t>f</w:t>
      </w:r>
      <w:r w:rsidR="004A4D20" w:rsidRPr="0089678E">
        <w:rPr>
          <w:rFonts w:ascii="Arial" w:hAnsi="Arial" w:cs="Arial"/>
          <w:sz w:val="22"/>
          <w:szCs w:val="22"/>
        </w:rPr>
        <w:t xml:space="preserve">lows </w:t>
      </w:r>
      <w:r w:rsidR="007B1D8D" w:rsidRPr="0089678E">
        <w:rPr>
          <w:rFonts w:ascii="Arial" w:hAnsi="Arial" w:cs="Arial"/>
          <w:sz w:val="22"/>
          <w:szCs w:val="22"/>
        </w:rPr>
        <w:t>for the year</w:t>
      </w:r>
      <w:r w:rsidR="00B008F6" w:rsidRPr="0089678E">
        <w:rPr>
          <w:rFonts w:ascii="Arial" w:hAnsi="Arial" w:cs="Arial"/>
          <w:sz w:val="22"/>
          <w:szCs w:val="22"/>
        </w:rPr>
        <w:t>s</w:t>
      </w:r>
      <w:r w:rsidR="007B1D8D" w:rsidRPr="0089678E">
        <w:rPr>
          <w:rFonts w:ascii="Arial" w:hAnsi="Arial" w:cs="Arial"/>
          <w:sz w:val="22"/>
          <w:szCs w:val="22"/>
        </w:rPr>
        <w:t xml:space="preserve"> then ended, and </w:t>
      </w:r>
      <w:r w:rsidR="00E47BFD" w:rsidRPr="0089678E">
        <w:rPr>
          <w:rFonts w:ascii="Arial" w:hAnsi="Arial" w:cs="Arial"/>
          <w:sz w:val="22"/>
          <w:szCs w:val="22"/>
        </w:rPr>
        <w:t>notes to financial statements, including a summary of significant accounting policies.</w:t>
      </w:r>
    </w:p>
    <w:p w14:paraId="74A0D813" w14:textId="77777777" w:rsidR="00E47BFD" w:rsidRPr="0089678E" w:rsidRDefault="00E47BFD" w:rsidP="0099591F">
      <w:pPr>
        <w:pStyle w:val="BodyText"/>
        <w:rPr>
          <w:rFonts w:ascii="Arial" w:hAnsi="Arial" w:cs="Arial"/>
          <w:sz w:val="22"/>
          <w:szCs w:val="22"/>
        </w:rPr>
      </w:pPr>
    </w:p>
    <w:p w14:paraId="598E5885" w14:textId="155D4751" w:rsidR="00E47BFD" w:rsidRPr="0089678E" w:rsidRDefault="00C31A63" w:rsidP="0099591F">
      <w:pPr>
        <w:pStyle w:val="BodyText"/>
        <w:rPr>
          <w:rFonts w:ascii="Arial" w:hAnsi="Arial" w:cs="Arial"/>
          <w:sz w:val="22"/>
          <w:szCs w:val="22"/>
        </w:rPr>
      </w:pPr>
      <w:r w:rsidRPr="0089678E">
        <w:rPr>
          <w:rFonts w:ascii="Arial" w:hAnsi="Arial" w:cs="Arial"/>
          <w:sz w:val="22"/>
          <w:szCs w:val="22"/>
        </w:rPr>
        <w:t xml:space="preserve">In our opinion, because of the significance of the matters discussed in the </w:t>
      </w:r>
      <w:r w:rsidRPr="0089678E">
        <w:rPr>
          <w:rFonts w:ascii="Arial" w:hAnsi="Arial" w:cs="Arial"/>
          <w:i/>
          <w:sz w:val="22"/>
          <w:szCs w:val="22"/>
        </w:rPr>
        <w:t>Bas</w:t>
      </w:r>
      <w:r w:rsidR="00D27992" w:rsidRPr="0089678E">
        <w:rPr>
          <w:rFonts w:ascii="Arial" w:hAnsi="Arial" w:cs="Arial"/>
          <w:i/>
          <w:sz w:val="22"/>
          <w:szCs w:val="22"/>
        </w:rPr>
        <w:t>e</w:t>
      </w:r>
      <w:r w:rsidRPr="0089678E">
        <w:rPr>
          <w:rFonts w:ascii="Arial" w:hAnsi="Arial" w:cs="Arial"/>
          <w:i/>
          <w:sz w:val="22"/>
          <w:szCs w:val="22"/>
        </w:rPr>
        <w:t xml:space="preserve">s for Adverse Opinion </w:t>
      </w:r>
      <w:r w:rsidRPr="0089678E">
        <w:rPr>
          <w:rFonts w:ascii="Arial" w:hAnsi="Arial" w:cs="Arial"/>
          <w:sz w:val="22"/>
          <w:szCs w:val="22"/>
        </w:rPr>
        <w:t>section of our report, the a</w:t>
      </w:r>
      <w:r w:rsidR="008239CD" w:rsidRPr="0089678E">
        <w:rPr>
          <w:rFonts w:ascii="Arial" w:hAnsi="Arial" w:cs="Arial"/>
          <w:sz w:val="22"/>
          <w:szCs w:val="22"/>
        </w:rPr>
        <w:t>ccompanying financial statemen</w:t>
      </w:r>
      <w:r w:rsidR="00A67C9E" w:rsidRPr="0089678E">
        <w:rPr>
          <w:rFonts w:ascii="Arial" w:hAnsi="Arial" w:cs="Arial"/>
          <w:sz w:val="22"/>
          <w:szCs w:val="22"/>
        </w:rPr>
        <w:t>t</w:t>
      </w:r>
      <w:r w:rsidR="00743966" w:rsidRPr="0089678E">
        <w:rPr>
          <w:rFonts w:ascii="Arial" w:hAnsi="Arial" w:cs="Arial"/>
          <w:sz w:val="22"/>
          <w:szCs w:val="22"/>
        </w:rPr>
        <w:t>s</w:t>
      </w:r>
      <w:r w:rsidRPr="0089678E">
        <w:rPr>
          <w:rFonts w:ascii="Arial" w:hAnsi="Arial" w:cs="Arial"/>
          <w:sz w:val="22"/>
          <w:szCs w:val="22"/>
        </w:rPr>
        <w:t xml:space="preserve"> do not present fairly </w:t>
      </w:r>
      <w:r w:rsidR="00B225C7" w:rsidRPr="0089678E">
        <w:rPr>
          <w:rFonts w:ascii="Arial" w:hAnsi="Arial" w:cs="Arial"/>
          <w:sz w:val="22"/>
          <w:szCs w:val="22"/>
        </w:rPr>
        <w:t>the financial position of PCSO as at December 31, 201</w:t>
      </w:r>
      <w:r w:rsidR="00757E03" w:rsidRPr="0089678E">
        <w:rPr>
          <w:rFonts w:ascii="Arial" w:hAnsi="Arial" w:cs="Arial"/>
          <w:sz w:val="22"/>
          <w:szCs w:val="22"/>
        </w:rPr>
        <w:t>9</w:t>
      </w:r>
      <w:r w:rsidR="00B225C7" w:rsidRPr="0089678E">
        <w:rPr>
          <w:rFonts w:ascii="Arial" w:hAnsi="Arial" w:cs="Arial"/>
          <w:sz w:val="22"/>
          <w:szCs w:val="22"/>
        </w:rPr>
        <w:t xml:space="preserve"> and 201</w:t>
      </w:r>
      <w:r w:rsidR="00757E03" w:rsidRPr="0089678E">
        <w:rPr>
          <w:rFonts w:ascii="Arial" w:hAnsi="Arial" w:cs="Arial"/>
          <w:sz w:val="22"/>
          <w:szCs w:val="22"/>
        </w:rPr>
        <w:t>8</w:t>
      </w:r>
      <w:r w:rsidR="00B225C7" w:rsidRPr="0089678E">
        <w:rPr>
          <w:rFonts w:ascii="Arial" w:hAnsi="Arial" w:cs="Arial"/>
          <w:sz w:val="22"/>
          <w:szCs w:val="22"/>
        </w:rPr>
        <w:t xml:space="preserve">, and its comprehensive income and its cash flows for the years then ended in accordance with </w:t>
      </w:r>
      <w:r w:rsidR="00A36B28" w:rsidRPr="0089678E">
        <w:rPr>
          <w:rFonts w:ascii="Arial" w:hAnsi="Arial" w:cs="Arial"/>
          <w:sz w:val="22"/>
          <w:szCs w:val="22"/>
        </w:rPr>
        <w:t>Philippine Financial Reporting Standards (PFRS</w:t>
      </w:r>
      <w:r w:rsidR="00A43BBE" w:rsidRPr="0089678E">
        <w:rPr>
          <w:rFonts w:ascii="Arial" w:hAnsi="Arial" w:cs="Arial"/>
          <w:sz w:val="22"/>
          <w:szCs w:val="22"/>
        </w:rPr>
        <w:t>s</w:t>
      </w:r>
      <w:r w:rsidR="00A36B28" w:rsidRPr="0089678E">
        <w:rPr>
          <w:rFonts w:ascii="Arial" w:hAnsi="Arial" w:cs="Arial"/>
          <w:sz w:val="22"/>
          <w:szCs w:val="22"/>
        </w:rPr>
        <w:t>).</w:t>
      </w:r>
    </w:p>
    <w:p w14:paraId="44E6DDD4" w14:textId="77777777" w:rsidR="007B1D8D" w:rsidRPr="0089678E" w:rsidRDefault="007B1D8D">
      <w:pPr>
        <w:pStyle w:val="BodyText"/>
        <w:ind w:firstLine="720"/>
        <w:rPr>
          <w:rFonts w:ascii="Arial" w:hAnsi="Arial" w:cs="Arial"/>
          <w:sz w:val="22"/>
          <w:szCs w:val="22"/>
        </w:rPr>
      </w:pPr>
    </w:p>
    <w:p w14:paraId="67D8DCFD" w14:textId="77777777" w:rsidR="00E47BFD" w:rsidRPr="0089678E" w:rsidRDefault="00E47BFD" w:rsidP="00E47BFD">
      <w:pPr>
        <w:pStyle w:val="BodyTextIndent"/>
        <w:ind w:firstLine="0"/>
        <w:rPr>
          <w:b/>
          <w:i/>
          <w:sz w:val="22"/>
          <w:szCs w:val="22"/>
        </w:rPr>
      </w:pPr>
      <w:r w:rsidRPr="0089678E">
        <w:rPr>
          <w:b/>
          <w:i/>
          <w:sz w:val="22"/>
          <w:szCs w:val="22"/>
        </w:rPr>
        <w:t>Bas</w:t>
      </w:r>
      <w:r w:rsidR="00D27992" w:rsidRPr="0089678E">
        <w:rPr>
          <w:b/>
          <w:i/>
          <w:sz w:val="22"/>
          <w:szCs w:val="22"/>
        </w:rPr>
        <w:t>e</w:t>
      </w:r>
      <w:r w:rsidRPr="0089678E">
        <w:rPr>
          <w:b/>
          <w:i/>
          <w:sz w:val="22"/>
          <w:szCs w:val="22"/>
        </w:rPr>
        <w:t>s fo</w:t>
      </w:r>
      <w:r w:rsidR="00C31A63" w:rsidRPr="0089678E">
        <w:rPr>
          <w:b/>
          <w:i/>
          <w:sz w:val="22"/>
          <w:szCs w:val="22"/>
        </w:rPr>
        <w:t xml:space="preserve">r Adverse </w:t>
      </w:r>
      <w:r w:rsidRPr="0089678E">
        <w:rPr>
          <w:b/>
          <w:i/>
          <w:sz w:val="22"/>
          <w:szCs w:val="22"/>
        </w:rPr>
        <w:t>Opinion</w:t>
      </w:r>
    </w:p>
    <w:p w14:paraId="05A2C0FD" w14:textId="77777777" w:rsidR="00E47BFD" w:rsidRPr="0089678E" w:rsidRDefault="00E47BFD" w:rsidP="00E47BFD">
      <w:pPr>
        <w:pStyle w:val="BodyTextIndent"/>
        <w:ind w:firstLine="0"/>
        <w:rPr>
          <w:sz w:val="22"/>
          <w:szCs w:val="22"/>
        </w:rPr>
      </w:pPr>
    </w:p>
    <w:p w14:paraId="4FD24CAD" w14:textId="3E8BF31F" w:rsidR="00757E03" w:rsidRPr="0089678E" w:rsidRDefault="00757E03" w:rsidP="00282F06">
      <w:pPr>
        <w:jc w:val="both"/>
        <w:rPr>
          <w:rFonts w:ascii="Arial" w:hAnsi="Arial" w:cs="Arial"/>
          <w:bCs/>
          <w:sz w:val="22"/>
          <w:szCs w:val="22"/>
        </w:rPr>
      </w:pPr>
      <w:r w:rsidRPr="0089678E">
        <w:rPr>
          <w:rFonts w:ascii="Arial" w:hAnsi="Arial" w:cs="Arial"/>
          <w:bCs/>
          <w:sz w:val="22"/>
          <w:szCs w:val="22"/>
        </w:rPr>
        <w:t xml:space="preserve">The Receivables, </w:t>
      </w:r>
      <w:r w:rsidR="00B46096" w:rsidRPr="0089678E">
        <w:rPr>
          <w:rFonts w:ascii="Arial" w:hAnsi="Arial" w:cs="Arial"/>
          <w:bCs/>
          <w:sz w:val="22"/>
          <w:szCs w:val="22"/>
        </w:rPr>
        <w:t xml:space="preserve">Income from Gaming Operations, </w:t>
      </w:r>
      <w:r w:rsidRPr="0089678E">
        <w:rPr>
          <w:rFonts w:ascii="Arial" w:hAnsi="Arial" w:cs="Arial"/>
          <w:bCs/>
          <w:sz w:val="22"/>
          <w:szCs w:val="22"/>
        </w:rPr>
        <w:t>Expenses, Payables and Retained Earnings were</w:t>
      </w:r>
      <w:r w:rsidR="006A200A" w:rsidRPr="0089678E">
        <w:rPr>
          <w:rFonts w:ascii="Arial" w:hAnsi="Arial" w:cs="Arial"/>
          <w:bCs/>
          <w:sz w:val="22"/>
          <w:szCs w:val="22"/>
        </w:rPr>
        <w:t xml:space="preserve"> understated by P6.980</w:t>
      </w:r>
      <w:r w:rsidRPr="0089678E">
        <w:rPr>
          <w:rFonts w:ascii="Arial" w:hAnsi="Arial" w:cs="Arial"/>
          <w:bCs/>
          <w:sz w:val="22"/>
          <w:szCs w:val="22"/>
        </w:rPr>
        <w:t xml:space="preserve"> billion,</w:t>
      </w:r>
      <w:r w:rsidR="00B46096" w:rsidRPr="0089678E">
        <w:rPr>
          <w:rFonts w:ascii="Arial" w:hAnsi="Arial" w:cs="Arial"/>
          <w:bCs/>
          <w:sz w:val="22"/>
          <w:szCs w:val="22"/>
        </w:rPr>
        <w:t xml:space="preserve"> P6.305 billion,</w:t>
      </w:r>
      <w:r w:rsidRPr="0089678E">
        <w:rPr>
          <w:rFonts w:ascii="Arial" w:hAnsi="Arial" w:cs="Arial"/>
          <w:bCs/>
          <w:sz w:val="22"/>
          <w:szCs w:val="22"/>
        </w:rPr>
        <w:t xml:space="preserve"> P4.696 billion</w:t>
      </w:r>
      <w:r w:rsidR="00BA6A6E" w:rsidRPr="0089678E">
        <w:rPr>
          <w:rFonts w:ascii="Arial" w:hAnsi="Arial" w:cs="Arial"/>
          <w:bCs/>
          <w:sz w:val="22"/>
          <w:szCs w:val="22"/>
        </w:rPr>
        <w:t>, P4.757 billion and P2.331 billion, respectively; while the Miscellaneous Income and Other Business Income were overstated by P663.001</w:t>
      </w:r>
      <w:r w:rsidR="00181A45" w:rsidRPr="0089678E">
        <w:rPr>
          <w:rFonts w:ascii="Arial" w:hAnsi="Arial" w:cs="Arial"/>
          <w:bCs/>
          <w:sz w:val="22"/>
          <w:szCs w:val="22"/>
        </w:rPr>
        <w:t xml:space="preserve"> million </w:t>
      </w:r>
      <w:r w:rsidR="00BA6A6E" w:rsidRPr="0089678E">
        <w:rPr>
          <w:rFonts w:ascii="Arial" w:hAnsi="Arial" w:cs="Arial"/>
          <w:bCs/>
          <w:sz w:val="22"/>
          <w:szCs w:val="22"/>
        </w:rPr>
        <w:t xml:space="preserve"> and P1.055 billion, respectively, due to the non-recognition of Guaranteed Minimum Monthly Retail Receipts (GMMRR) Shortfalls for CY</w:t>
      </w:r>
      <w:r w:rsidR="006A200A" w:rsidRPr="0089678E">
        <w:rPr>
          <w:rFonts w:ascii="Arial" w:hAnsi="Arial" w:cs="Arial"/>
          <w:bCs/>
          <w:sz w:val="22"/>
          <w:szCs w:val="22"/>
        </w:rPr>
        <w:t>s</w:t>
      </w:r>
      <w:r w:rsidR="00BA6A6E" w:rsidRPr="0089678E">
        <w:rPr>
          <w:rFonts w:ascii="Arial" w:hAnsi="Arial" w:cs="Arial"/>
          <w:bCs/>
          <w:sz w:val="22"/>
          <w:szCs w:val="22"/>
        </w:rPr>
        <w:t xml:space="preserve"> </w:t>
      </w:r>
      <w:r w:rsidR="006A200A" w:rsidRPr="0089678E">
        <w:rPr>
          <w:rFonts w:ascii="Arial" w:hAnsi="Arial" w:cs="Arial"/>
          <w:bCs/>
          <w:sz w:val="22"/>
          <w:szCs w:val="22"/>
        </w:rPr>
        <w:t>2017-</w:t>
      </w:r>
      <w:r w:rsidR="00BA6A6E" w:rsidRPr="0089678E">
        <w:rPr>
          <w:rFonts w:ascii="Arial" w:hAnsi="Arial" w:cs="Arial"/>
          <w:bCs/>
          <w:sz w:val="22"/>
          <w:szCs w:val="22"/>
        </w:rPr>
        <w:t xml:space="preserve">2019 in the total amount of </w:t>
      </w:r>
      <w:r w:rsidR="00181A45" w:rsidRPr="0089678E">
        <w:rPr>
          <w:rFonts w:ascii="Arial" w:hAnsi="Arial" w:cs="Arial"/>
          <w:bCs/>
          <w:sz w:val="22"/>
          <w:szCs w:val="22"/>
        </w:rPr>
        <w:t>P20.210</w:t>
      </w:r>
      <w:r w:rsidR="00BA6A6E" w:rsidRPr="0089678E">
        <w:rPr>
          <w:rFonts w:ascii="Arial" w:hAnsi="Arial" w:cs="Arial"/>
          <w:bCs/>
          <w:sz w:val="22"/>
          <w:szCs w:val="22"/>
        </w:rPr>
        <w:t xml:space="preserve"> billion and the corresponding amount of Shortfalls due to PCSO totaling </w:t>
      </w:r>
      <w:r w:rsidR="00181A45" w:rsidRPr="0089678E">
        <w:rPr>
          <w:rFonts w:ascii="Arial" w:hAnsi="Arial" w:cs="Arial"/>
          <w:bCs/>
          <w:sz w:val="22"/>
          <w:szCs w:val="22"/>
        </w:rPr>
        <w:t>P8.698</w:t>
      </w:r>
      <w:r w:rsidR="006A200A" w:rsidRPr="0089678E">
        <w:rPr>
          <w:rFonts w:ascii="Arial" w:hAnsi="Arial" w:cs="Arial"/>
          <w:bCs/>
          <w:sz w:val="22"/>
          <w:szCs w:val="22"/>
        </w:rPr>
        <w:t xml:space="preserve"> </w:t>
      </w:r>
      <w:r w:rsidR="00BA6A6E" w:rsidRPr="0089678E">
        <w:rPr>
          <w:rFonts w:ascii="Arial" w:hAnsi="Arial" w:cs="Arial"/>
          <w:bCs/>
          <w:sz w:val="22"/>
          <w:szCs w:val="22"/>
        </w:rPr>
        <w:t xml:space="preserve">billion despite being valid revenues and receivables from the </w:t>
      </w:r>
      <w:r w:rsidR="00743966" w:rsidRPr="0089678E">
        <w:rPr>
          <w:rFonts w:ascii="Arial" w:hAnsi="Arial" w:cs="Arial"/>
          <w:bCs/>
          <w:sz w:val="22"/>
          <w:szCs w:val="22"/>
          <w:shd w:val="clear" w:color="auto" w:fill="FFFFFF"/>
        </w:rPr>
        <w:t>Authorized Agent Corporations (AACs</w:t>
      </w:r>
      <w:r w:rsidR="00BA6A6E" w:rsidRPr="0089678E">
        <w:rPr>
          <w:rFonts w:ascii="Arial" w:hAnsi="Arial" w:cs="Arial"/>
          <w:bCs/>
          <w:sz w:val="22"/>
          <w:szCs w:val="22"/>
        </w:rPr>
        <w:t>), as defined under the Philippine Accounting Standard (PAS) 1 and the Conceptual Framework for Financial Reporting (CFFR).</w:t>
      </w:r>
    </w:p>
    <w:p w14:paraId="51D46D7A" w14:textId="77777777" w:rsidR="00BA6A6E" w:rsidRPr="0089678E" w:rsidRDefault="00BA6A6E" w:rsidP="00282F06">
      <w:pPr>
        <w:jc w:val="both"/>
        <w:rPr>
          <w:rFonts w:ascii="Arial" w:hAnsi="Arial" w:cs="Arial"/>
          <w:bCs/>
          <w:sz w:val="22"/>
          <w:szCs w:val="22"/>
        </w:rPr>
      </w:pPr>
    </w:p>
    <w:p w14:paraId="5D78B8FC" w14:textId="3E8011E2" w:rsidR="00BA6A6E" w:rsidRPr="0089678E" w:rsidRDefault="00300F81" w:rsidP="00282F06">
      <w:pPr>
        <w:jc w:val="both"/>
        <w:rPr>
          <w:rFonts w:ascii="Arial" w:hAnsi="Arial" w:cs="Arial"/>
          <w:sz w:val="22"/>
          <w:szCs w:val="22"/>
        </w:rPr>
      </w:pPr>
      <w:r w:rsidRPr="0089678E">
        <w:rPr>
          <w:rFonts w:ascii="Arial" w:hAnsi="Arial" w:cs="Arial"/>
          <w:bCs/>
          <w:sz w:val="22"/>
          <w:szCs w:val="22"/>
        </w:rPr>
        <w:t>Likewise</w:t>
      </w:r>
      <w:r w:rsidR="00BA6A6E" w:rsidRPr="0089678E">
        <w:rPr>
          <w:rFonts w:ascii="Arial" w:hAnsi="Arial" w:cs="Arial"/>
          <w:bCs/>
          <w:sz w:val="22"/>
          <w:szCs w:val="22"/>
        </w:rPr>
        <w:t xml:space="preserve">, the </w:t>
      </w:r>
      <w:r w:rsidR="00BA6A6E" w:rsidRPr="0089678E">
        <w:rPr>
          <w:rFonts w:ascii="Arial" w:hAnsi="Arial" w:cs="Arial"/>
          <w:sz w:val="22"/>
          <w:szCs w:val="22"/>
        </w:rPr>
        <w:t>Income from Gaming Operations-</w:t>
      </w:r>
      <w:r w:rsidR="00712A27" w:rsidRPr="0089678E">
        <w:rPr>
          <w:rFonts w:ascii="Arial" w:hAnsi="Arial" w:cs="Arial"/>
          <w:sz w:val="22"/>
          <w:szCs w:val="22"/>
        </w:rPr>
        <w:t>National Instant Sweepstakes Program (</w:t>
      </w:r>
      <w:r w:rsidR="00BA6A6E" w:rsidRPr="0089678E">
        <w:rPr>
          <w:rFonts w:ascii="Arial" w:hAnsi="Arial" w:cs="Arial"/>
          <w:sz w:val="22"/>
          <w:szCs w:val="22"/>
        </w:rPr>
        <w:t>NISP</w:t>
      </w:r>
      <w:r w:rsidR="00712A27" w:rsidRPr="0089678E">
        <w:rPr>
          <w:rFonts w:ascii="Arial" w:hAnsi="Arial" w:cs="Arial"/>
          <w:sz w:val="22"/>
          <w:szCs w:val="22"/>
        </w:rPr>
        <w:t>)</w:t>
      </w:r>
      <w:r w:rsidR="001F5659" w:rsidRPr="0089678E">
        <w:rPr>
          <w:rFonts w:ascii="Arial" w:hAnsi="Arial" w:cs="Arial"/>
          <w:sz w:val="22"/>
          <w:szCs w:val="22"/>
        </w:rPr>
        <w:t xml:space="preserve"> was overstated by P852.680 million </w:t>
      </w:r>
      <w:r w:rsidR="00712A27" w:rsidRPr="0089678E">
        <w:rPr>
          <w:rFonts w:ascii="Arial" w:hAnsi="Arial" w:cs="Arial"/>
          <w:sz w:val="22"/>
          <w:szCs w:val="22"/>
        </w:rPr>
        <w:t xml:space="preserve">while the </w:t>
      </w:r>
      <w:r w:rsidR="001F5659" w:rsidRPr="0089678E">
        <w:rPr>
          <w:rFonts w:ascii="Arial" w:hAnsi="Arial" w:cs="Arial"/>
          <w:sz w:val="22"/>
          <w:szCs w:val="22"/>
        </w:rPr>
        <w:t xml:space="preserve"> Retained Ear</w:t>
      </w:r>
      <w:r w:rsidR="00181A45" w:rsidRPr="0089678E">
        <w:rPr>
          <w:rFonts w:ascii="Arial" w:hAnsi="Arial" w:cs="Arial"/>
          <w:sz w:val="22"/>
          <w:szCs w:val="22"/>
        </w:rPr>
        <w:t>nings was understated by P16.599</w:t>
      </w:r>
      <w:r w:rsidR="001F5659" w:rsidRPr="0089678E">
        <w:rPr>
          <w:rFonts w:ascii="Arial" w:hAnsi="Arial" w:cs="Arial"/>
          <w:sz w:val="22"/>
          <w:szCs w:val="22"/>
        </w:rPr>
        <w:t xml:space="preserve"> million due to the recognition of the full amount of CY 2019 retail receipts generated by the Instant Sweepstakes Authorized Corporation (ISAC) in the amount of P961.01</w:t>
      </w:r>
      <w:r w:rsidR="00B07844" w:rsidRPr="0089678E">
        <w:rPr>
          <w:rFonts w:ascii="Arial" w:hAnsi="Arial" w:cs="Arial"/>
          <w:sz w:val="22"/>
          <w:szCs w:val="22"/>
        </w:rPr>
        <w:t>3</w:t>
      </w:r>
      <w:r w:rsidR="001F5659" w:rsidRPr="0089678E">
        <w:rPr>
          <w:rFonts w:ascii="Arial" w:hAnsi="Arial" w:cs="Arial"/>
          <w:sz w:val="22"/>
          <w:szCs w:val="22"/>
        </w:rPr>
        <w:t xml:space="preserve"> million despite the fact that only thirteen (1</w:t>
      </w:r>
      <w:r w:rsidR="00F84FE0" w:rsidRPr="0089678E">
        <w:rPr>
          <w:rFonts w:ascii="Arial" w:hAnsi="Arial" w:cs="Arial"/>
          <w:sz w:val="22"/>
          <w:szCs w:val="22"/>
        </w:rPr>
        <w:t>3) per</w:t>
      </w:r>
      <w:r w:rsidR="00712A27" w:rsidRPr="0089678E">
        <w:rPr>
          <w:rFonts w:ascii="Arial" w:hAnsi="Arial" w:cs="Arial"/>
          <w:sz w:val="22"/>
          <w:szCs w:val="22"/>
        </w:rPr>
        <w:t xml:space="preserve"> </w:t>
      </w:r>
      <w:r w:rsidR="00F84FE0" w:rsidRPr="0089678E">
        <w:rPr>
          <w:rFonts w:ascii="Arial" w:hAnsi="Arial" w:cs="Arial"/>
          <w:sz w:val="22"/>
          <w:szCs w:val="22"/>
        </w:rPr>
        <w:t>cent of the ISAC’s retail</w:t>
      </w:r>
      <w:r w:rsidR="001F5659" w:rsidRPr="0089678E">
        <w:rPr>
          <w:rFonts w:ascii="Arial" w:hAnsi="Arial" w:cs="Arial"/>
          <w:sz w:val="22"/>
          <w:szCs w:val="22"/>
        </w:rPr>
        <w:t xml:space="preserve"> receipts accrue to the PCSO as guaranteed share, which was tantamount to misrepresentation of the actual revenues derived from the ISP, </w:t>
      </w:r>
      <w:r w:rsidR="00635B70" w:rsidRPr="0080332D">
        <w:rPr>
          <w:rFonts w:ascii="Arial" w:hAnsi="Arial" w:cs="Arial"/>
          <w:bCs/>
          <w:iCs/>
          <w:sz w:val="22"/>
          <w:szCs w:val="22"/>
        </w:rPr>
        <w:t xml:space="preserve">contrary to </w:t>
      </w:r>
      <w:r w:rsidR="00635B70" w:rsidRPr="0080332D">
        <w:rPr>
          <w:rFonts w:ascii="Arial" w:hAnsi="Arial" w:cs="Arial"/>
          <w:sz w:val="22"/>
          <w:szCs w:val="22"/>
        </w:rPr>
        <w:t>Section 4 (i) of the RIRR for the ISP</w:t>
      </w:r>
      <w:r w:rsidR="00635B70">
        <w:rPr>
          <w:rFonts w:ascii="Arial" w:hAnsi="Arial" w:cs="Arial"/>
          <w:sz w:val="22"/>
          <w:szCs w:val="22"/>
        </w:rPr>
        <w:t>,</w:t>
      </w:r>
      <w:r w:rsidR="001F5659" w:rsidRPr="0089678E">
        <w:rPr>
          <w:rFonts w:ascii="Arial" w:hAnsi="Arial" w:cs="Arial"/>
          <w:sz w:val="22"/>
          <w:szCs w:val="22"/>
        </w:rPr>
        <w:t xml:space="preserve"> PAS 1 and Paragraph 4.47 of the </w:t>
      </w:r>
      <w:r w:rsidR="00535A67" w:rsidRPr="0089678E">
        <w:rPr>
          <w:rFonts w:ascii="Arial" w:hAnsi="Arial" w:cs="Arial"/>
          <w:sz w:val="22"/>
          <w:szCs w:val="22"/>
        </w:rPr>
        <w:t>CFFR</w:t>
      </w:r>
      <w:r w:rsidR="001F5659" w:rsidRPr="0089678E">
        <w:rPr>
          <w:rFonts w:ascii="Arial" w:hAnsi="Arial" w:cs="Arial"/>
          <w:sz w:val="22"/>
          <w:szCs w:val="22"/>
        </w:rPr>
        <w:t>.</w:t>
      </w:r>
    </w:p>
    <w:p w14:paraId="7B5D8950" w14:textId="77777777" w:rsidR="00AB7418" w:rsidRPr="0089678E" w:rsidRDefault="00AB7418" w:rsidP="00282F06">
      <w:pPr>
        <w:jc w:val="both"/>
        <w:rPr>
          <w:rFonts w:ascii="Arial" w:hAnsi="Arial" w:cs="Arial"/>
          <w:sz w:val="22"/>
          <w:szCs w:val="22"/>
        </w:rPr>
      </w:pPr>
    </w:p>
    <w:p w14:paraId="4E69C63C" w14:textId="7077C322" w:rsidR="00BA6A6E" w:rsidRPr="0089678E" w:rsidRDefault="009E621A" w:rsidP="00282F06">
      <w:pPr>
        <w:jc w:val="both"/>
        <w:rPr>
          <w:rFonts w:ascii="Arial" w:hAnsi="Arial" w:cs="Arial"/>
          <w:sz w:val="22"/>
          <w:szCs w:val="22"/>
        </w:rPr>
      </w:pPr>
      <w:r w:rsidRPr="0089678E">
        <w:rPr>
          <w:rFonts w:ascii="Arial" w:hAnsi="Arial" w:cs="Arial"/>
          <w:sz w:val="22"/>
          <w:szCs w:val="22"/>
        </w:rPr>
        <w:t xml:space="preserve">Moreover, the </w:t>
      </w:r>
      <w:r w:rsidR="00AB7418" w:rsidRPr="0089678E">
        <w:rPr>
          <w:rFonts w:ascii="Arial" w:hAnsi="Arial" w:cs="Arial"/>
          <w:bCs/>
          <w:sz w:val="22"/>
          <w:szCs w:val="22"/>
        </w:rPr>
        <w:t>faithful representation of the balance of</w:t>
      </w:r>
      <w:r w:rsidR="00E3560B" w:rsidRPr="0089678E">
        <w:rPr>
          <w:rFonts w:ascii="Arial" w:hAnsi="Arial" w:cs="Arial"/>
          <w:bCs/>
          <w:sz w:val="22"/>
          <w:szCs w:val="22"/>
        </w:rPr>
        <w:t xml:space="preserve"> the</w:t>
      </w:r>
      <w:r w:rsidR="00AB7418" w:rsidRPr="0089678E">
        <w:rPr>
          <w:rFonts w:ascii="Arial" w:hAnsi="Arial" w:cs="Arial"/>
          <w:bCs/>
          <w:sz w:val="22"/>
          <w:szCs w:val="22"/>
        </w:rPr>
        <w:t xml:space="preserve"> cash and cash equivalents account presented in the financial statements in the amount of P14.840 billion as at December 31, 2019, based on Paragraph 15 of PAS 1, was not established due to:</w:t>
      </w:r>
      <w:r w:rsidR="008E513D" w:rsidRPr="0089678E">
        <w:rPr>
          <w:rFonts w:ascii="Arial" w:hAnsi="Arial" w:cs="Arial"/>
          <w:bCs/>
          <w:sz w:val="22"/>
          <w:szCs w:val="22"/>
        </w:rPr>
        <w:t xml:space="preserve"> (</w:t>
      </w:r>
      <w:r w:rsidR="00E3560B" w:rsidRPr="0089678E">
        <w:rPr>
          <w:rFonts w:ascii="Arial" w:hAnsi="Arial" w:cs="Arial"/>
          <w:bCs/>
          <w:sz w:val="22"/>
          <w:szCs w:val="22"/>
        </w:rPr>
        <w:t>a</w:t>
      </w:r>
      <w:r w:rsidR="008E513D" w:rsidRPr="0089678E">
        <w:rPr>
          <w:rFonts w:ascii="Arial" w:hAnsi="Arial" w:cs="Arial"/>
          <w:bCs/>
          <w:sz w:val="22"/>
          <w:szCs w:val="22"/>
        </w:rPr>
        <w:t>) variances totaling P107.999 million between balances per books and confirmed bank balances, where some of the book reconciling items were already identified in prior years’ bank reconciliation statements but remained unadjusted in the books; (</w:t>
      </w:r>
      <w:r w:rsidR="00E3560B" w:rsidRPr="0089678E">
        <w:rPr>
          <w:rFonts w:ascii="Arial" w:hAnsi="Arial" w:cs="Arial"/>
          <w:bCs/>
          <w:sz w:val="22"/>
          <w:szCs w:val="22"/>
        </w:rPr>
        <w:t>b</w:t>
      </w:r>
      <w:r w:rsidR="008E513D" w:rsidRPr="0089678E">
        <w:rPr>
          <w:rFonts w:ascii="Arial" w:hAnsi="Arial" w:cs="Arial"/>
          <w:bCs/>
          <w:sz w:val="22"/>
          <w:szCs w:val="22"/>
        </w:rPr>
        <w:t xml:space="preserve">) existence of outstanding book balances of closed bank accounts in the amount of P12.020 million and </w:t>
      </w:r>
      <w:r w:rsidR="00181A45" w:rsidRPr="0089678E">
        <w:rPr>
          <w:rFonts w:ascii="Arial" w:eastAsia="Calibri" w:hAnsi="Arial" w:cs="Arial"/>
          <w:sz w:val="22"/>
          <w:szCs w:val="22"/>
        </w:rPr>
        <w:t>negative balance of P39.280</w:t>
      </w:r>
      <w:r w:rsidR="008E513D" w:rsidRPr="0089678E">
        <w:rPr>
          <w:rFonts w:ascii="Arial" w:eastAsia="Calibri" w:hAnsi="Arial" w:cs="Arial"/>
          <w:sz w:val="22"/>
          <w:szCs w:val="22"/>
        </w:rPr>
        <w:t xml:space="preserve"> million; and (iii) </w:t>
      </w:r>
      <w:r w:rsidR="000B6DB9" w:rsidRPr="0089678E">
        <w:rPr>
          <w:rFonts w:ascii="Arial" w:hAnsi="Arial" w:cs="Arial"/>
          <w:bCs/>
          <w:sz w:val="22"/>
          <w:szCs w:val="22"/>
        </w:rPr>
        <w:t xml:space="preserve">the reversion to cash account of reported unreleased checks which were already cleared by the bank and debited from PCSO’s bank accounts which resulted in the overstatement of Cash and Cash Equivalents </w:t>
      </w:r>
      <w:r w:rsidR="000B6DB9" w:rsidRPr="0089678E">
        <w:rPr>
          <w:rFonts w:ascii="Arial" w:hAnsi="Arial" w:cs="Arial"/>
          <w:sz w:val="22"/>
          <w:szCs w:val="22"/>
        </w:rPr>
        <w:t>by P1.550 million.</w:t>
      </w:r>
    </w:p>
    <w:p w14:paraId="4AE6D585" w14:textId="77777777" w:rsidR="00B46096" w:rsidRPr="0089678E" w:rsidRDefault="00B46096" w:rsidP="00282F06">
      <w:pPr>
        <w:jc w:val="both"/>
        <w:rPr>
          <w:rFonts w:ascii="Arial" w:hAnsi="Arial" w:cs="Arial"/>
          <w:sz w:val="22"/>
          <w:szCs w:val="22"/>
        </w:rPr>
      </w:pPr>
    </w:p>
    <w:p w14:paraId="149A3479" w14:textId="769FE6C4" w:rsidR="00B46096" w:rsidRPr="0089678E" w:rsidRDefault="00B46096" w:rsidP="00282F06">
      <w:pPr>
        <w:jc w:val="both"/>
        <w:rPr>
          <w:rFonts w:ascii="Arial" w:hAnsi="Arial" w:cs="Arial"/>
          <w:bCs/>
          <w:sz w:val="22"/>
          <w:szCs w:val="22"/>
        </w:rPr>
      </w:pPr>
      <w:r w:rsidRPr="0089678E">
        <w:rPr>
          <w:rFonts w:ascii="Arial" w:hAnsi="Arial" w:cs="Arial"/>
          <w:sz w:val="22"/>
          <w:szCs w:val="22"/>
        </w:rPr>
        <w:t xml:space="preserve">Further, the </w:t>
      </w:r>
      <w:r w:rsidRPr="0089678E">
        <w:rPr>
          <w:rFonts w:ascii="Arial" w:hAnsi="Arial" w:cs="Arial"/>
          <w:bCs/>
          <w:sz w:val="22"/>
          <w:szCs w:val="22"/>
        </w:rPr>
        <w:t xml:space="preserve">misapplication of PFRS 16 – </w:t>
      </w:r>
      <w:r w:rsidRPr="0089678E">
        <w:rPr>
          <w:rFonts w:ascii="Arial" w:hAnsi="Arial" w:cs="Arial"/>
          <w:bCs/>
          <w:i/>
          <w:sz w:val="22"/>
          <w:szCs w:val="22"/>
        </w:rPr>
        <w:t>Leases</w:t>
      </w:r>
      <w:r w:rsidRPr="0089678E">
        <w:rPr>
          <w:rFonts w:ascii="Arial" w:hAnsi="Arial" w:cs="Arial"/>
          <w:bCs/>
          <w:sz w:val="22"/>
          <w:szCs w:val="22"/>
        </w:rPr>
        <w:t xml:space="preserve"> on the measurement of  right-of-use asset and lease liability resulted in the overstatement of the Finance Lease Payable, Prepaid Rent and Depreciation Expense accounts by P26.508 million, P24.631 million and P1.473 million, respectively, and the corresponding understatement of Leased Assets, Accumulated Depreciation, Interest Expense, Rent Expense and Retained Earnings accounts by P97.512 million, P98.985 million, P1.063 million, P0.874</w:t>
      </w:r>
      <w:r w:rsidR="00181A45" w:rsidRPr="0089678E">
        <w:rPr>
          <w:rFonts w:ascii="Arial" w:hAnsi="Arial" w:cs="Arial"/>
          <w:bCs/>
          <w:sz w:val="22"/>
          <w:szCs w:val="22"/>
        </w:rPr>
        <w:t xml:space="preserve"> </w:t>
      </w:r>
      <w:r w:rsidRPr="0089678E">
        <w:rPr>
          <w:rFonts w:ascii="Arial" w:hAnsi="Arial" w:cs="Arial"/>
          <w:bCs/>
          <w:sz w:val="22"/>
          <w:szCs w:val="22"/>
        </w:rPr>
        <w:t>million and P0.868 million, respectively.</w:t>
      </w:r>
    </w:p>
    <w:p w14:paraId="7ADBC1AC" w14:textId="77777777" w:rsidR="000B6DB9" w:rsidRPr="0089678E" w:rsidRDefault="000B6DB9" w:rsidP="00282F06">
      <w:pPr>
        <w:jc w:val="both"/>
        <w:rPr>
          <w:rFonts w:ascii="Arial" w:hAnsi="Arial" w:cs="Arial"/>
          <w:sz w:val="22"/>
          <w:szCs w:val="22"/>
        </w:rPr>
      </w:pPr>
    </w:p>
    <w:p w14:paraId="5BA1DAC5" w14:textId="28CE3EE3" w:rsidR="00282F06" w:rsidRPr="0089678E" w:rsidRDefault="00300F81" w:rsidP="00282F06">
      <w:pPr>
        <w:jc w:val="both"/>
        <w:rPr>
          <w:rFonts w:ascii="Arial" w:hAnsi="Arial" w:cs="Arial"/>
          <w:bCs/>
          <w:iCs/>
          <w:sz w:val="22"/>
          <w:szCs w:val="22"/>
          <w:lang w:val="en-PH" w:eastAsia="ar-SA"/>
        </w:rPr>
      </w:pPr>
      <w:r w:rsidRPr="0089678E">
        <w:rPr>
          <w:rFonts w:ascii="Arial" w:hAnsi="Arial" w:cs="Arial"/>
          <w:sz w:val="22"/>
          <w:szCs w:val="22"/>
        </w:rPr>
        <w:t>In addition, t</w:t>
      </w:r>
      <w:r w:rsidR="009E621A" w:rsidRPr="0089678E">
        <w:rPr>
          <w:rFonts w:ascii="Arial" w:hAnsi="Arial" w:cs="Arial"/>
          <w:sz w:val="22"/>
          <w:szCs w:val="22"/>
        </w:rPr>
        <w:t>he faithful representation of</w:t>
      </w:r>
      <w:r w:rsidRPr="0089678E">
        <w:rPr>
          <w:rFonts w:ascii="Arial" w:hAnsi="Arial" w:cs="Arial"/>
          <w:sz w:val="22"/>
          <w:szCs w:val="22"/>
        </w:rPr>
        <w:t xml:space="preserve"> the</w:t>
      </w:r>
      <w:r w:rsidR="009E621A" w:rsidRPr="0089678E">
        <w:rPr>
          <w:rFonts w:ascii="Arial" w:hAnsi="Arial" w:cs="Arial"/>
          <w:sz w:val="22"/>
          <w:szCs w:val="22"/>
        </w:rPr>
        <w:t xml:space="preserve"> Accounts Receivable </w:t>
      </w:r>
      <w:r w:rsidR="00282F06" w:rsidRPr="0089678E">
        <w:rPr>
          <w:rFonts w:ascii="Arial" w:hAnsi="Arial" w:cs="Arial"/>
          <w:sz w:val="22"/>
          <w:szCs w:val="22"/>
        </w:rPr>
        <w:t xml:space="preserve">(AR) </w:t>
      </w:r>
      <w:r w:rsidR="009E621A" w:rsidRPr="0089678E">
        <w:rPr>
          <w:rFonts w:ascii="Arial" w:hAnsi="Arial" w:cs="Arial"/>
          <w:sz w:val="22"/>
          <w:szCs w:val="22"/>
        </w:rPr>
        <w:t xml:space="preserve">account having a balance of </w:t>
      </w:r>
      <w:r w:rsidR="009E621A" w:rsidRPr="0089678E">
        <w:rPr>
          <w:rFonts w:ascii="Arial" w:hAnsi="Arial" w:cs="Arial"/>
          <w:sz w:val="22"/>
          <w:szCs w:val="22"/>
          <w:lang w:val="en-PH" w:eastAsia="ar-SA"/>
        </w:rPr>
        <w:t xml:space="preserve">P1.096 billion, net of Allowance for Impairment of P163.864 million, as of December 31, 2019 was not established </w:t>
      </w:r>
      <w:r w:rsidR="00282F06" w:rsidRPr="0089678E">
        <w:rPr>
          <w:rFonts w:ascii="Arial" w:hAnsi="Arial" w:cs="Arial"/>
          <w:sz w:val="22"/>
          <w:szCs w:val="22"/>
          <w:lang w:val="en-PH" w:eastAsia="ar-SA"/>
        </w:rPr>
        <w:t>due to: (</w:t>
      </w:r>
      <w:r w:rsidRPr="0089678E">
        <w:rPr>
          <w:rFonts w:ascii="Arial" w:hAnsi="Arial" w:cs="Arial"/>
          <w:sz w:val="22"/>
          <w:szCs w:val="22"/>
          <w:lang w:val="en-PH" w:eastAsia="ar-SA"/>
        </w:rPr>
        <w:t>a</w:t>
      </w:r>
      <w:r w:rsidR="00282F06" w:rsidRPr="0089678E">
        <w:rPr>
          <w:rFonts w:ascii="Arial" w:hAnsi="Arial" w:cs="Arial"/>
          <w:sz w:val="22"/>
          <w:szCs w:val="22"/>
          <w:lang w:val="en-PH" w:eastAsia="ar-SA"/>
        </w:rPr>
        <w:t xml:space="preserve">) existence of </w:t>
      </w:r>
      <w:r w:rsidR="00282F06" w:rsidRPr="0089678E">
        <w:rPr>
          <w:rFonts w:ascii="Arial" w:hAnsi="Arial" w:cs="Arial"/>
          <w:bCs/>
          <w:iCs/>
          <w:sz w:val="22"/>
          <w:szCs w:val="22"/>
          <w:lang w:val="en-PH" w:eastAsia="ar-SA"/>
        </w:rPr>
        <w:t>four AR sub-accounts having abnormal (credit) balances totaling P681.735 million</w:t>
      </w:r>
      <w:r w:rsidR="00DB1972" w:rsidRPr="0089678E">
        <w:rPr>
          <w:rFonts w:ascii="Arial" w:hAnsi="Arial" w:cs="Arial"/>
          <w:bCs/>
          <w:iCs/>
          <w:sz w:val="22"/>
          <w:szCs w:val="22"/>
          <w:lang w:val="en-PH" w:eastAsia="ar-SA"/>
        </w:rPr>
        <w:t>; (</w:t>
      </w:r>
      <w:r w:rsidRPr="0089678E">
        <w:rPr>
          <w:rFonts w:ascii="Arial" w:hAnsi="Arial" w:cs="Arial"/>
          <w:bCs/>
          <w:iCs/>
          <w:sz w:val="22"/>
          <w:szCs w:val="22"/>
          <w:lang w:val="en-PH" w:eastAsia="ar-SA"/>
        </w:rPr>
        <w:t>b</w:t>
      </w:r>
      <w:r w:rsidR="00DB1972" w:rsidRPr="0089678E">
        <w:rPr>
          <w:rFonts w:ascii="Arial" w:hAnsi="Arial" w:cs="Arial"/>
          <w:bCs/>
          <w:iCs/>
          <w:sz w:val="22"/>
          <w:szCs w:val="22"/>
          <w:lang w:val="en-PH" w:eastAsia="ar-SA"/>
        </w:rPr>
        <w:t xml:space="preserve">) variance </w:t>
      </w:r>
      <w:r w:rsidR="00282F06" w:rsidRPr="0089678E">
        <w:rPr>
          <w:rFonts w:ascii="Arial" w:hAnsi="Arial" w:cs="Arial"/>
          <w:bCs/>
          <w:iCs/>
          <w:sz w:val="22"/>
          <w:szCs w:val="22"/>
          <w:lang w:val="en-PH" w:eastAsia="ar-SA"/>
        </w:rPr>
        <w:t>of P466.230 million between the account balances per General Ledger (GL) and the Aging schedule</w:t>
      </w:r>
      <w:r w:rsidRPr="0089678E">
        <w:rPr>
          <w:rFonts w:ascii="Arial" w:hAnsi="Arial" w:cs="Arial"/>
          <w:bCs/>
          <w:iCs/>
          <w:sz w:val="22"/>
          <w:szCs w:val="22"/>
          <w:lang w:val="en-PH" w:eastAsia="ar-SA"/>
        </w:rPr>
        <w:t xml:space="preserve"> for the same accounts</w:t>
      </w:r>
      <w:r w:rsidR="0003359A">
        <w:rPr>
          <w:rFonts w:ascii="Arial" w:hAnsi="Arial" w:cs="Arial"/>
          <w:bCs/>
          <w:iCs/>
          <w:sz w:val="22"/>
          <w:szCs w:val="22"/>
          <w:lang w:val="en-PH" w:eastAsia="ar-SA"/>
        </w:rPr>
        <w:t xml:space="preserve"> </w:t>
      </w:r>
      <w:r w:rsidR="0003359A" w:rsidRPr="0003359A">
        <w:rPr>
          <w:rFonts w:ascii="Arial" w:hAnsi="Arial" w:cs="Arial"/>
          <w:bCs/>
          <w:sz w:val="22"/>
          <w:szCs w:val="22"/>
        </w:rPr>
        <w:t>resulting from prior period errors in posting of transactions</w:t>
      </w:r>
      <w:r w:rsidRPr="0089678E">
        <w:rPr>
          <w:rFonts w:ascii="Arial" w:hAnsi="Arial" w:cs="Arial"/>
          <w:bCs/>
          <w:iCs/>
          <w:sz w:val="22"/>
          <w:szCs w:val="22"/>
          <w:lang w:val="en-PH" w:eastAsia="ar-SA"/>
        </w:rPr>
        <w:t>; and (c</w:t>
      </w:r>
      <w:r w:rsidR="00282F06" w:rsidRPr="0089678E">
        <w:rPr>
          <w:rFonts w:ascii="Arial" w:hAnsi="Arial" w:cs="Arial"/>
          <w:bCs/>
          <w:iCs/>
          <w:sz w:val="22"/>
          <w:szCs w:val="22"/>
          <w:lang w:val="en-PH" w:eastAsia="ar-SA"/>
        </w:rPr>
        <w:t xml:space="preserve">) absence of subsidiary ledgers, schedules and aging schedules </w:t>
      </w:r>
      <w:r w:rsidR="00DB1972" w:rsidRPr="0089678E">
        <w:rPr>
          <w:rFonts w:ascii="Arial" w:hAnsi="Arial" w:cs="Arial"/>
          <w:bCs/>
          <w:iCs/>
          <w:sz w:val="22"/>
          <w:szCs w:val="22"/>
          <w:lang w:val="en-PH" w:eastAsia="ar-SA"/>
        </w:rPr>
        <w:t xml:space="preserve">to </w:t>
      </w:r>
      <w:r w:rsidR="00282F06" w:rsidRPr="0089678E">
        <w:rPr>
          <w:rFonts w:ascii="Arial" w:hAnsi="Arial" w:cs="Arial"/>
          <w:bCs/>
          <w:iCs/>
          <w:sz w:val="22"/>
          <w:szCs w:val="22"/>
          <w:lang w:val="en-PH" w:eastAsia="ar-SA"/>
        </w:rPr>
        <w:t xml:space="preserve">support the balances of the </w:t>
      </w:r>
      <w:r w:rsidR="006C07BC">
        <w:rPr>
          <w:rFonts w:ascii="Arial" w:hAnsi="Arial" w:cs="Arial"/>
          <w:bCs/>
          <w:iCs/>
          <w:sz w:val="22"/>
          <w:szCs w:val="22"/>
          <w:lang w:val="en-PH" w:eastAsia="ar-SA"/>
        </w:rPr>
        <w:t>12</w:t>
      </w:r>
      <w:r w:rsidR="00282F06" w:rsidRPr="0089678E">
        <w:rPr>
          <w:rFonts w:ascii="Arial" w:hAnsi="Arial" w:cs="Arial"/>
          <w:bCs/>
          <w:iCs/>
          <w:sz w:val="22"/>
          <w:szCs w:val="22"/>
          <w:lang w:val="en-PH" w:eastAsia="ar-SA"/>
        </w:rPr>
        <w:t xml:space="preserve"> AR sub-accounts totaling P72.089 million.</w:t>
      </w:r>
    </w:p>
    <w:p w14:paraId="6B5297FF" w14:textId="77777777" w:rsidR="004A58D9" w:rsidRPr="0089678E" w:rsidRDefault="004A58D9" w:rsidP="00282F06">
      <w:pPr>
        <w:ind w:left="720"/>
        <w:jc w:val="both"/>
        <w:rPr>
          <w:rFonts w:ascii="Arial" w:hAnsi="Arial" w:cs="Arial"/>
          <w:bCs/>
          <w:sz w:val="22"/>
          <w:szCs w:val="22"/>
        </w:rPr>
      </w:pPr>
    </w:p>
    <w:p w14:paraId="5A9E0912" w14:textId="77777777" w:rsidR="00B765E9" w:rsidRPr="0089678E" w:rsidRDefault="00E47BFD" w:rsidP="00E47BFD">
      <w:pPr>
        <w:pStyle w:val="BodyText"/>
        <w:rPr>
          <w:rFonts w:ascii="Arial" w:hAnsi="Arial" w:cs="Arial"/>
          <w:sz w:val="22"/>
          <w:szCs w:val="22"/>
        </w:rPr>
      </w:pPr>
      <w:r w:rsidRPr="0089678E">
        <w:rPr>
          <w:rFonts w:ascii="Arial" w:hAnsi="Arial" w:cs="Arial"/>
          <w:sz w:val="22"/>
          <w:szCs w:val="22"/>
        </w:rPr>
        <w:t>We conducted our audit</w:t>
      </w:r>
      <w:r w:rsidR="003357B4" w:rsidRPr="0089678E">
        <w:rPr>
          <w:rFonts w:ascii="Arial" w:hAnsi="Arial" w:cs="Arial"/>
          <w:sz w:val="22"/>
          <w:szCs w:val="22"/>
        </w:rPr>
        <w:t>s</w:t>
      </w:r>
      <w:r w:rsidRPr="0089678E">
        <w:rPr>
          <w:rFonts w:ascii="Arial" w:hAnsi="Arial" w:cs="Arial"/>
          <w:sz w:val="22"/>
          <w:szCs w:val="22"/>
        </w:rPr>
        <w:t xml:space="preserve"> in accordance with the International Standards of Supreme Audit Institutions (ISSAIs). Our responsibilities under those standards are further described in the Auditor’s Responsibilities for the Audit of the Financial Statements section of our report. We are independent of the PCSO in accordance with the ethical requirements that are relevant to our audit of the financial statements in the </w:t>
      </w:r>
      <w:r w:rsidR="00B765E9" w:rsidRPr="0089678E">
        <w:rPr>
          <w:rFonts w:ascii="Arial" w:hAnsi="Arial" w:cs="Arial"/>
          <w:sz w:val="22"/>
          <w:szCs w:val="22"/>
        </w:rPr>
        <w:t>Philippine Public Sector, and we have fulfilled our other ethical responsibilities in accordance with these requirements.</w:t>
      </w:r>
      <w:r w:rsidR="003357B4" w:rsidRPr="0089678E">
        <w:rPr>
          <w:rFonts w:ascii="Arial" w:hAnsi="Arial" w:cs="Arial"/>
          <w:sz w:val="22"/>
          <w:szCs w:val="22"/>
        </w:rPr>
        <w:t xml:space="preserve"> </w:t>
      </w:r>
      <w:r w:rsidR="00B765E9" w:rsidRPr="0089678E">
        <w:rPr>
          <w:rFonts w:ascii="Arial" w:hAnsi="Arial" w:cs="Arial"/>
          <w:sz w:val="22"/>
          <w:szCs w:val="22"/>
        </w:rPr>
        <w:t>We believe that the audit evidence we have obtained is sufficient and appropriate to provide a basis for our opinion.</w:t>
      </w:r>
    </w:p>
    <w:p w14:paraId="7BCEE60E" w14:textId="77777777" w:rsidR="00472D9C" w:rsidRPr="0089678E" w:rsidRDefault="00472D9C" w:rsidP="00E47BFD">
      <w:pPr>
        <w:pStyle w:val="BodyText"/>
        <w:rPr>
          <w:rFonts w:ascii="Arial" w:hAnsi="Arial" w:cs="Arial"/>
          <w:sz w:val="22"/>
          <w:szCs w:val="22"/>
        </w:rPr>
      </w:pPr>
    </w:p>
    <w:p w14:paraId="4B5CA437" w14:textId="77777777" w:rsidR="00472D9C" w:rsidRPr="0089678E" w:rsidRDefault="00472D9C" w:rsidP="00472D9C">
      <w:pPr>
        <w:pStyle w:val="BodyText"/>
        <w:rPr>
          <w:rFonts w:ascii="Arial" w:hAnsi="Arial" w:cs="Arial"/>
          <w:b/>
          <w:i/>
          <w:sz w:val="22"/>
          <w:szCs w:val="22"/>
        </w:rPr>
      </w:pPr>
      <w:r w:rsidRPr="0089678E">
        <w:rPr>
          <w:rFonts w:ascii="Arial" w:hAnsi="Arial" w:cs="Arial"/>
          <w:b/>
          <w:i/>
          <w:sz w:val="22"/>
          <w:szCs w:val="22"/>
        </w:rPr>
        <w:t>Emphasis of Matter</w:t>
      </w:r>
    </w:p>
    <w:p w14:paraId="3C14B902" w14:textId="77777777" w:rsidR="00472D9C" w:rsidRPr="0089678E" w:rsidRDefault="00472D9C" w:rsidP="00472D9C">
      <w:pPr>
        <w:pStyle w:val="BodyText"/>
        <w:rPr>
          <w:rFonts w:ascii="Arial" w:hAnsi="Arial" w:cs="Arial"/>
          <w:b/>
          <w:sz w:val="22"/>
          <w:szCs w:val="22"/>
        </w:rPr>
      </w:pPr>
    </w:p>
    <w:p w14:paraId="020A5234" w14:textId="02FED61A" w:rsidR="00472D9C" w:rsidRDefault="00472D9C" w:rsidP="00472D9C">
      <w:pPr>
        <w:jc w:val="both"/>
        <w:rPr>
          <w:rFonts w:ascii="Arial" w:hAnsi="Arial" w:cs="Arial"/>
          <w:bCs/>
          <w:sz w:val="22"/>
          <w:szCs w:val="22"/>
        </w:rPr>
      </w:pPr>
      <w:r w:rsidRPr="0089678E">
        <w:rPr>
          <w:rFonts w:ascii="Arial" w:hAnsi="Arial" w:cs="Arial"/>
          <w:sz w:val="22"/>
          <w:szCs w:val="22"/>
        </w:rPr>
        <w:t xml:space="preserve">We draw attention to Note 29 to financial statements disclosing that the Commission on Audit issued observations pertaining to PCSO’s non-payment of dividends.  However, due to the provision in Republic Act (RA) No. 1169, otherwise known as the “PCSO Charter”, the PCSO is mandated that all balances of any funds shall regularly be reverted to and form part of the Charity Fund; thus, there is nothing left to be declared and remitted as dividend. The matter has been referred to the Department of Finance (DOF) and it confirmed that the PCSO </w:t>
      </w:r>
      <w:r w:rsidR="00DB1972" w:rsidRPr="0089678E">
        <w:rPr>
          <w:rFonts w:ascii="Arial" w:hAnsi="Arial" w:cs="Arial"/>
          <w:sz w:val="22"/>
          <w:szCs w:val="22"/>
        </w:rPr>
        <w:t xml:space="preserve">is not exempt from RA No. 7656; </w:t>
      </w:r>
      <w:r w:rsidRPr="0089678E">
        <w:rPr>
          <w:rFonts w:ascii="Arial" w:hAnsi="Arial" w:cs="Arial"/>
          <w:sz w:val="22"/>
          <w:szCs w:val="22"/>
        </w:rPr>
        <w:t xml:space="preserve">however, the former recognized that the latter’s Charter mandates all balances of any funds to revert to and form part of the Charity Fund. As of December 31, 2019, the PCSO is still negotiating with the DOF if indeed the PCSO would be required to remit P8.422 billion inclusive of the amounts due from CYs 1994 to 2011. </w:t>
      </w:r>
      <w:r w:rsidRPr="0089678E">
        <w:rPr>
          <w:rFonts w:ascii="Arial" w:hAnsi="Arial" w:cs="Arial"/>
          <w:bCs/>
          <w:sz w:val="22"/>
          <w:szCs w:val="22"/>
        </w:rPr>
        <w:t>Our opinion is not modified in respect of this matter.</w:t>
      </w:r>
    </w:p>
    <w:p w14:paraId="056849F6" w14:textId="77777777" w:rsidR="00545C46" w:rsidRPr="0089678E" w:rsidRDefault="00545C46" w:rsidP="00472D9C">
      <w:pPr>
        <w:jc w:val="both"/>
        <w:rPr>
          <w:rFonts w:ascii="Arial" w:hAnsi="Arial" w:cs="Arial"/>
          <w:b/>
          <w:sz w:val="22"/>
          <w:szCs w:val="22"/>
        </w:rPr>
      </w:pPr>
    </w:p>
    <w:p w14:paraId="635DCA64" w14:textId="77777777" w:rsidR="00B225C7" w:rsidRPr="0089678E" w:rsidRDefault="00B225C7" w:rsidP="007B1D8D">
      <w:pPr>
        <w:pStyle w:val="BodyText"/>
        <w:rPr>
          <w:rFonts w:ascii="Arial" w:hAnsi="Arial" w:cs="Arial"/>
          <w:b/>
          <w:i/>
          <w:sz w:val="22"/>
          <w:szCs w:val="22"/>
        </w:rPr>
      </w:pPr>
      <w:r w:rsidRPr="0089678E">
        <w:rPr>
          <w:rFonts w:ascii="Arial" w:hAnsi="Arial" w:cs="Arial"/>
          <w:b/>
          <w:i/>
          <w:sz w:val="22"/>
          <w:szCs w:val="22"/>
        </w:rPr>
        <w:lastRenderedPageBreak/>
        <w:t xml:space="preserve">Responsibilities of Management and Those Charged with </w:t>
      </w:r>
    </w:p>
    <w:p w14:paraId="202A3B17" w14:textId="77777777" w:rsidR="007B1D8D" w:rsidRPr="0089678E" w:rsidRDefault="00B225C7" w:rsidP="007B1D8D">
      <w:pPr>
        <w:pStyle w:val="BodyText"/>
        <w:rPr>
          <w:rFonts w:ascii="Arial" w:hAnsi="Arial" w:cs="Arial"/>
          <w:b/>
          <w:i/>
          <w:sz w:val="22"/>
          <w:szCs w:val="22"/>
        </w:rPr>
      </w:pPr>
      <w:r w:rsidRPr="0089678E">
        <w:rPr>
          <w:rFonts w:ascii="Arial" w:hAnsi="Arial" w:cs="Arial"/>
          <w:b/>
          <w:i/>
          <w:sz w:val="22"/>
          <w:szCs w:val="22"/>
        </w:rPr>
        <w:t>Governance for the Financial Statements</w:t>
      </w:r>
    </w:p>
    <w:p w14:paraId="0F29B641" w14:textId="77777777" w:rsidR="0066732D" w:rsidRPr="0089678E" w:rsidRDefault="0066732D">
      <w:pPr>
        <w:jc w:val="both"/>
        <w:rPr>
          <w:rFonts w:ascii="Arial" w:hAnsi="Arial" w:cs="Arial"/>
          <w:sz w:val="22"/>
          <w:szCs w:val="22"/>
        </w:rPr>
      </w:pPr>
    </w:p>
    <w:p w14:paraId="4E41875F" w14:textId="77777777" w:rsidR="007B1D8D" w:rsidRPr="0089678E" w:rsidRDefault="007B1D8D" w:rsidP="0099591F">
      <w:pPr>
        <w:pStyle w:val="BodyTextIndent"/>
        <w:ind w:firstLine="0"/>
        <w:rPr>
          <w:sz w:val="22"/>
          <w:szCs w:val="22"/>
        </w:rPr>
      </w:pPr>
      <w:r w:rsidRPr="0089678E">
        <w:rPr>
          <w:sz w:val="22"/>
          <w:szCs w:val="22"/>
        </w:rPr>
        <w:t xml:space="preserve">Management is responsible for the preparation and fair presentation of these financial statements in accordance with </w:t>
      </w:r>
      <w:r w:rsidR="00B225C7" w:rsidRPr="0089678E">
        <w:rPr>
          <w:sz w:val="22"/>
          <w:szCs w:val="22"/>
        </w:rPr>
        <w:t>PFRS</w:t>
      </w:r>
      <w:r w:rsidR="001D7504" w:rsidRPr="0089678E">
        <w:rPr>
          <w:sz w:val="22"/>
          <w:szCs w:val="22"/>
        </w:rPr>
        <w:t>s</w:t>
      </w:r>
      <w:r w:rsidR="00EB0B3D" w:rsidRPr="0089678E">
        <w:rPr>
          <w:sz w:val="22"/>
          <w:szCs w:val="22"/>
        </w:rPr>
        <w:t>, and for such internal control as management determines is necessary to enable the preparation of financial statements that are free from material misstatement, whether due to fraud or error</w:t>
      </w:r>
      <w:r w:rsidRPr="0089678E">
        <w:rPr>
          <w:sz w:val="22"/>
          <w:szCs w:val="22"/>
        </w:rPr>
        <w:t>.</w:t>
      </w:r>
    </w:p>
    <w:p w14:paraId="42F32459" w14:textId="77777777" w:rsidR="00506796" w:rsidRPr="0089678E" w:rsidRDefault="00506796" w:rsidP="0099591F">
      <w:pPr>
        <w:pStyle w:val="BodyTextIndent"/>
        <w:ind w:firstLine="0"/>
        <w:rPr>
          <w:sz w:val="22"/>
          <w:szCs w:val="22"/>
        </w:rPr>
      </w:pPr>
    </w:p>
    <w:p w14:paraId="04C64633" w14:textId="77777777" w:rsidR="004401EB" w:rsidRPr="0089678E" w:rsidRDefault="004401EB" w:rsidP="0099591F">
      <w:pPr>
        <w:pStyle w:val="BodyTextIndent"/>
        <w:ind w:firstLine="0"/>
        <w:rPr>
          <w:sz w:val="22"/>
          <w:szCs w:val="22"/>
        </w:rPr>
      </w:pPr>
      <w:r w:rsidRPr="0089678E">
        <w:rPr>
          <w:sz w:val="22"/>
          <w:szCs w:val="22"/>
        </w:rPr>
        <w:t>In preparing the financial statements, management is responsible for assessing the PCSO’s ability to continue as a going concern, disclosing, as applicable, matters related to going concern and using the going concern basis of accounting unless management either intends to liquidate PCSO or to cease operations, or has no realistic alternative but to do so.</w:t>
      </w:r>
    </w:p>
    <w:p w14:paraId="457FBA2A" w14:textId="77777777" w:rsidR="00D60B5B" w:rsidRPr="0089678E" w:rsidRDefault="00D60B5B" w:rsidP="0099591F">
      <w:pPr>
        <w:pStyle w:val="BodyTextIndent"/>
        <w:ind w:firstLine="0"/>
        <w:rPr>
          <w:sz w:val="22"/>
          <w:szCs w:val="22"/>
        </w:rPr>
      </w:pPr>
    </w:p>
    <w:p w14:paraId="5015BA78" w14:textId="77777777" w:rsidR="004401EB" w:rsidRPr="0089678E" w:rsidRDefault="004401EB" w:rsidP="0099591F">
      <w:pPr>
        <w:pStyle w:val="BodyTextIndent"/>
        <w:ind w:firstLine="0"/>
        <w:rPr>
          <w:sz w:val="22"/>
          <w:szCs w:val="22"/>
        </w:rPr>
      </w:pPr>
      <w:r w:rsidRPr="0089678E">
        <w:rPr>
          <w:sz w:val="22"/>
          <w:szCs w:val="22"/>
        </w:rPr>
        <w:t>Those charged with governance are responsible for overseeing the PCSO’s financial reporting process.</w:t>
      </w:r>
    </w:p>
    <w:p w14:paraId="6C9F65EF" w14:textId="77777777" w:rsidR="007B1D8D" w:rsidRPr="0089678E" w:rsidRDefault="007B1D8D">
      <w:pPr>
        <w:pStyle w:val="BodyTextIndent"/>
        <w:rPr>
          <w:sz w:val="22"/>
          <w:szCs w:val="22"/>
        </w:rPr>
      </w:pPr>
    </w:p>
    <w:p w14:paraId="3A166195" w14:textId="77777777" w:rsidR="007B1D8D" w:rsidRPr="0089678E" w:rsidRDefault="00A1264E" w:rsidP="007B1D8D">
      <w:pPr>
        <w:pStyle w:val="BodyTextIndent"/>
        <w:ind w:firstLine="0"/>
        <w:rPr>
          <w:b/>
          <w:i/>
          <w:sz w:val="22"/>
          <w:szCs w:val="22"/>
        </w:rPr>
      </w:pPr>
      <w:r w:rsidRPr="0089678E">
        <w:rPr>
          <w:b/>
          <w:i/>
          <w:sz w:val="22"/>
          <w:szCs w:val="22"/>
        </w:rPr>
        <w:t>Auditor’s Responsibility</w:t>
      </w:r>
      <w:r w:rsidR="004401EB" w:rsidRPr="0089678E">
        <w:rPr>
          <w:b/>
          <w:i/>
          <w:sz w:val="22"/>
          <w:szCs w:val="22"/>
        </w:rPr>
        <w:t xml:space="preserve"> for the Audit of the Financial Statements</w:t>
      </w:r>
    </w:p>
    <w:p w14:paraId="07AA705E" w14:textId="77777777" w:rsidR="0099591F" w:rsidRPr="0089678E" w:rsidRDefault="0099591F" w:rsidP="007B1D8D">
      <w:pPr>
        <w:pStyle w:val="BodyTextIndent"/>
        <w:ind w:firstLine="0"/>
        <w:rPr>
          <w:i/>
          <w:sz w:val="22"/>
          <w:szCs w:val="22"/>
        </w:rPr>
      </w:pPr>
    </w:p>
    <w:p w14:paraId="30A57475" w14:textId="77777777" w:rsidR="002B6435" w:rsidRPr="0089678E" w:rsidRDefault="004401EB" w:rsidP="00A1264E">
      <w:pPr>
        <w:pStyle w:val="BodyTextIndent"/>
        <w:ind w:firstLine="0"/>
        <w:rPr>
          <w:sz w:val="22"/>
          <w:szCs w:val="22"/>
        </w:rPr>
      </w:pPr>
      <w:r w:rsidRPr="0089678E">
        <w:rPr>
          <w:sz w:val="22"/>
          <w:szCs w:val="22"/>
        </w:rPr>
        <w:t>Our objectives are to obtain reasonable assurance about whether the financial statements as a whole are free from material misstatement, whether due to fraud or error, and to issue an auditor’s report that includes our opinion. Reasonable assurance is a high level of assurance,</w:t>
      </w:r>
      <w:r w:rsidR="001F5CDB" w:rsidRPr="0089678E">
        <w:rPr>
          <w:sz w:val="22"/>
          <w:szCs w:val="22"/>
        </w:rPr>
        <w:t xml:space="preserve"> </w:t>
      </w:r>
      <w:r w:rsidRPr="0089678E">
        <w:rPr>
          <w:sz w:val="22"/>
          <w:szCs w:val="22"/>
        </w:rPr>
        <w:t>but is not a guarantee that an audit conducted in accordance with ISSAIs, will always detect a material misstatement</w:t>
      </w:r>
      <w:r w:rsidR="004B34D9" w:rsidRPr="0089678E">
        <w:rPr>
          <w:sz w:val="22"/>
          <w:szCs w:val="22"/>
        </w:rPr>
        <w:t xml:space="preserve"> when it exists. Misstatements can arise from fraud or error and are considered material if, individually or in aggregate, they could reasonably be expected to influence the economic decisions of users taken on the basis of these financial statements.</w:t>
      </w:r>
    </w:p>
    <w:p w14:paraId="567169B8" w14:textId="77777777" w:rsidR="004B34D9" w:rsidRPr="0089678E" w:rsidRDefault="004B34D9" w:rsidP="00A1264E">
      <w:pPr>
        <w:pStyle w:val="BodyTextIndent"/>
        <w:ind w:firstLine="0"/>
        <w:rPr>
          <w:sz w:val="22"/>
          <w:szCs w:val="22"/>
        </w:rPr>
      </w:pPr>
    </w:p>
    <w:p w14:paraId="57F1A10B" w14:textId="77777777" w:rsidR="004B34D9" w:rsidRPr="0089678E" w:rsidRDefault="004B34D9" w:rsidP="00A1264E">
      <w:pPr>
        <w:pStyle w:val="BodyTextIndent"/>
        <w:ind w:firstLine="0"/>
        <w:rPr>
          <w:sz w:val="22"/>
          <w:szCs w:val="22"/>
        </w:rPr>
      </w:pPr>
      <w:r w:rsidRPr="0089678E">
        <w:rPr>
          <w:sz w:val="22"/>
          <w:szCs w:val="22"/>
        </w:rPr>
        <w:t>As part of an audit in accordance with ISSAIs, we exercise professional judgment and maintain professional skepticism throughout the audit. We also:</w:t>
      </w:r>
    </w:p>
    <w:p w14:paraId="6BBBFDBB" w14:textId="77777777" w:rsidR="004B34D9" w:rsidRPr="0089678E" w:rsidRDefault="004B34D9" w:rsidP="00A1264E">
      <w:pPr>
        <w:pStyle w:val="BodyTextIndent"/>
        <w:ind w:firstLine="0"/>
        <w:rPr>
          <w:sz w:val="22"/>
          <w:szCs w:val="22"/>
        </w:rPr>
      </w:pPr>
    </w:p>
    <w:p w14:paraId="2601EDDD" w14:textId="77777777" w:rsidR="004B34D9" w:rsidRPr="0089678E" w:rsidRDefault="001F45A3" w:rsidP="008E3461">
      <w:pPr>
        <w:pStyle w:val="BodyTextIndent"/>
        <w:numPr>
          <w:ilvl w:val="0"/>
          <w:numId w:val="4"/>
        </w:numPr>
        <w:ind w:left="540" w:hanging="540"/>
        <w:rPr>
          <w:sz w:val="22"/>
          <w:szCs w:val="22"/>
        </w:rPr>
      </w:pPr>
      <w:r w:rsidRPr="0089678E">
        <w:rPr>
          <w:sz w:val="22"/>
          <w:szCs w:val="22"/>
        </w:rPr>
        <w:t>Identify and assess the risks of material misstatements of the financial statements, whether due to fraud or error, design and perform audit procedures responsive to those risks, and obtain audit evidence that is sufficient and appropriate to provide a basis for our opinion. The risk of not detecting a material misstatement resulting from fraud is higher than for one resulting from error, as fraud may involve collusion, forgery, intentional omissions, misrepresentations, or the override of internal control.</w:t>
      </w:r>
    </w:p>
    <w:p w14:paraId="330F05BC" w14:textId="77777777" w:rsidR="001F45A3" w:rsidRPr="0089678E" w:rsidRDefault="001F45A3" w:rsidP="001F45A3">
      <w:pPr>
        <w:pStyle w:val="BodyTextIndent"/>
        <w:ind w:left="360" w:firstLine="0"/>
        <w:rPr>
          <w:sz w:val="22"/>
          <w:szCs w:val="22"/>
        </w:rPr>
      </w:pPr>
    </w:p>
    <w:p w14:paraId="625BDDF4" w14:textId="77777777" w:rsidR="001F45A3" w:rsidRPr="0089678E" w:rsidRDefault="001F45A3" w:rsidP="008E3461">
      <w:pPr>
        <w:pStyle w:val="BodyTextIndent"/>
        <w:numPr>
          <w:ilvl w:val="0"/>
          <w:numId w:val="4"/>
        </w:numPr>
        <w:ind w:left="540" w:hanging="540"/>
        <w:rPr>
          <w:sz w:val="22"/>
          <w:szCs w:val="22"/>
        </w:rPr>
      </w:pPr>
      <w:r w:rsidRPr="0089678E">
        <w:rPr>
          <w:sz w:val="22"/>
          <w:szCs w:val="22"/>
        </w:rPr>
        <w:t>Obtain an understanding of internal control relevant to the audit in order to design audit procedures that are appropriate in the circumstances, but not for the purpose of expressing an opinion on the effectiveness of the PCSO’s internal control.</w:t>
      </w:r>
    </w:p>
    <w:p w14:paraId="795EBF9D" w14:textId="77777777" w:rsidR="008E3461" w:rsidRPr="0089678E" w:rsidRDefault="008E3461" w:rsidP="001F45A3">
      <w:pPr>
        <w:pStyle w:val="ListParagraph"/>
        <w:rPr>
          <w:rFonts w:ascii="Arial" w:hAnsi="Arial" w:cs="Arial"/>
          <w:sz w:val="22"/>
          <w:szCs w:val="22"/>
          <w:lang w:val="en-PH"/>
        </w:rPr>
      </w:pPr>
    </w:p>
    <w:p w14:paraId="42E9F268" w14:textId="77777777" w:rsidR="001F45A3" w:rsidRPr="0089678E" w:rsidRDefault="001F45A3" w:rsidP="008E3461">
      <w:pPr>
        <w:pStyle w:val="BodyTextIndent"/>
        <w:numPr>
          <w:ilvl w:val="0"/>
          <w:numId w:val="4"/>
        </w:numPr>
        <w:ind w:left="540" w:hanging="540"/>
        <w:rPr>
          <w:sz w:val="22"/>
          <w:szCs w:val="22"/>
        </w:rPr>
      </w:pPr>
      <w:r w:rsidRPr="0089678E">
        <w:rPr>
          <w:sz w:val="22"/>
          <w:szCs w:val="22"/>
        </w:rPr>
        <w:t>Evaluate the appropriateness of accounting policies used and the reasonableness of accounting estimates and related disclosures made by management.</w:t>
      </w:r>
    </w:p>
    <w:p w14:paraId="240549BD" w14:textId="77777777" w:rsidR="001F45A3" w:rsidRPr="0089678E" w:rsidRDefault="001F45A3" w:rsidP="001F45A3">
      <w:pPr>
        <w:pStyle w:val="ListParagraph"/>
        <w:rPr>
          <w:rFonts w:ascii="Arial" w:hAnsi="Arial" w:cs="Arial"/>
          <w:sz w:val="22"/>
          <w:szCs w:val="22"/>
        </w:rPr>
      </w:pPr>
    </w:p>
    <w:p w14:paraId="79EA95D9" w14:textId="77777777" w:rsidR="001F45A3" w:rsidRPr="0089678E" w:rsidRDefault="001F45A3" w:rsidP="008E3461">
      <w:pPr>
        <w:pStyle w:val="BodyTextIndent"/>
        <w:numPr>
          <w:ilvl w:val="0"/>
          <w:numId w:val="4"/>
        </w:numPr>
        <w:ind w:left="540" w:hanging="540"/>
        <w:rPr>
          <w:sz w:val="22"/>
          <w:szCs w:val="22"/>
        </w:rPr>
      </w:pPr>
      <w:r w:rsidRPr="0089678E">
        <w:rPr>
          <w:sz w:val="22"/>
          <w:szCs w:val="22"/>
        </w:rPr>
        <w:t>Conclude on the appropriateness of management’s use of the going concern basis of accounting and, based on the audit evidence obtained, whether a material uncertainty exists related to events or conditions that may cast significant doubt on the PCSO’s ability to continue as a going concern. If we conclude that a material uncertainty exists, we are required to draw attention in our auditor’s report to the related disclosures in the financial statements or, if such disclosures are inadequate, to modify our opinion. Our conclusions are based on the audit evidence obtained up to</w:t>
      </w:r>
      <w:r w:rsidR="009B3262" w:rsidRPr="0089678E">
        <w:rPr>
          <w:sz w:val="22"/>
          <w:szCs w:val="22"/>
        </w:rPr>
        <w:t xml:space="preserve"> the date of our auditor’s report. However, future events or conditions may cause the</w:t>
      </w:r>
      <w:r w:rsidR="008E3461" w:rsidRPr="0089678E">
        <w:rPr>
          <w:sz w:val="22"/>
          <w:szCs w:val="22"/>
        </w:rPr>
        <w:t xml:space="preserve"> PCSO </w:t>
      </w:r>
      <w:r w:rsidR="009B3262" w:rsidRPr="0089678E">
        <w:rPr>
          <w:sz w:val="22"/>
          <w:szCs w:val="22"/>
        </w:rPr>
        <w:t>to cease to continue as a going concern.</w:t>
      </w:r>
    </w:p>
    <w:p w14:paraId="37839CE5" w14:textId="77777777" w:rsidR="009B3262" w:rsidRPr="0089678E" w:rsidRDefault="009B3262" w:rsidP="009B3262">
      <w:pPr>
        <w:pStyle w:val="ListParagraph"/>
        <w:rPr>
          <w:rFonts w:ascii="Arial" w:hAnsi="Arial" w:cs="Arial"/>
          <w:sz w:val="22"/>
          <w:szCs w:val="22"/>
        </w:rPr>
      </w:pPr>
    </w:p>
    <w:p w14:paraId="4F26C8CB" w14:textId="77777777" w:rsidR="009B3262" w:rsidRPr="0089678E" w:rsidRDefault="009B3262" w:rsidP="008E3461">
      <w:pPr>
        <w:pStyle w:val="BodyTextIndent"/>
        <w:numPr>
          <w:ilvl w:val="0"/>
          <w:numId w:val="4"/>
        </w:numPr>
        <w:ind w:left="540" w:hanging="540"/>
        <w:rPr>
          <w:sz w:val="22"/>
          <w:szCs w:val="22"/>
        </w:rPr>
      </w:pPr>
      <w:r w:rsidRPr="0089678E">
        <w:rPr>
          <w:sz w:val="22"/>
          <w:szCs w:val="22"/>
        </w:rPr>
        <w:t>Evaluate the overall presentation, structure and content of the financial statements, including the disclosures, and whether the financial statements represent the underlying transactions and events in a manner that achieves fair presentation.</w:t>
      </w:r>
    </w:p>
    <w:p w14:paraId="1DF1F827" w14:textId="77777777" w:rsidR="00600C4D" w:rsidRPr="0089678E" w:rsidRDefault="00600C4D" w:rsidP="00600C4D">
      <w:pPr>
        <w:pStyle w:val="BodyTextIndent"/>
        <w:ind w:left="360" w:firstLine="0"/>
        <w:rPr>
          <w:sz w:val="22"/>
          <w:szCs w:val="22"/>
        </w:rPr>
      </w:pPr>
    </w:p>
    <w:p w14:paraId="66C9B2ED" w14:textId="77777777" w:rsidR="009B3262" w:rsidRPr="0089678E" w:rsidRDefault="009B3262" w:rsidP="009B3262">
      <w:pPr>
        <w:pStyle w:val="BodyTextIndent"/>
        <w:ind w:firstLine="0"/>
        <w:rPr>
          <w:sz w:val="22"/>
          <w:szCs w:val="22"/>
        </w:rPr>
      </w:pPr>
      <w:r w:rsidRPr="0089678E">
        <w:rPr>
          <w:sz w:val="22"/>
          <w:szCs w:val="22"/>
        </w:rPr>
        <w:t>We communicate with those charged with governance regarding, among others, the planned scope and timing of the audit and significant audit findings, including any sig</w:t>
      </w:r>
      <w:r w:rsidR="00566A76" w:rsidRPr="0089678E">
        <w:rPr>
          <w:sz w:val="22"/>
          <w:szCs w:val="22"/>
        </w:rPr>
        <w:t>nificant deficiencies in internal control that we identify during the audit.</w:t>
      </w:r>
    </w:p>
    <w:p w14:paraId="62E2283B" w14:textId="77777777" w:rsidR="00D60B5B" w:rsidRPr="0089678E" w:rsidRDefault="00D60B5B" w:rsidP="009B3262">
      <w:pPr>
        <w:pStyle w:val="BodyTextIndent"/>
        <w:ind w:firstLine="0"/>
        <w:rPr>
          <w:b/>
          <w:i/>
          <w:sz w:val="22"/>
          <w:szCs w:val="22"/>
        </w:rPr>
      </w:pPr>
    </w:p>
    <w:p w14:paraId="192E3C1F" w14:textId="77777777" w:rsidR="00566A76" w:rsidRPr="0089678E" w:rsidRDefault="00566A76" w:rsidP="009B3262">
      <w:pPr>
        <w:pStyle w:val="BodyTextIndent"/>
        <w:ind w:firstLine="0"/>
        <w:rPr>
          <w:sz w:val="22"/>
          <w:szCs w:val="22"/>
        </w:rPr>
      </w:pPr>
      <w:r w:rsidRPr="0089678E">
        <w:rPr>
          <w:b/>
          <w:i/>
          <w:sz w:val="22"/>
          <w:szCs w:val="22"/>
        </w:rPr>
        <w:t>Other Matters</w:t>
      </w:r>
    </w:p>
    <w:p w14:paraId="1DC53F31" w14:textId="77777777" w:rsidR="006C4D0D" w:rsidRPr="0089678E" w:rsidRDefault="006C4D0D" w:rsidP="009B3262">
      <w:pPr>
        <w:pStyle w:val="BodyTextIndent"/>
        <w:ind w:firstLine="0"/>
        <w:rPr>
          <w:sz w:val="22"/>
          <w:szCs w:val="22"/>
        </w:rPr>
      </w:pPr>
    </w:p>
    <w:p w14:paraId="3315EAAE" w14:textId="400E3AFA" w:rsidR="00704858" w:rsidRPr="0089678E" w:rsidRDefault="00C37A61" w:rsidP="009B3262">
      <w:pPr>
        <w:pStyle w:val="BodyTextIndent"/>
        <w:ind w:firstLine="0"/>
        <w:rPr>
          <w:sz w:val="22"/>
          <w:szCs w:val="22"/>
        </w:rPr>
      </w:pPr>
      <w:r w:rsidRPr="0089678E">
        <w:rPr>
          <w:sz w:val="22"/>
          <w:szCs w:val="22"/>
        </w:rPr>
        <w:t xml:space="preserve">In our report dated June 14, 2019, we expressed an adverse opinion on the 2018 financial statements because: </w:t>
      </w:r>
      <w:r w:rsidRPr="0089678E">
        <w:rPr>
          <w:bCs/>
          <w:sz w:val="22"/>
          <w:szCs w:val="22"/>
        </w:rPr>
        <w:t>(</w:t>
      </w:r>
      <w:r w:rsidR="00B37E19" w:rsidRPr="0089678E">
        <w:rPr>
          <w:bCs/>
          <w:sz w:val="22"/>
          <w:szCs w:val="22"/>
        </w:rPr>
        <w:t>a</w:t>
      </w:r>
      <w:r w:rsidRPr="0089678E">
        <w:rPr>
          <w:bCs/>
          <w:sz w:val="22"/>
          <w:szCs w:val="22"/>
        </w:rPr>
        <w:t>)</w:t>
      </w:r>
      <w:r w:rsidR="001F5CDB" w:rsidRPr="0089678E">
        <w:rPr>
          <w:bCs/>
          <w:sz w:val="22"/>
          <w:szCs w:val="22"/>
        </w:rPr>
        <w:t xml:space="preserve"> the non-recognition of assets and liabilities from the</w:t>
      </w:r>
      <w:r w:rsidRPr="0089678E">
        <w:rPr>
          <w:bCs/>
          <w:sz w:val="22"/>
          <w:szCs w:val="22"/>
        </w:rPr>
        <w:t xml:space="preserve"> </w:t>
      </w:r>
      <w:r w:rsidR="00451FB8" w:rsidRPr="0089678E">
        <w:rPr>
          <w:bCs/>
          <w:sz w:val="22"/>
          <w:szCs w:val="22"/>
        </w:rPr>
        <w:t xml:space="preserve">P2.5 billion trust fund </w:t>
      </w:r>
      <w:r w:rsidR="001F5CDB" w:rsidRPr="0089678E">
        <w:rPr>
          <w:bCs/>
          <w:sz w:val="22"/>
          <w:szCs w:val="22"/>
        </w:rPr>
        <w:t>account</w:t>
      </w:r>
      <w:r w:rsidR="00451FB8" w:rsidRPr="0089678E">
        <w:rPr>
          <w:bCs/>
          <w:sz w:val="22"/>
          <w:szCs w:val="22"/>
        </w:rPr>
        <w:t xml:space="preserve"> with the Land Bank of the Philippines</w:t>
      </w:r>
      <w:r w:rsidR="00117879" w:rsidRPr="0089678E">
        <w:rPr>
          <w:bCs/>
          <w:sz w:val="22"/>
          <w:szCs w:val="22"/>
        </w:rPr>
        <w:t xml:space="preserve"> (LBP)</w:t>
      </w:r>
      <w:r w:rsidR="00451FB8" w:rsidRPr="0089678E">
        <w:rPr>
          <w:bCs/>
          <w:sz w:val="22"/>
          <w:szCs w:val="22"/>
        </w:rPr>
        <w:t xml:space="preserve"> resulted in the understatement of Cash and Cash Equivalents, Receivables, Prepayments and Liabilities accounts by P509.424 million, P16.801 million, P1.549 million and P3.438 million, respectively, while the Financial Assets</w:t>
      </w:r>
      <w:r w:rsidR="00A10BFB" w:rsidRPr="0089678E">
        <w:rPr>
          <w:bCs/>
          <w:sz w:val="22"/>
          <w:szCs w:val="22"/>
        </w:rPr>
        <w:t xml:space="preserve"> account</w:t>
      </w:r>
      <w:r w:rsidR="00451FB8" w:rsidRPr="0089678E">
        <w:rPr>
          <w:bCs/>
          <w:sz w:val="22"/>
          <w:szCs w:val="22"/>
        </w:rPr>
        <w:t xml:space="preserve"> was overstated by P524.336 million; (</w:t>
      </w:r>
      <w:r w:rsidR="00B37E19" w:rsidRPr="0089678E">
        <w:rPr>
          <w:bCs/>
          <w:sz w:val="22"/>
          <w:szCs w:val="22"/>
        </w:rPr>
        <w:t>b</w:t>
      </w:r>
      <w:r w:rsidR="00451FB8" w:rsidRPr="0089678E">
        <w:rPr>
          <w:bCs/>
          <w:sz w:val="22"/>
          <w:szCs w:val="22"/>
        </w:rPr>
        <w:t xml:space="preserve">) the erroneous recording of certain </w:t>
      </w:r>
      <w:r w:rsidR="00A10BFB" w:rsidRPr="0089678E">
        <w:rPr>
          <w:bCs/>
          <w:sz w:val="22"/>
          <w:szCs w:val="22"/>
        </w:rPr>
        <w:t>transactions pertaining to the Charity F</w:t>
      </w:r>
      <w:r w:rsidR="00451FB8" w:rsidRPr="0089678E">
        <w:rPr>
          <w:bCs/>
          <w:sz w:val="22"/>
          <w:szCs w:val="22"/>
        </w:rPr>
        <w:t>und caused the overstatement of Accounts Payable–Miscellaneous and Other Charity Expenses accounts by P255.949 million and P23.348 million, respectively, and the understatement of Retained Earnings–Charity Fund account by P232.600 million; (</w:t>
      </w:r>
      <w:r w:rsidR="00B37E19" w:rsidRPr="0089678E">
        <w:rPr>
          <w:bCs/>
          <w:sz w:val="22"/>
          <w:szCs w:val="22"/>
        </w:rPr>
        <w:t>c</w:t>
      </w:r>
      <w:r w:rsidR="00451FB8" w:rsidRPr="0089678E">
        <w:rPr>
          <w:bCs/>
          <w:sz w:val="22"/>
          <w:szCs w:val="22"/>
        </w:rPr>
        <w:t>) the non-forfeiture of the cash bonds of six (6) terminated Authorized Agents Corporations/Authorized STL Agents totaling P497.183 million overstated the Performance Bonds Payable</w:t>
      </w:r>
      <w:r w:rsidR="00A10BFB" w:rsidRPr="0089678E">
        <w:rPr>
          <w:bCs/>
          <w:sz w:val="22"/>
          <w:szCs w:val="22"/>
        </w:rPr>
        <w:t xml:space="preserve"> account</w:t>
      </w:r>
      <w:r w:rsidR="00451FB8" w:rsidRPr="0089678E">
        <w:rPr>
          <w:bCs/>
          <w:sz w:val="22"/>
          <w:szCs w:val="22"/>
        </w:rPr>
        <w:t xml:space="preserve"> by P497.183 million</w:t>
      </w:r>
      <w:r w:rsidR="00AA07E0" w:rsidRPr="0089678E">
        <w:rPr>
          <w:bCs/>
          <w:sz w:val="22"/>
          <w:szCs w:val="22"/>
        </w:rPr>
        <w:t xml:space="preserve"> and misstated the other affected accounts</w:t>
      </w:r>
      <w:r w:rsidR="00FB7951" w:rsidRPr="0089678E">
        <w:rPr>
          <w:bCs/>
          <w:sz w:val="22"/>
          <w:szCs w:val="22"/>
        </w:rPr>
        <w:t xml:space="preserve">; and </w:t>
      </w:r>
      <w:r w:rsidR="00A10BFB" w:rsidRPr="0089678E">
        <w:rPr>
          <w:bCs/>
          <w:sz w:val="22"/>
          <w:szCs w:val="22"/>
        </w:rPr>
        <w:t>(</w:t>
      </w:r>
      <w:r w:rsidR="00B37E19" w:rsidRPr="0089678E">
        <w:rPr>
          <w:bCs/>
          <w:sz w:val="22"/>
          <w:szCs w:val="22"/>
        </w:rPr>
        <w:t>d</w:t>
      </w:r>
      <w:r w:rsidR="00FB7951" w:rsidRPr="0089678E">
        <w:rPr>
          <w:bCs/>
          <w:sz w:val="22"/>
          <w:szCs w:val="22"/>
        </w:rPr>
        <w:t xml:space="preserve">) the reversion to cash account of reported unreleased checks which were already cleared by the bank and debited from PCSO’s bank accounts caused the overstatement of Cash and </w:t>
      </w:r>
      <w:r w:rsidR="00A10BFB" w:rsidRPr="0089678E">
        <w:rPr>
          <w:bCs/>
          <w:sz w:val="22"/>
          <w:szCs w:val="22"/>
        </w:rPr>
        <w:t>Cash E</w:t>
      </w:r>
      <w:r w:rsidR="00FB7951" w:rsidRPr="0089678E">
        <w:rPr>
          <w:bCs/>
          <w:sz w:val="22"/>
          <w:szCs w:val="22"/>
        </w:rPr>
        <w:t>quivalents</w:t>
      </w:r>
      <w:r w:rsidR="00A10BFB" w:rsidRPr="0089678E">
        <w:rPr>
          <w:bCs/>
          <w:sz w:val="22"/>
          <w:szCs w:val="22"/>
        </w:rPr>
        <w:t xml:space="preserve"> account</w:t>
      </w:r>
      <w:r w:rsidR="00FB7951" w:rsidRPr="0089678E">
        <w:rPr>
          <w:bCs/>
          <w:sz w:val="22"/>
          <w:szCs w:val="22"/>
        </w:rPr>
        <w:t xml:space="preserve"> by P8.631 million.</w:t>
      </w:r>
    </w:p>
    <w:p w14:paraId="6AD8F1AC" w14:textId="77777777" w:rsidR="00704858" w:rsidRPr="0089678E" w:rsidRDefault="00704858" w:rsidP="009B3262">
      <w:pPr>
        <w:pStyle w:val="BodyTextIndent"/>
        <w:ind w:firstLine="0"/>
        <w:rPr>
          <w:sz w:val="22"/>
          <w:szCs w:val="22"/>
        </w:rPr>
      </w:pPr>
    </w:p>
    <w:p w14:paraId="1FBC32DF" w14:textId="3AA50B90" w:rsidR="008A7400" w:rsidRPr="0089678E" w:rsidRDefault="00117879" w:rsidP="008A7400">
      <w:pPr>
        <w:pStyle w:val="BodyTextIndent"/>
        <w:ind w:firstLine="0"/>
        <w:rPr>
          <w:sz w:val="22"/>
          <w:szCs w:val="22"/>
        </w:rPr>
      </w:pPr>
      <w:r w:rsidRPr="0089678E">
        <w:rPr>
          <w:sz w:val="22"/>
          <w:szCs w:val="22"/>
        </w:rPr>
        <w:t xml:space="preserve">On the </w:t>
      </w:r>
      <w:r w:rsidRPr="0089678E">
        <w:rPr>
          <w:bCs/>
          <w:sz w:val="22"/>
          <w:szCs w:val="22"/>
        </w:rPr>
        <w:t>understatement of Cash and Cash Equivalents, Receivables, Prepayments and Liabilities accounts by P509.424 million, P16.801 million, P1.549 million and P3.438 million, respectively, and the overstatement of Financial Assets</w:t>
      </w:r>
      <w:r w:rsidR="00A10BFB" w:rsidRPr="0089678E">
        <w:rPr>
          <w:bCs/>
          <w:sz w:val="22"/>
          <w:szCs w:val="22"/>
        </w:rPr>
        <w:t xml:space="preserve"> account</w:t>
      </w:r>
      <w:r w:rsidRPr="0089678E">
        <w:rPr>
          <w:bCs/>
          <w:sz w:val="22"/>
          <w:szCs w:val="22"/>
        </w:rPr>
        <w:t xml:space="preserve"> by P524.336 million resulting from the </w:t>
      </w:r>
      <w:r w:rsidR="001F5CDB" w:rsidRPr="0089678E">
        <w:rPr>
          <w:bCs/>
          <w:sz w:val="22"/>
          <w:szCs w:val="22"/>
        </w:rPr>
        <w:t>non-recognition of assets and liabilities from the</w:t>
      </w:r>
      <w:r w:rsidRPr="0089678E">
        <w:rPr>
          <w:bCs/>
          <w:sz w:val="22"/>
          <w:szCs w:val="22"/>
        </w:rPr>
        <w:t xml:space="preserve"> trust fund </w:t>
      </w:r>
      <w:r w:rsidR="001F5CDB" w:rsidRPr="0089678E">
        <w:rPr>
          <w:bCs/>
          <w:sz w:val="22"/>
          <w:szCs w:val="22"/>
        </w:rPr>
        <w:t xml:space="preserve">account </w:t>
      </w:r>
      <w:r w:rsidRPr="0089678E">
        <w:rPr>
          <w:bCs/>
          <w:sz w:val="22"/>
          <w:szCs w:val="22"/>
        </w:rPr>
        <w:t xml:space="preserve">with the LBP, </w:t>
      </w:r>
      <w:r w:rsidR="006845EA" w:rsidRPr="0089678E">
        <w:rPr>
          <w:bCs/>
          <w:sz w:val="22"/>
          <w:szCs w:val="22"/>
        </w:rPr>
        <w:t>the necessary adjusting entries have been effected to faithfully represent the effects of the transactions pursuant to paragraph 15 of PAS 1.</w:t>
      </w:r>
    </w:p>
    <w:p w14:paraId="11F85155" w14:textId="77777777" w:rsidR="00535A67" w:rsidRPr="0089678E" w:rsidRDefault="00535A67" w:rsidP="008A7400">
      <w:pPr>
        <w:pStyle w:val="BodyTextIndent"/>
        <w:ind w:firstLine="0"/>
        <w:rPr>
          <w:sz w:val="22"/>
          <w:szCs w:val="22"/>
        </w:rPr>
      </w:pPr>
    </w:p>
    <w:p w14:paraId="7E54E5D1" w14:textId="75E3564A" w:rsidR="008206B2" w:rsidRPr="0089678E" w:rsidRDefault="00535A67" w:rsidP="008A7400">
      <w:pPr>
        <w:pStyle w:val="BodyTextIndent"/>
        <w:ind w:firstLine="0"/>
        <w:rPr>
          <w:sz w:val="22"/>
          <w:szCs w:val="22"/>
        </w:rPr>
      </w:pPr>
      <w:r w:rsidRPr="0089678E">
        <w:rPr>
          <w:sz w:val="22"/>
          <w:szCs w:val="22"/>
        </w:rPr>
        <w:t>The overstatement of Accounts Payable – Miscellaneous and Other Charity Expenses</w:t>
      </w:r>
      <w:r w:rsidR="00DB6680" w:rsidRPr="0089678E">
        <w:rPr>
          <w:sz w:val="22"/>
          <w:szCs w:val="22"/>
        </w:rPr>
        <w:t xml:space="preserve"> accounts</w:t>
      </w:r>
      <w:r w:rsidRPr="0089678E">
        <w:rPr>
          <w:sz w:val="22"/>
          <w:szCs w:val="22"/>
        </w:rPr>
        <w:t xml:space="preserve"> in the amount</w:t>
      </w:r>
      <w:r w:rsidR="00DB6680" w:rsidRPr="0089678E">
        <w:rPr>
          <w:sz w:val="22"/>
          <w:szCs w:val="22"/>
        </w:rPr>
        <w:t>s</w:t>
      </w:r>
      <w:r w:rsidRPr="0089678E">
        <w:rPr>
          <w:sz w:val="22"/>
          <w:szCs w:val="22"/>
        </w:rPr>
        <w:t xml:space="preserve"> of P255.949 million and P23.348 million, respectively, and the understatement of the Retained Earnings – Charity Fund account by P232.600 million were adjusted in the books of accounts. </w:t>
      </w:r>
    </w:p>
    <w:p w14:paraId="1A018F1F" w14:textId="77777777" w:rsidR="00086A2C" w:rsidRPr="0089678E" w:rsidRDefault="00086A2C" w:rsidP="008A7400">
      <w:pPr>
        <w:pStyle w:val="BodyTextIndent"/>
        <w:ind w:firstLine="0"/>
        <w:rPr>
          <w:sz w:val="22"/>
          <w:szCs w:val="22"/>
        </w:rPr>
      </w:pPr>
    </w:p>
    <w:p w14:paraId="48DC460B" w14:textId="19A28123" w:rsidR="00535A67" w:rsidRPr="0089678E" w:rsidRDefault="008206B2" w:rsidP="008A7400">
      <w:pPr>
        <w:pStyle w:val="BodyTextIndent"/>
        <w:ind w:firstLine="0"/>
        <w:rPr>
          <w:sz w:val="22"/>
          <w:szCs w:val="22"/>
        </w:rPr>
      </w:pPr>
      <w:r w:rsidRPr="0089678E">
        <w:rPr>
          <w:sz w:val="22"/>
          <w:szCs w:val="22"/>
        </w:rPr>
        <w:t>A</w:t>
      </w:r>
      <w:r w:rsidR="00FF4C0C" w:rsidRPr="0089678E">
        <w:rPr>
          <w:sz w:val="22"/>
          <w:szCs w:val="22"/>
        </w:rPr>
        <w:t xml:space="preserve">djustments were </w:t>
      </w:r>
      <w:r w:rsidR="00DB1972" w:rsidRPr="0089678E">
        <w:rPr>
          <w:sz w:val="22"/>
          <w:szCs w:val="22"/>
        </w:rPr>
        <w:t xml:space="preserve">also </w:t>
      </w:r>
      <w:r w:rsidR="00FF4C0C" w:rsidRPr="0089678E">
        <w:rPr>
          <w:sz w:val="22"/>
          <w:szCs w:val="22"/>
        </w:rPr>
        <w:t xml:space="preserve">effected to correct the overstatement of the Performance Bonds Payable </w:t>
      </w:r>
      <w:r w:rsidR="00DB6680" w:rsidRPr="0089678E">
        <w:rPr>
          <w:sz w:val="22"/>
          <w:szCs w:val="22"/>
        </w:rPr>
        <w:t xml:space="preserve">account </w:t>
      </w:r>
      <w:r w:rsidR="002475BC" w:rsidRPr="0089678E">
        <w:rPr>
          <w:sz w:val="22"/>
          <w:szCs w:val="22"/>
        </w:rPr>
        <w:t xml:space="preserve">amounting to P497.183 </w:t>
      </w:r>
      <w:r w:rsidR="00FF4C0C" w:rsidRPr="0089678E">
        <w:rPr>
          <w:sz w:val="22"/>
          <w:szCs w:val="22"/>
        </w:rPr>
        <w:t>million</w:t>
      </w:r>
      <w:r w:rsidR="002007E4" w:rsidRPr="0089678E">
        <w:rPr>
          <w:sz w:val="22"/>
          <w:szCs w:val="22"/>
        </w:rPr>
        <w:t>, however</w:t>
      </w:r>
      <w:r w:rsidRPr="0089678E">
        <w:rPr>
          <w:sz w:val="22"/>
          <w:szCs w:val="22"/>
        </w:rPr>
        <w:t>,</w:t>
      </w:r>
      <w:r w:rsidR="002007E4" w:rsidRPr="0089678E">
        <w:rPr>
          <w:sz w:val="22"/>
          <w:szCs w:val="22"/>
        </w:rPr>
        <w:t xml:space="preserve"> </w:t>
      </w:r>
      <w:r w:rsidR="00B5408A" w:rsidRPr="0089678E">
        <w:rPr>
          <w:sz w:val="22"/>
          <w:szCs w:val="22"/>
        </w:rPr>
        <w:t>credits were made to improper</w:t>
      </w:r>
      <w:r w:rsidRPr="0089678E">
        <w:rPr>
          <w:sz w:val="22"/>
          <w:szCs w:val="22"/>
        </w:rPr>
        <w:t xml:space="preserve"> accounts. </w:t>
      </w:r>
    </w:p>
    <w:p w14:paraId="4577ED29" w14:textId="77777777" w:rsidR="00117879" w:rsidRPr="0089678E" w:rsidRDefault="00117879" w:rsidP="008A7400">
      <w:pPr>
        <w:pStyle w:val="BodyTextIndent"/>
        <w:ind w:firstLine="0"/>
        <w:rPr>
          <w:sz w:val="22"/>
          <w:szCs w:val="22"/>
        </w:rPr>
      </w:pPr>
    </w:p>
    <w:p w14:paraId="24D21D94" w14:textId="7DC2990A" w:rsidR="00420114" w:rsidRPr="0089678E" w:rsidRDefault="00DB6680" w:rsidP="008A7400">
      <w:pPr>
        <w:pStyle w:val="BodyTextIndent"/>
        <w:ind w:firstLine="0"/>
        <w:rPr>
          <w:sz w:val="22"/>
          <w:szCs w:val="22"/>
        </w:rPr>
      </w:pPr>
      <w:r w:rsidRPr="0089678E">
        <w:rPr>
          <w:sz w:val="22"/>
          <w:szCs w:val="22"/>
        </w:rPr>
        <w:t>The</w:t>
      </w:r>
      <w:r w:rsidR="00420114" w:rsidRPr="0089678E">
        <w:rPr>
          <w:sz w:val="22"/>
          <w:szCs w:val="22"/>
        </w:rPr>
        <w:t xml:space="preserve"> </w:t>
      </w:r>
      <w:r w:rsidR="00D71FD3" w:rsidRPr="0089678E">
        <w:rPr>
          <w:sz w:val="22"/>
          <w:szCs w:val="22"/>
        </w:rPr>
        <w:t xml:space="preserve">checks in the total amount of P8.631 million that were presented to and cleared by bank but were erroneously included as unreleased checks that were reverted back to cash, the necessary adjusting entries were </w:t>
      </w:r>
      <w:r w:rsidR="00472D9C" w:rsidRPr="0089678E">
        <w:rPr>
          <w:sz w:val="22"/>
          <w:szCs w:val="22"/>
        </w:rPr>
        <w:t xml:space="preserve">likewise </w:t>
      </w:r>
      <w:r w:rsidR="00D71FD3" w:rsidRPr="0089678E">
        <w:rPr>
          <w:sz w:val="22"/>
          <w:szCs w:val="22"/>
        </w:rPr>
        <w:t>effected.</w:t>
      </w:r>
    </w:p>
    <w:p w14:paraId="2BC58EE2" w14:textId="77777777" w:rsidR="00420114" w:rsidRPr="0089678E" w:rsidRDefault="00420114" w:rsidP="008A7400">
      <w:pPr>
        <w:pStyle w:val="BodyTextIndent"/>
        <w:ind w:firstLine="0"/>
        <w:rPr>
          <w:sz w:val="22"/>
          <w:szCs w:val="22"/>
        </w:rPr>
      </w:pPr>
    </w:p>
    <w:p w14:paraId="55073EF4" w14:textId="77777777" w:rsidR="008A7400" w:rsidRPr="0089678E" w:rsidRDefault="008A7400" w:rsidP="008A7400">
      <w:pPr>
        <w:pStyle w:val="BodyTextIndent"/>
        <w:ind w:firstLine="0"/>
        <w:rPr>
          <w:sz w:val="22"/>
          <w:szCs w:val="22"/>
        </w:rPr>
      </w:pPr>
      <w:r w:rsidRPr="0089678E">
        <w:rPr>
          <w:sz w:val="22"/>
          <w:szCs w:val="22"/>
        </w:rPr>
        <w:t>Accordingly, our present opinion on the restated 201</w:t>
      </w:r>
      <w:r w:rsidR="00AA07E0" w:rsidRPr="0089678E">
        <w:rPr>
          <w:sz w:val="22"/>
          <w:szCs w:val="22"/>
        </w:rPr>
        <w:t>8</w:t>
      </w:r>
      <w:r w:rsidRPr="0089678E">
        <w:rPr>
          <w:sz w:val="22"/>
          <w:szCs w:val="22"/>
        </w:rPr>
        <w:t xml:space="preserve"> financial statements, as presented herein, is </w:t>
      </w:r>
      <w:r w:rsidR="008206B2" w:rsidRPr="0089678E">
        <w:rPr>
          <w:sz w:val="22"/>
          <w:szCs w:val="22"/>
        </w:rPr>
        <w:t>qualified</w:t>
      </w:r>
      <w:r w:rsidRPr="0089678E">
        <w:rPr>
          <w:sz w:val="22"/>
          <w:szCs w:val="22"/>
        </w:rPr>
        <w:t xml:space="preserve"> concerning these matters.</w:t>
      </w:r>
    </w:p>
    <w:p w14:paraId="12070217" w14:textId="77777777" w:rsidR="008E3461" w:rsidRPr="0089678E" w:rsidRDefault="008E3461" w:rsidP="00A1264E">
      <w:pPr>
        <w:pStyle w:val="BodyTextIndent"/>
        <w:ind w:firstLine="0"/>
        <w:rPr>
          <w:sz w:val="22"/>
          <w:szCs w:val="22"/>
        </w:rPr>
      </w:pPr>
    </w:p>
    <w:p w14:paraId="31E7F1F7" w14:textId="77777777" w:rsidR="002B6435" w:rsidRPr="0089678E" w:rsidRDefault="00EE72A0" w:rsidP="00EE72A0">
      <w:pPr>
        <w:pStyle w:val="BodyTextIndent"/>
        <w:ind w:firstLine="0"/>
        <w:rPr>
          <w:b/>
          <w:i/>
          <w:sz w:val="22"/>
          <w:szCs w:val="22"/>
        </w:rPr>
      </w:pPr>
      <w:r w:rsidRPr="0089678E">
        <w:rPr>
          <w:b/>
          <w:i/>
          <w:sz w:val="22"/>
          <w:szCs w:val="22"/>
        </w:rPr>
        <w:t>Report on Supplementary Information Required Under</w:t>
      </w:r>
    </w:p>
    <w:p w14:paraId="2A3A60C1" w14:textId="77777777" w:rsidR="00EE72A0" w:rsidRPr="0089678E" w:rsidRDefault="00EE72A0" w:rsidP="00EE72A0">
      <w:pPr>
        <w:pStyle w:val="BodyTextIndent"/>
        <w:ind w:firstLine="0"/>
        <w:rPr>
          <w:b/>
          <w:i/>
          <w:sz w:val="22"/>
          <w:szCs w:val="22"/>
        </w:rPr>
      </w:pPr>
      <w:r w:rsidRPr="0089678E">
        <w:rPr>
          <w:b/>
          <w:i/>
          <w:sz w:val="22"/>
          <w:szCs w:val="22"/>
        </w:rPr>
        <w:t>BIR Revenue Regulation 15-2010</w:t>
      </w:r>
    </w:p>
    <w:p w14:paraId="1C9EA5A8" w14:textId="77777777" w:rsidR="00EE72A0" w:rsidRPr="0089678E" w:rsidRDefault="00EE72A0" w:rsidP="00EE72A0">
      <w:pPr>
        <w:pStyle w:val="BodyTextIndent"/>
        <w:ind w:firstLine="0"/>
        <w:rPr>
          <w:sz w:val="22"/>
          <w:szCs w:val="22"/>
        </w:rPr>
      </w:pPr>
    </w:p>
    <w:p w14:paraId="0D45D3D5" w14:textId="77777777" w:rsidR="00EE72A0" w:rsidRPr="0089678E" w:rsidRDefault="00EE72A0" w:rsidP="00540A23">
      <w:pPr>
        <w:pStyle w:val="BodyTextIndent"/>
        <w:ind w:firstLine="0"/>
        <w:rPr>
          <w:sz w:val="22"/>
          <w:szCs w:val="22"/>
        </w:rPr>
      </w:pPr>
      <w:r w:rsidRPr="0089678E">
        <w:rPr>
          <w:sz w:val="22"/>
          <w:szCs w:val="22"/>
        </w:rPr>
        <w:t>Our audit</w:t>
      </w:r>
      <w:r w:rsidR="00BC62EB" w:rsidRPr="0089678E">
        <w:rPr>
          <w:sz w:val="22"/>
          <w:szCs w:val="22"/>
        </w:rPr>
        <w:t>s</w:t>
      </w:r>
      <w:r w:rsidRPr="0089678E">
        <w:rPr>
          <w:sz w:val="22"/>
          <w:szCs w:val="22"/>
        </w:rPr>
        <w:t xml:space="preserve"> </w:t>
      </w:r>
      <w:r w:rsidR="00BC62EB" w:rsidRPr="0089678E">
        <w:rPr>
          <w:sz w:val="22"/>
          <w:szCs w:val="22"/>
        </w:rPr>
        <w:t>were</w:t>
      </w:r>
      <w:r w:rsidRPr="0089678E">
        <w:rPr>
          <w:sz w:val="22"/>
          <w:szCs w:val="22"/>
        </w:rPr>
        <w:t xml:space="preserve"> conducted for the purpose of forming an opinion on the basic financial statements taken as a whole. The supplementary information </w:t>
      </w:r>
      <w:r w:rsidR="00BC62EB" w:rsidRPr="0089678E">
        <w:rPr>
          <w:sz w:val="22"/>
          <w:szCs w:val="22"/>
        </w:rPr>
        <w:t>for the year ended December 31, 201</w:t>
      </w:r>
      <w:r w:rsidR="00AA07E0" w:rsidRPr="0089678E">
        <w:rPr>
          <w:sz w:val="22"/>
          <w:szCs w:val="22"/>
        </w:rPr>
        <w:t>9</w:t>
      </w:r>
      <w:r w:rsidR="00BC62EB" w:rsidRPr="0089678E">
        <w:rPr>
          <w:sz w:val="22"/>
          <w:szCs w:val="22"/>
        </w:rPr>
        <w:t>, required by the Bureau of Internal Revenue as disclosed i</w:t>
      </w:r>
      <w:r w:rsidR="00A46DD1" w:rsidRPr="0089678E">
        <w:rPr>
          <w:sz w:val="22"/>
          <w:szCs w:val="22"/>
        </w:rPr>
        <w:t xml:space="preserve">n Note </w:t>
      </w:r>
      <w:r w:rsidR="002D1039" w:rsidRPr="0089678E">
        <w:rPr>
          <w:sz w:val="22"/>
          <w:szCs w:val="22"/>
        </w:rPr>
        <w:t>26</w:t>
      </w:r>
      <w:r w:rsidR="005B767D" w:rsidRPr="0089678E">
        <w:rPr>
          <w:sz w:val="22"/>
          <w:szCs w:val="22"/>
        </w:rPr>
        <w:t xml:space="preserve"> </w:t>
      </w:r>
      <w:r w:rsidRPr="0089678E">
        <w:rPr>
          <w:sz w:val="22"/>
          <w:szCs w:val="22"/>
        </w:rPr>
        <w:t>to the financial statements is presented for purpose</w:t>
      </w:r>
      <w:r w:rsidR="00B674F8" w:rsidRPr="0089678E">
        <w:rPr>
          <w:sz w:val="22"/>
          <w:szCs w:val="22"/>
        </w:rPr>
        <w:t>s</w:t>
      </w:r>
      <w:r w:rsidRPr="0089678E">
        <w:rPr>
          <w:sz w:val="22"/>
          <w:szCs w:val="22"/>
        </w:rPr>
        <w:t xml:space="preserve"> of </w:t>
      </w:r>
      <w:r w:rsidR="00BC62EB" w:rsidRPr="0089678E">
        <w:rPr>
          <w:sz w:val="22"/>
          <w:szCs w:val="22"/>
        </w:rPr>
        <w:t>additional analysis and is not a required part of the basic financial statements prepared in accordance with PFRS</w:t>
      </w:r>
      <w:r w:rsidR="00675431" w:rsidRPr="0089678E">
        <w:rPr>
          <w:sz w:val="22"/>
          <w:szCs w:val="22"/>
        </w:rPr>
        <w:t>s</w:t>
      </w:r>
      <w:r w:rsidR="00BC62EB" w:rsidRPr="0089678E">
        <w:rPr>
          <w:sz w:val="22"/>
          <w:szCs w:val="22"/>
        </w:rPr>
        <w:t>. Such supplementary information is the responsibility of management</w:t>
      </w:r>
      <w:r w:rsidRPr="0089678E">
        <w:rPr>
          <w:sz w:val="22"/>
          <w:szCs w:val="22"/>
        </w:rPr>
        <w:t>.</w:t>
      </w:r>
    </w:p>
    <w:p w14:paraId="4ADC55E4" w14:textId="77777777" w:rsidR="002B6435" w:rsidRPr="0089678E" w:rsidRDefault="002B6435">
      <w:pPr>
        <w:pStyle w:val="BodyTextIndent"/>
        <w:rPr>
          <w:sz w:val="22"/>
          <w:szCs w:val="22"/>
        </w:rPr>
      </w:pPr>
    </w:p>
    <w:p w14:paraId="01D7D88F" w14:textId="77777777" w:rsidR="005130F0" w:rsidRPr="0089678E" w:rsidRDefault="005130F0">
      <w:pPr>
        <w:pStyle w:val="BodyTextIndent"/>
        <w:rPr>
          <w:sz w:val="22"/>
          <w:szCs w:val="22"/>
        </w:rPr>
      </w:pPr>
    </w:p>
    <w:p w14:paraId="509B996D" w14:textId="77777777" w:rsidR="0066732D" w:rsidRPr="0089678E" w:rsidRDefault="0066732D" w:rsidP="00540A23">
      <w:pPr>
        <w:jc w:val="both"/>
        <w:rPr>
          <w:rFonts w:ascii="Arial" w:hAnsi="Arial" w:cs="Arial"/>
          <w:b/>
          <w:bCs/>
          <w:sz w:val="22"/>
          <w:szCs w:val="22"/>
        </w:rPr>
      </w:pPr>
      <w:r w:rsidRPr="0089678E">
        <w:rPr>
          <w:rFonts w:ascii="Arial" w:hAnsi="Arial" w:cs="Arial"/>
          <w:b/>
          <w:bCs/>
          <w:sz w:val="22"/>
          <w:szCs w:val="22"/>
        </w:rPr>
        <w:t>COMMISSION ON AUDIT</w:t>
      </w:r>
    </w:p>
    <w:p w14:paraId="5F6F363C" w14:textId="2E9DD2D9" w:rsidR="00675431" w:rsidRPr="0089678E" w:rsidRDefault="00E60805" w:rsidP="00E60805">
      <w:pPr>
        <w:ind w:hanging="270"/>
        <w:jc w:val="both"/>
        <w:rPr>
          <w:rFonts w:ascii="Arial" w:hAnsi="Arial" w:cs="Arial"/>
          <w:sz w:val="22"/>
          <w:szCs w:val="22"/>
        </w:rPr>
      </w:pPr>
      <w:r w:rsidRPr="00E60805">
        <w:rPr>
          <w:noProof/>
        </w:rPr>
        <w:drawing>
          <wp:inline distT="0" distB="0" distL="0" distR="0" wp14:anchorId="77AE95F0" wp14:editId="7FBB007C">
            <wp:extent cx="4524375" cy="1381125"/>
            <wp:effectExtent l="0" t="0" r="9525" b="9525"/>
            <wp:docPr id="2" name="Picture 2" descr="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gnatur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24375" cy="1381125"/>
                    </a:xfrm>
                    <a:prstGeom prst="rect">
                      <a:avLst/>
                    </a:prstGeom>
                    <a:noFill/>
                    <a:ln>
                      <a:noFill/>
                    </a:ln>
                  </pic:spPr>
                </pic:pic>
              </a:graphicData>
            </a:graphic>
          </wp:inline>
        </w:drawing>
      </w:r>
    </w:p>
    <w:p w14:paraId="48808D3D" w14:textId="77777777" w:rsidR="00540A23" w:rsidRPr="0089678E" w:rsidRDefault="00540A23" w:rsidP="00473602">
      <w:pPr>
        <w:jc w:val="both"/>
        <w:rPr>
          <w:rFonts w:ascii="Arial" w:hAnsi="Arial" w:cs="Arial"/>
          <w:sz w:val="22"/>
          <w:szCs w:val="22"/>
        </w:rPr>
      </w:pPr>
      <w:r w:rsidRPr="0089678E">
        <w:rPr>
          <w:rFonts w:ascii="Arial" w:hAnsi="Arial" w:cs="Arial"/>
          <w:sz w:val="22"/>
          <w:szCs w:val="22"/>
        </w:rPr>
        <w:tab/>
      </w:r>
    </w:p>
    <w:p w14:paraId="06B73727" w14:textId="77777777" w:rsidR="00BC62EB" w:rsidRPr="0089678E" w:rsidRDefault="00BC62EB" w:rsidP="00473602">
      <w:pPr>
        <w:jc w:val="both"/>
        <w:rPr>
          <w:rFonts w:ascii="Arial" w:hAnsi="Arial" w:cs="Arial"/>
          <w:sz w:val="22"/>
          <w:szCs w:val="22"/>
        </w:rPr>
      </w:pPr>
    </w:p>
    <w:p w14:paraId="3DCB8C6A" w14:textId="77777777" w:rsidR="0066732D" w:rsidRPr="0089678E" w:rsidRDefault="00AA07E0" w:rsidP="00473602">
      <w:pPr>
        <w:jc w:val="both"/>
        <w:rPr>
          <w:rFonts w:ascii="Arial" w:hAnsi="Arial" w:cs="Arial"/>
          <w:sz w:val="22"/>
          <w:szCs w:val="22"/>
        </w:rPr>
      </w:pPr>
      <w:r w:rsidRPr="0089678E">
        <w:rPr>
          <w:rFonts w:ascii="Arial" w:hAnsi="Arial" w:cs="Arial"/>
          <w:sz w:val="22"/>
          <w:szCs w:val="22"/>
        </w:rPr>
        <w:t xml:space="preserve">August </w:t>
      </w:r>
      <w:r w:rsidR="001A2A9D" w:rsidRPr="0089678E">
        <w:rPr>
          <w:rFonts w:ascii="Arial" w:hAnsi="Arial" w:cs="Arial"/>
          <w:sz w:val="22"/>
          <w:szCs w:val="22"/>
        </w:rPr>
        <w:t>20</w:t>
      </w:r>
      <w:r w:rsidR="00A46DD1" w:rsidRPr="0089678E">
        <w:rPr>
          <w:rFonts w:ascii="Arial" w:hAnsi="Arial" w:cs="Arial"/>
          <w:sz w:val="22"/>
          <w:szCs w:val="22"/>
        </w:rPr>
        <w:t>, 20</w:t>
      </w:r>
      <w:r w:rsidRPr="0089678E">
        <w:rPr>
          <w:rFonts w:ascii="Arial" w:hAnsi="Arial" w:cs="Arial"/>
          <w:sz w:val="22"/>
          <w:szCs w:val="22"/>
        </w:rPr>
        <w:t>20</w:t>
      </w:r>
    </w:p>
    <w:p w14:paraId="44D68FA8" w14:textId="77777777" w:rsidR="00AE6B11" w:rsidRPr="00F84FE0" w:rsidRDefault="00AE6B11" w:rsidP="005130F0">
      <w:pPr>
        <w:rPr>
          <w:rFonts w:ascii="Arial" w:hAnsi="Arial" w:cs="Arial"/>
          <w:color w:val="FF0000"/>
          <w:sz w:val="22"/>
          <w:szCs w:val="22"/>
        </w:rPr>
      </w:pPr>
    </w:p>
    <w:p w14:paraId="7651EF01" w14:textId="77777777" w:rsidR="00DF5C5B" w:rsidRPr="00F84FE0" w:rsidRDefault="00DF5C5B" w:rsidP="005130F0">
      <w:pPr>
        <w:rPr>
          <w:rFonts w:ascii="Arial" w:hAnsi="Arial" w:cs="Arial"/>
          <w:sz w:val="22"/>
          <w:szCs w:val="22"/>
        </w:rPr>
      </w:pPr>
    </w:p>
    <w:sectPr w:rsidR="00DF5C5B" w:rsidRPr="00F84FE0" w:rsidSect="000320C6">
      <w:pgSz w:w="12240" w:h="15840" w:code="1"/>
      <w:pgMar w:top="864" w:right="1440" w:bottom="1440" w:left="1440" w:header="720" w:footer="720" w:gutter="72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F5C39F" w14:textId="77777777" w:rsidR="00163966" w:rsidRDefault="00163966" w:rsidP="004D3E28">
      <w:r>
        <w:separator/>
      </w:r>
    </w:p>
  </w:endnote>
  <w:endnote w:type="continuationSeparator" w:id="0">
    <w:p w14:paraId="211DB01F" w14:textId="77777777" w:rsidR="00163966" w:rsidRDefault="00163966" w:rsidP="004D3E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2F9F6A" w14:textId="77777777" w:rsidR="00163966" w:rsidRDefault="00163966" w:rsidP="004D3E28">
      <w:r>
        <w:separator/>
      </w:r>
    </w:p>
  </w:footnote>
  <w:footnote w:type="continuationSeparator" w:id="0">
    <w:p w14:paraId="552D7480" w14:textId="77777777" w:rsidR="00163966" w:rsidRDefault="00163966" w:rsidP="004D3E2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90DB3"/>
    <w:multiLevelType w:val="hybridMultilevel"/>
    <w:tmpl w:val="607AAF9C"/>
    <w:lvl w:ilvl="0" w:tplc="FBDA7CE2">
      <w:start w:val="1"/>
      <w:numFmt w:val="bullet"/>
      <w:lvlText w:val="-"/>
      <w:lvlJc w:val="left"/>
      <w:pPr>
        <w:ind w:left="1080" w:hanging="360"/>
      </w:pPr>
      <w:rPr>
        <w:rFonts w:ascii="Arial" w:eastAsia="Times New Roman" w:hAnsi="Arial" w:cs="Arial" w:hint="default"/>
      </w:rPr>
    </w:lvl>
    <w:lvl w:ilvl="1" w:tplc="34090003" w:tentative="1">
      <w:start w:val="1"/>
      <w:numFmt w:val="bullet"/>
      <w:lvlText w:val="o"/>
      <w:lvlJc w:val="left"/>
      <w:pPr>
        <w:ind w:left="1800" w:hanging="360"/>
      </w:pPr>
      <w:rPr>
        <w:rFonts w:ascii="Courier New" w:hAnsi="Courier New" w:cs="Courier New" w:hint="default"/>
      </w:rPr>
    </w:lvl>
    <w:lvl w:ilvl="2" w:tplc="34090005" w:tentative="1">
      <w:start w:val="1"/>
      <w:numFmt w:val="bullet"/>
      <w:lvlText w:val=""/>
      <w:lvlJc w:val="left"/>
      <w:pPr>
        <w:ind w:left="2520" w:hanging="360"/>
      </w:pPr>
      <w:rPr>
        <w:rFonts w:ascii="Wingdings" w:hAnsi="Wingdings" w:hint="default"/>
      </w:rPr>
    </w:lvl>
    <w:lvl w:ilvl="3" w:tplc="34090001" w:tentative="1">
      <w:start w:val="1"/>
      <w:numFmt w:val="bullet"/>
      <w:lvlText w:val=""/>
      <w:lvlJc w:val="left"/>
      <w:pPr>
        <w:ind w:left="3240" w:hanging="360"/>
      </w:pPr>
      <w:rPr>
        <w:rFonts w:ascii="Symbol" w:hAnsi="Symbol" w:hint="default"/>
      </w:rPr>
    </w:lvl>
    <w:lvl w:ilvl="4" w:tplc="34090003" w:tentative="1">
      <w:start w:val="1"/>
      <w:numFmt w:val="bullet"/>
      <w:lvlText w:val="o"/>
      <w:lvlJc w:val="left"/>
      <w:pPr>
        <w:ind w:left="3960" w:hanging="360"/>
      </w:pPr>
      <w:rPr>
        <w:rFonts w:ascii="Courier New" w:hAnsi="Courier New" w:cs="Courier New" w:hint="default"/>
      </w:rPr>
    </w:lvl>
    <w:lvl w:ilvl="5" w:tplc="34090005" w:tentative="1">
      <w:start w:val="1"/>
      <w:numFmt w:val="bullet"/>
      <w:lvlText w:val=""/>
      <w:lvlJc w:val="left"/>
      <w:pPr>
        <w:ind w:left="4680" w:hanging="360"/>
      </w:pPr>
      <w:rPr>
        <w:rFonts w:ascii="Wingdings" w:hAnsi="Wingdings" w:hint="default"/>
      </w:rPr>
    </w:lvl>
    <w:lvl w:ilvl="6" w:tplc="34090001" w:tentative="1">
      <w:start w:val="1"/>
      <w:numFmt w:val="bullet"/>
      <w:lvlText w:val=""/>
      <w:lvlJc w:val="left"/>
      <w:pPr>
        <w:ind w:left="5400" w:hanging="360"/>
      </w:pPr>
      <w:rPr>
        <w:rFonts w:ascii="Symbol" w:hAnsi="Symbol" w:hint="default"/>
      </w:rPr>
    </w:lvl>
    <w:lvl w:ilvl="7" w:tplc="34090003" w:tentative="1">
      <w:start w:val="1"/>
      <w:numFmt w:val="bullet"/>
      <w:lvlText w:val="o"/>
      <w:lvlJc w:val="left"/>
      <w:pPr>
        <w:ind w:left="6120" w:hanging="360"/>
      </w:pPr>
      <w:rPr>
        <w:rFonts w:ascii="Courier New" w:hAnsi="Courier New" w:cs="Courier New" w:hint="default"/>
      </w:rPr>
    </w:lvl>
    <w:lvl w:ilvl="8" w:tplc="34090005" w:tentative="1">
      <w:start w:val="1"/>
      <w:numFmt w:val="bullet"/>
      <w:lvlText w:val=""/>
      <w:lvlJc w:val="left"/>
      <w:pPr>
        <w:ind w:left="6840" w:hanging="360"/>
      </w:pPr>
      <w:rPr>
        <w:rFonts w:ascii="Wingdings" w:hAnsi="Wingdings" w:hint="default"/>
      </w:rPr>
    </w:lvl>
  </w:abstractNum>
  <w:abstractNum w:abstractNumId="1">
    <w:nsid w:val="0C683345"/>
    <w:multiLevelType w:val="hybridMultilevel"/>
    <w:tmpl w:val="7834D648"/>
    <w:lvl w:ilvl="0" w:tplc="8FE83DC0">
      <w:start w:val="1"/>
      <w:numFmt w:val="upperLetter"/>
      <w:lvlText w:val="%1."/>
      <w:lvlJc w:val="left"/>
      <w:pPr>
        <w:ind w:left="900" w:hanging="360"/>
      </w:pPr>
      <w:rPr>
        <w:rFonts w:hint="default"/>
      </w:rPr>
    </w:lvl>
    <w:lvl w:ilvl="1" w:tplc="34090019" w:tentative="1">
      <w:start w:val="1"/>
      <w:numFmt w:val="lowerLetter"/>
      <w:lvlText w:val="%2."/>
      <w:lvlJc w:val="left"/>
      <w:pPr>
        <w:ind w:left="1620" w:hanging="360"/>
      </w:pPr>
    </w:lvl>
    <w:lvl w:ilvl="2" w:tplc="3409001B" w:tentative="1">
      <w:start w:val="1"/>
      <w:numFmt w:val="lowerRoman"/>
      <w:lvlText w:val="%3."/>
      <w:lvlJc w:val="right"/>
      <w:pPr>
        <w:ind w:left="2340" w:hanging="180"/>
      </w:pPr>
    </w:lvl>
    <w:lvl w:ilvl="3" w:tplc="3409000F" w:tentative="1">
      <w:start w:val="1"/>
      <w:numFmt w:val="decimal"/>
      <w:lvlText w:val="%4."/>
      <w:lvlJc w:val="left"/>
      <w:pPr>
        <w:ind w:left="3060" w:hanging="360"/>
      </w:pPr>
    </w:lvl>
    <w:lvl w:ilvl="4" w:tplc="34090019" w:tentative="1">
      <w:start w:val="1"/>
      <w:numFmt w:val="lowerLetter"/>
      <w:lvlText w:val="%5."/>
      <w:lvlJc w:val="left"/>
      <w:pPr>
        <w:ind w:left="3780" w:hanging="360"/>
      </w:pPr>
    </w:lvl>
    <w:lvl w:ilvl="5" w:tplc="3409001B" w:tentative="1">
      <w:start w:val="1"/>
      <w:numFmt w:val="lowerRoman"/>
      <w:lvlText w:val="%6."/>
      <w:lvlJc w:val="right"/>
      <w:pPr>
        <w:ind w:left="4500" w:hanging="180"/>
      </w:pPr>
    </w:lvl>
    <w:lvl w:ilvl="6" w:tplc="3409000F" w:tentative="1">
      <w:start w:val="1"/>
      <w:numFmt w:val="decimal"/>
      <w:lvlText w:val="%7."/>
      <w:lvlJc w:val="left"/>
      <w:pPr>
        <w:ind w:left="5220" w:hanging="360"/>
      </w:pPr>
    </w:lvl>
    <w:lvl w:ilvl="7" w:tplc="34090019" w:tentative="1">
      <w:start w:val="1"/>
      <w:numFmt w:val="lowerLetter"/>
      <w:lvlText w:val="%8."/>
      <w:lvlJc w:val="left"/>
      <w:pPr>
        <w:ind w:left="5940" w:hanging="360"/>
      </w:pPr>
    </w:lvl>
    <w:lvl w:ilvl="8" w:tplc="3409001B" w:tentative="1">
      <w:start w:val="1"/>
      <w:numFmt w:val="lowerRoman"/>
      <w:lvlText w:val="%9."/>
      <w:lvlJc w:val="right"/>
      <w:pPr>
        <w:ind w:left="6660" w:hanging="180"/>
      </w:pPr>
    </w:lvl>
  </w:abstractNum>
  <w:abstractNum w:abstractNumId="2">
    <w:nsid w:val="17E143E9"/>
    <w:multiLevelType w:val="hybridMultilevel"/>
    <w:tmpl w:val="A9C0985C"/>
    <w:lvl w:ilvl="0" w:tplc="974E1D3A">
      <w:start w:val="1"/>
      <w:numFmt w:val="lowerLetter"/>
      <w:lvlText w:val="%1."/>
      <w:lvlJc w:val="left"/>
      <w:pPr>
        <w:ind w:left="1440" w:hanging="360"/>
      </w:pPr>
      <w:rPr>
        <w:rFonts w:hint="default"/>
        <w:sz w:val="22"/>
      </w:r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3">
    <w:nsid w:val="26FA73C2"/>
    <w:multiLevelType w:val="hybridMultilevel"/>
    <w:tmpl w:val="FC445DC8"/>
    <w:lvl w:ilvl="0" w:tplc="FE68A686">
      <w:start w:val="1"/>
      <w:numFmt w:val="decimal"/>
      <w:lvlText w:val="%1)"/>
      <w:lvlJc w:val="left"/>
      <w:pPr>
        <w:ind w:left="720" w:hanging="360"/>
      </w:pPr>
      <w:rPr>
        <w:rFonts w:eastAsia="Arial" w:hint="default"/>
        <w:color w:val="auto"/>
        <w:sz w:val="24"/>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
    <w:nsid w:val="2A006B98"/>
    <w:multiLevelType w:val="hybridMultilevel"/>
    <w:tmpl w:val="FC3C3290"/>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
    <w:nsid w:val="65FF30E0"/>
    <w:multiLevelType w:val="hybridMultilevel"/>
    <w:tmpl w:val="DD7A3DE2"/>
    <w:lvl w:ilvl="0" w:tplc="5570F9CE">
      <w:start w:val="1"/>
      <w:numFmt w:val="upperLetter"/>
      <w:lvlText w:val="%1."/>
      <w:lvlJc w:val="left"/>
      <w:pPr>
        <w:ind w:left="540" w:hanging="360"/>
      </w:pPr>
      <w:rPr>
        <w:rFonts w:hint="default"/>
      </w:rPr>
    </w:lvl>
    <w:lvl w:ilvl="1" w:tplc="34090019" w:tentative="1">
      <w:start w:val="1"/>
      <w:numFmt w:val="lowerLetter"/>
      <w:lvlText w:val="%2."/>
      <w:lvlJc w:val="left"/>
      <w:pPr>
        <w:ind w:left="1260" w:hanging="360"/>
      </w:pPr>
    </w:lvl>
    <w:lvl w:ilvl="2" w:tplc="3409001B" w:tentative="1">
      <w:start w:val="1"/>
      <w:numFmt w:val="lowerRoman"/>
      <w:lvlText w:val="%3."/>
      <w:lvlJc w:val="right"/>
      <w:pPr>
        <w:ind w:left="1980" w:hanging="180"/>
      </w:pPr>
    </w:lvl>
    <w:lvl w:ilvl="3" w:tplc="3409000F" w:tentative="1">
      <w:start w:val="1"/>
      <w:numFmt w:val="decimal"/>
      <w:lvlText w:val="%4."/>
      <w:lvlJc w:val="left"/>
      <w:pPr>
        <w:ind w:left="2700" w:hanging="360"/>
      </w:pPr>
    </w:lvl>
    <w:lvl w:ilvl="4" w:tplc="34090019" w:tentative="1">
      <w:start w:val="1"/>
      <w:numFmt w:val="lowerLetter"/>
      <w:lvlText w:val="%5."/>
      <w:lvlJc w:val="left"/>
      <w:pPr>
        <w:ind w:left="3420" w:hanging="360"/>
      </w:pPr>
    </w:lvl>
    <w:lvl w:ilvl="5" w:tplc="3409001B" w:tentative="1">
      <w:start w:val="1"/>
      <w:numFmt w:val="lowerRoman"/>
      <w:lvlText w:val="%6."/>
      <w:lvlJc w:val="right"/>
      <w:pPr>
        <w:ind w:left="4140" w:hanging="180"/>
      </w:pPr>
    </w:lvl>
    <w:lvl w:ilvl="6" w:tplc="3409000F" w:tentative="1">
      <w:start w:val="1"/>
      <w:numFmt w:val="decimal"/>
      <w:lvlText w:val="%7."/>
      <w:lvlJc w:val="left"/>
      <w:pPr>
        <w:ind w:left="4860" w:hanging="360"/>
      </w:pPr>
    </w:lvl>
    <w:lvl w:ilvl="7" w:tplc="34090019" w:tentative="1">
      <w:start w:val="1"/>
      <w:numFmt w:val="lowerLetter"/>
      <w:lvlText w:val="%8."/>
      <w:lvlJc w:val="left"/>
      <w:pPr>
        <w:ind w:left="5580" w:hanging="360"/>
      </w:pPr>
    </w:lvl>
    <w:lvl w:ilvl="8" w:tplc="3409001B" w:tentative="1">
      <w:start w:val="1"/>
      <w:numFmt w:val="lowerRoman"/>
      <w:lvlText w:val="%9."/>
      <w:lvlJc w:val="right"/>
      <w:pPr>
        <w:ind w:left="6300" w:hanging="180"/>
      </w:pPr>
    </w:lvl>
  </w:abstractNum>
  <w:abstractNum w:abstractNumId="6">
    <w:nsid w:val="6A615119"/>
    <w:multiLevelType w:val="hybridMultilevel"/>
    <w:tmpl w:val="4A46F776"/>
    <w:lvl w:ilvl="0" w:tplc="02A6F05E">
      <w:start w:val="1"/>
      <w:numFmt w:val="decimal"/>
      <w:lvlText w:val="%1)"/>
      <w:lvlJc w:val="left"/>
      <w:pPr>
        <w:ind w:left="720" w:hanging="360"/>
      </w:pPr>
      <w:rPr>
        <w:rFonts w:eastAsia="Arial" w:hint="default"/>
        <w:color w:val="auto"/>
        <w:sz w:val="22"/>
        <w:szCs w:val="22"/>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7">
    <w:nsid w:val="70995E66"/>
    <w:multiLevelType w:val="hybridMultilevel"/>
    <w:tmpl w:val="59A8D5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7FF1281A"/>
    <w:multiLevelType w:val="multilevel"/>
    <w:tmpl w:val="EB0A76EC"/>
    <w:lvl w:ilvl="0">
      <w:start w:val="1"/>
      <w:numFmt w:val="decimal"/>
      <w:lvlText w:val="%1."/>
      <w:lvlJc w:val="left"/>
      <w:pPr>
        <w:ind w:left="720" w:hanging="360"/>
      </w:pPr>
      <w:rPr>
        <w:rFonts w:ascii="Arial" w:eastAsia="SimSun" w:hAnsi="Arial" w:cs="Arial" w:hint="default"/>
        <w:b w:val="0"/>
        <w:color w:val="000000"/>
        <w:sz w:val="22"/>
        <w:szCs w:val="22"/>
      </w:rPr>
    </w:lvl>
    <w:lvl w:ilvl="1">
      <w:start w:val="1"/>
      <w:numFmt w:val="decimal"/>
      <w:isLgl/>
      <w:lvlText w:val="%1.%2"/>
      <w:lvlJc w:val="left"/>
      <w:pPr>
        <w:ind w:left="720" w:hanging="360"/>
      </w:pPr>
      <w:rPr>
        <w:rFonts w:ascii="Arial" w:hAnsi="Arial" w:cs="Arial" w:hint="default"/>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5"/>
  </w:num>
  <w:num w:numId="2">
    <w:abstractNumId w:val="1"/>
  </w:num>
  <w:num w:numId="3">
    <w:abstractNumId w:val="4"/>
  </w:num>
  <w:num w:numId="4">
    <w:abstractNumId w:val="7"/>
  </w:num>
  <w:num w:numId="5">
    <w:abstractNumId w:val="8"/>
  </w:num>
  <w:num w:numId="6">
    <w:abstractNumId w:val="2"/>
  </w:num>
  <w:num w:numId="7">
    <w:abstractNumId w:val="3"/>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7ccSonD/JvvBwHUk6wIB0Y1InPjfpPMOTUAMU6h/3ujcLiQKAMMsQlaurv8fA/AdxTTHNoieIWSntRuM69yayQ==" w:salt="gv4+dXXUpFagPqA0WhcIhQ=="/>
  <w:defaultTabStop w:val="720"/>
  <w:drawingGridHorizontalSpacing w:val="120"/>
  <w:displayHorizontalDrawingGridEvery w:val="2"/>
  <w:displayVertic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65E"/>
    <w:rsid w:val="00012CE5"/>
    <w:rsid w:val="0002355A"/>
    <w:rsid w:val="000320C6"/>
    <w:rsid w:val="0003359A"/>
    <w:rsid w:val="000456CF"/>
    <w:rsid w:val="0006285C"/>
    <w:rsid w:val="000664DD"/>
    <w:rsid w:val="00071913"/>
    <w:rsid w:val="00086A2C"/>
    <w:rsid w:val="00086B84"/>
    <w:rsid w:val="000903DD"/>
    <w:rsid w:val="000979B6"/>
    <w:rsid w:val="000A63DE"/>
    <w:rsid w:val="000B6DB9"/>
    <w:rsid w:val="000E630D"/>
    <w:rsid w:val="00100650"/>
    <w:rsid w:val="00102BE2"/>
    <w:rsid w:val="00104D4B"/>
    <w:rsid w:val="00112E9B"/>
    <w:rsid w:val="00117879"/>
    <w:rsid w:val="001259E5"/>
    <w:rsid w:val="00135444"/>
    <w:rsid w:val="00156D28"/>
    <w:rsid w:val="00163966"/>
    <w:rsid w:val="00171784"/>
    <w:rsid w:val="0017265E"/>
    <w:rsid w:val="00174DEB"/>
    <w:rsid w:val="001805B9"/>
    <w:rsid w:val="00181A45"/>
    <w:rsid w:val="001A002B"/>
    <w:rsid w:val="001A25A1"/>
    <w:rsid w:val="001A2A9D"/>
    <w:rsid w:val="001B1030"/>
    <w:rsid w:val="001C0706"/>
    <w:rsid w:val="001C0C01"/>
    <w:rsid w:val="001C4CAD"/>
    <w:rsid w:val="001C7F8E"/>
    <w:rsid w:val="001D6056"/>
    <w:rsid w:val="001D65A5"/>
    <w:rsid w:val="001D7504"/>
    <w:rsid w:val="001E08D9"/>
    <w:rsid w:val="001F45A3"/>
    <w:rsid w:val="001F5659"/>
    <w:rsid w:val="001F5CDB"/>
    <w:rsid w:val="002007E4"/>
    <w:rsid w:val="0020096D"/>
    <w:rsid w:val="00215063"/>
    <w:rsid w:val="0021650A"/>
    <w:rsid w:val="00222708"/>
    <w:rsid w:val="00224FB6"/>
    <w:rsid w:val="00234BBF"/>
    <w:rsid w:val="002377CE"/>
    <w:rsid w:val="0024145C"/>
    <w:rsid w:val="002475BC"/>
    <w:rsid w:val="002643AC"/>
    <w:rsid w:val="00275F20"/>
    <w:rsid w:val="002765AF"/>
    <w:rsid w:val="00282F06"/>
    <w:rsid w:val="002969FE"/>
    <w:rsid w:val="002B5D87"/>
    <w:rsid w:val="002B6435"/>
    <w:rsid w:val="002C4288"/>
    <w:rsid w:val="002D0E88"/>
    <w:rsid w:val="002D1039"/>
    <w:rsid w:val="00300F81"/>
    <w:rsid w:val="003050F8"/>
    <w:rsid w:val="0030591A"/>
    <w:rsid w:val="00316C79"/>
    <w:rsid w:val="0032134D"/>
    <w:rsid w:val="00322E50"/>
    <w:rsid w:val="003244AE"/>
    <w:rsid w:val="003357B4"/>
    <w:rsid w:val="00351E8E"/>
    <w:rsid w:val="003520F9"/>
    <w:rsid w:val="00374633"/>
    <w:rsid w:val="003810F5"/>
    <w:rsid w:val="00381BD7"/>
    <w:rsid w:val="00395162"/>
    <w:rsid w:val="003A0387"/>
    <w:rsid w:val="003E1937"/>
    <w:rsid w:val="003E3562"/>
    <w:rsid w:val="003F0378"/>
    <w:rsid w:val="003F17A0"/>
    <w:rsid w:val="00411143"/>
    <w:rsid w:val="00420114"/>
    <w:rsid w:val="00422662"/>
    <w:rsid w:val="004401EB"/>
    <w:rsid w:val="00444ADD"/>
    <w:rsid w:val="00451FB8"/>
    <w:rsid w:val="00463FC7"/>
    <w:rsid w:val="00472D9C"/>
    <w:rsid w:val="00473602"/>
    <w:rsid w:val="00474CAC"/>
    <w:rsid w:val="0047792E"/>
    <w:rsid w:val="00480288"/>
    <w:rsid w:val="004815E0"/>
    <w:rsid w:val="00483921"/>
    <w:rsid w:val="004A3F56"/>
    <w:rsid w:val="004A4D20"/>
    <w:rsid w:val="004A58D9"/>
    <w:rsid w:val="004B34D9"/>
    <w:rsid w:val="004B4645"/>
    <w:rsid w:val="004B4CF6"/>
    <w:rsid w:val="004B5104"/>
    <w:rsid w:val="004C7734"/>
    <w:rsid w:val="004D3E28"/>
    <w:rsid w:val="004E2202"/>
    <w:rsid w:val="004E34DD"/>
    <w:rsid w:val="004F7A4D"/>
    <w:rsid w:val="00506796"/>
    <w:rsid w:val="005130F0"/>
    <w:rsid w:val="00514144"/>
    <w:rsid w:val="005164A2"/>
    <w:rsid w:val="00527A8A"/>
    <w:rsid w:val="00530B0A"/>
    <w:rsid w:val="00532F68"/>
    <w:rsid w:val="00535842"/>
    <w:rsid w:val="00535A67"/>
    <w:rsid w:val="0053720B"/>
    <w:rsid w:val="00540A23"/>
    <w:rsid w:val="00542C6C"/>
    <w:rsid w:val="005446D7"/>
    <w:rsid w:val="00545C46"/>
    <w:rsid w:val="00546298"/>
    <w:rsid w:val="005602F2"/>
    <w:rsid w:val="005651EB"/>
    <w:rsid w:val="00566A76"/>
    <w:rsid w:val="005764ED"/>
    <w:rsid w:val="00583662"/>
    <w:rsid w:val="00586402"/>
    <w:rsid w:val="00594826"/>
    <w:rsid w:val="005A52A3"/>
    <w:rsid w:val="005B767D"/>
    <w:rsid w:val="005C1077"/>
    <w:rsid w:val="005E7F87"/>
    <w:rsid w:val="00600A90"/>
    <w:rsid w:val="00600C4D"/>
    <w:rsid w:val="0061328C"/>
    <w:rsid w:val="006301E8"/>
    <w:rsid w:val="00635B70"/>
    <w:rsid w:val="0065128E"/>
    <w:rsid w:val="0066166B"/>
    <w:rsid w:val="00664013"/>
    <w:rsid w:val="006653BE"/>
    <w:rsid w:val="0066732D"/>
    <w:rsid w:val="006673BD"/>
    <w:rsid w:val="00675431"/>
    <w:rsid w:val="006845EA"/>
    <w:rsid w:val="00685A45"/>
    <w:rsid w:val="00686CE9"/>
    <w:rsid w:val="006976B0"/>
    <w:rsid w:val="006A200A"/>
    <w:rsid w:val="006A5FA2"/>
    <w:rsid w:val="006B3D20"/>
    <w:rsid w:val="006C07BC"/>
    <w:rsid w:val="006C4D0D"/>
    <w:rsid w:val="006E605A"/>
    <w:rsid w:val="00704858"/>
    <w:rsid w:val="00711ABB"/>
    <w:rsid w:val="00712A27"/>
    <w:rsid w:val="00713C00"/>
    <w:rsid w:val="007144AF"/>
    <w:rsid w:val="0072598B"/>
    <w:rsid w:val="00734325"/>
    <w:rsid w:val="00737A8E"/>
    <w:rsid w:val="00743966"/>
    <w:rsid w:val="00757E03"/>
    <w:rsid w:val="00777762"/>
    <w:rsid w:val="007906B1"/>
    <w:rsid w:val="007952F3"/>
    <w:rsid w:val="007A705F"/>
    <w:rsid w:val="007B0394"/>
    <w:rsid w:val="007B1D8D"/>
    <w:rsid w:val="007C759D"/>
    <w:rsid w:val="007E6162"/>
    <w:rsid w:val="007F22E7"/>
    <w:rsid w:val="00806263"/>
    <w:rsid w:val="008206B2"/>
    <w:rsid w:val="008239CD"/>
    <w:rsid w:val="00827CF3"/>
    <w:rsid w:val="0083769A"/>
    <w:rsid w:val="00855AC7"/>
    <w:rsid w:val="00857049"/>
    <w:rsid w:val="0086486F"/>
    <w:rsid w:val="00874505"/>
    <w:rsid w:val="00874D1F"/>
    <w:rsid w:val="00877F21"/>
    <w:rsid w:val="00885D0D"/>
    <w:rsid w:val="0089678E"/>
    <w:rsid w:val="008A0F30"/>
    <w:rsid w:val="008A7400"/>
    <w:rsid w:val="008C0152"/>
    <w:rsid w:val="008C6D27"/>
    <w:rsid w:val="008D3183"/>
    <w:rsid w:val="008E3461"/>
    <w:rsid w:val="008E513D"/>
    <w:rsid w:val="008F6D5E"/>
    <w:rsid w:val="00944D44"/>
    <w:rsid w:val="00963282"/>
    <w:rsid w:val="00974D50"/>
    <w:rsid w:val="009818AD"/>
    <w:rsid w:val="009834C4"/>
    <w:rsid w:val="0099591F"/>
    <w:rsid w:val="00995D58"/>
    <w:rsid w:val="009B3163"/>
    <w:rsid w:val="009B3262"/>
    <w:rsid w:val="009B362F"/>
    <w:rsid w:val="009B59D6"/>
    <w:rsid w:val="009C6048"/>
    <w:rsid w:val="009E621A"/>
    <w:rsid w:val="009F483D"/>
    <w:rsid w:val="00A00297"/>
    <w:rsid w:val="00A10BFB"/>
    <w:rsid w:val="00A1264E"/>
    <w:rsid w:val="00A26D62"/>
    <w:rsid w:val="00A318B1"/>
    <w:rsid w:val="00A31BB5"/>
    <w:rsid w:val="00A36B28"/>
    <w:rsid w:val="00A43BBE"/>
    <w:rsid w:val="00A45EA2"/>
    <w:rsid w:val="00A46DD1"/>
    <w:rsid w:val="00A47FFA"/>
    <w:rsid w:val="00A64262"/>
    <w:rsid w:val="00A67C9E"/>
    <w:rsid w:val="00A74CE4"/>
    <w:rsid w:val="00AA07E0"/>
    <w:rsid w:val="00AB53DB"/>
    <w:rsid w:val="00AB7418"/>
    <w:rsid w:val="00AC0461"/>
    <w:rsid w:val="00AC7F33"/>
    <w:rsid w:val="00AE6B11"/>
    <w:rsid w:val="00AF32CA"/>
    <w:rsid w:val="00B008F6"/>
    <w:rsid w:val="00B0240A"/>
    <w:rsid w:val="00B06614"/>
    <w:rsid w:val="00B07844"/>
    <w:rsid w:val="00B124B4"/>
    <w:rsid w:val="00B15585"/>
    <w:rsid w:val="00B225C7"/>
    <w:rsid w:val="00B37E19"/>
    <w:rsid w:val="00B404DD"/>
    <w:rsid w:val="00B40F92"/>
    <w:rsid w:val="00B43819"/>
    <w:rsid w:val="00B456E4"/>
    <w:rsid w:val="00B46096"/>
    <w:rsid w:val="00B53288"/>
    <w:rsid w:val="00B5408A"/>
    <w:rsid w:val="00B674F8"/>
    <w:rsid w:val="00B765E9"/>
    <w:rsid w:val="00B76968"/>
    <w:rsid w:val="00B81A86"/>
    <w:rsid w:val="00B95A8B"/>
    <w:rsid w:val="00BA57E3"/>
    <w:rsid w:val="00BA6020"/>
    <w:rsid w:val="00BA6A6E"/>
    <w:rsid w:val="00BB2381"/>
    <w:rsid w:val="00BB26CB"/>
    <w:rsid w:val="00BC48C2"/>
    <w:rsid w:val="00BC62EB"/>
    <w:rsid w:val="00BC7950"/>
    <w:rsid w:val="00BD0EBE"/>
    <w:rsid w:val="00BD10D2"/>
    <w:rsid w:val="00BD24C6"/>
    <w:rsid w:val="00BD3DE3"/>
    <w:rsid w:val="00BE24FC"/>
    <w:rsid w:val="00BF7397"/>
    <w:rsid w:val="00C03D24"/>
    <w:rsid w:val="00C1130E"/>
    <w:rsid w:val="00C13DB6"/>
    <w:rsid w:val="00C16493"/>
    <w:rsid w:val="00C26B1B"/>
    <w:rsid w:val="00C31A63"/>
    <w:rsid w:val="00C339D1"/>
    <w:rsid w:val="00C35E22"/>
    <w:rsid w:val="00C37196"/>
    <w:rsid w:val="00C37A61"/>
    <w:rsid w:val="00C4220B"/>
    <w:rsid w:val="00C51A59"/>
    <w:rsid w:val="00C533DD"/>
    <w:rsid w:val="00C6564A"/>
    <w:rsid w:val="00C70F7A"/>
    <w:rsid w:val="00C9598E"/>
    <w:rsid w:val="00CA2269"/>
    <w:rsid w:val="00CA7F83"/>
    <w:rsid w:val="00CB53C3"/>
    <w:rsid w:val="00CD17C0"/>
    <w:rsid w:val="00CD192C"/>
    <w:rsid w:val="00CE11DD"/>
    <w:rsid w:val="00CE7CDA"/>
    <w:rsid w:val="00D27992"/>
    <w:rsid w:val="00D27BDE"/>
    <w:rsid w:val="00D333AB"/>
    <w:rsid w:val="00D4596F"/>
    <w:rsid w:val="00D508C2"/>
    <w:rsid w:val="00D60B5B"/>
    <w:rsid w:val="00D71FD3"/>
    <w:rsid w:val="00D95E74"/>
    <w:rsid w:val="00D97A77"/>
    <w:rsid w:val="00DA36A5"/>
    <w:rsid w:val="00DA5884"/>
    <w:rsid w:val="00DB1137"/>
    <w:rsid w:val="00DB1972"/>
    <w:rsid w:val="00DB6680"/>
    <w:rsid w:val="00DC2D5D"/>
    <w:rsid w:val="00DC2F9D"/>
    <w:rsid w:val="00DC3841"/>
    <w:rsid w:val="00DC4F85"/>
    <w:rsid w:val="00DF5C5B"/>
    <w:rsid w:val="00E0235C"/>
    <w:rsid w:val="00E03F7D"/>
    <w:rsid w:val="00E05887"/>
    <w:rsid w:val="00E06DF4"/>
    <w:rsid w:val="00E17074"/>
    <w:rsid w:val="00E21ED5"/>
    <w:rsid w:val="00E23A5E"/>
    <w:rsid w:val="00E2733C"/>
    <w:rsid w:val="00E277AC"/>
    <w:rsid w:val="00E345D7"/>
    <w:rsid w:val="00E3560B"/>
    <w:rsid w:val="00E47BFD"/>
    <w:rsid w:val="00E5639E"/>
    <w:rsid w:val="00E60805"/>
    <w:rsid w:val="00E702B7"/>
    <w:rsid w:val="00E72886"/>
    <w:rsid w:val="00E75572"/>
    <w:rsid w:val="00E77FEC"/>
    <w:rsid w:val="00E844CA"/>
    <w:rsid w:val="00EA2F49"/>
    <w:rsid w:val="00EA3575"/>
    <w:rsid w:val="00EA4640"/>
    <w:rsid w:val="00EA5915"/>
    <w:rsid w:val="00EB0B3D"/>
    <w:rsid w:val="00EB2F72"/>
    <w:rsid w:val="00EC61A9"/>
    <w:rsid w:val="00EE72A0"/>
    <w:rsid w:val="00EF114A"/>
    <w:rsid w:val="00F02168"/>
    <w:rsid w:val="00F06672"/>
    <w:rsid w:val="00F139FA"/>
    <w:rsid w:val="00F51832"/>
    <w:rsid w:val="00F5373A"/>
    <w:rsid w:val="00F566C6"/>
    <w:rsid w:val="00F62539"/>
    <w:rsid w:val="00F84FE0"/>
    <w:rsid w:val="00F90B6E"/>
    <w:rsid w:val="00FA26E9"/>
    <w:rsid w:val="00FA416A"/>
    <w:rsid w:val="00FA4766"/>
    <w:rsid w:val="00FB1E92"/>
    <w:rsid w:val="00FB1F63"/>
    <w:rsid w:val="00FB4B70"/>
    <w:rsid w:val="00FB7951"/>
    <w:rsid w:val="00FB7CF0"/>
    <w:rsid w:val="00FE2666"/>
    <w:rsid w:val="00FE6875"/>
    <w:rsid w:val="00FE6C3B"/>
    <w:rsid w:val="00FF4C0C"/>
    <w:rsid w:val="00FF5CAD"/>
  </w:rsids>
  <m:mathPr>
    <m:mathFont m:val="Cambria Math"/>
    <m:brkBin m:val="before"/>
    <m:brkBinSub m:val="--"/>
    <m:smallFrac/>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33AE76A"/>
  <w15:chartTrackingRefBased/>
  <w15:docId w15:val="{C1152377-B7ED-405F-A50E-19D26D122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PH" w:eastAsia="en-P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5EA2"/>
    <w:rPr>
      <w:sz w:val="24"/>
      <w:szCs w:val="24"/>
      <w:lang w:val="en-US" w:eastAsia="en-US"/>
    </w:rPr>
  </w:style>
  <w:style w:type="paragraph" w:styleId="Heading1">
    <w:name w:val="heading 1"/>
    <w:basedOn w:val="Normal"/>
    <w:next w:val="Normal"/>
    <w:qFormat/>
    <w:rsid w:val="00A45EA2"/>
    <w:pPr>
      <w:keepNext/>
      <w:jc w:val="center"/>
      <w:outlineLvl w:val="0"/>
    </w:pPr>
    <w:rPr>
      <w:b/>
      <w:bCs/>
    </w:rPr>
  </w:style>
  <w:style w:type="paragraph" w:styleId="Heading2">
    <w:name w:val="heading 2"/>
    <w:basedOn w:val="Normal"/>
    <w:next w:val="Normal"/>
    <w:qFormat/>
    <w:rsid w:val="00A45EA2"/>
    <w:pPr>
      <w:keepNext/>
      <w:outlineLvl w:val="1"/>
    </w:pPr>
    <w:rPr>
      <w:b/>
      <w:bCs/>
    </w:rPr>
  </w:style>
  <w:style w:type="paragraph" w:styleId="Heading3">
    <w:name w:val="heading 3"/>
    <w:basedOn w:val="Normal"/>
    <w:next w:val="Normal"/>
    <w:qFormat/>
    <w:rsid w:val="00A45EA2"/>
    <w:pPr>
      <w:keepNext/>
      <w:ind w:left="4320" w:firstLine="720"/>
      <w:jc w:val="both"/>
      <w:outlineLvl w:val="2"/>
    </w:pPr>
    <w:rPr>
      <w:rFonts w:ascii="Arial" w:hAnsi="Arial" w:cs="Arial"/>
      <w:b/>
      <w:bCs/>
    </w:rPr>
  </w:style>
  <w:style w:type="paragraph" w:styleId="Heading6">
    <w:name w:val="heading 6"/>
    <w:basedOn w:val="Normal"/>
    <w:next w:val="Normal"/>
    <w:qFormat/>
    <w:rsid w:val="00A45EA2"/>
    <w:pPr>
      <w:keepNext/>
      <w:outlineLvl w:val="5"/>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45EA2"/>
    <w:pPr>
      <w:jc w:val="both"/>
    </w:pPr>
  </w:style>
  <w:style w:type="paragraph" w:styleId="Footer">
    <w:name w:val="footer"/>
    <w:basedOn w:val="Normal"/>
    <w:rsid w:val="00A45EA2"/>
    <w:pPr>
      <w:tabs>
        <w:tab w:val="center" w:pos="4320"/>
        <w:tab w:val="right" w:pos="8640"/>
      </w:tabs>
    </w:pPr>
  </w:style>
  <w:style w:type="paragraph" w:styleId="BalloonText">
    <w:name w:val="Balloon Text"/>
    <w:basedOn w:val="Normal"/>
    <w:semiHidden/>
    <w:rsid w:val="00A45EA2"/>
    <w:rPr>
      <w:rFonts w:ascii="Tahoma" w:hAnsi="Tahoma" w:cs="Tahoma"/>
      <w:sz w:val="16"/>
      <w:szCs w:val="16"/>
    </w:rPr>
  </w:style>
  <w:style w:type="paragraph" w:styleId="BodyTextIndent">
    <w:name w:val="Body Text Indent"/>
    <w:basedOn w:val="Normal"/>
    <w:rsid w:val="00A45EA2"/>
    <w:pPr>
      <w:ind w:firstLine="720"/>
      <w:jc w:val="both"/>
    </w:pPr>
    <w:rPr>
      <w:rFonts w:ascii="Arial" w:hAnsi="Arial" w:cs="Arial"/>
    </w:rPr>
  </w:style>
  <w:style w:type="paragraph" w:styleId="ListParagraph">
    <w:name w:val="List Paragraph"/>
    <w:aliases w:val="Resume Title,List Paragraph1"/>
    <w:basedOn w:val="Normal"/>
    <w:link w:val="ListParagraphChar"/>
    <w:uiPriority w:val="34"/>
    <w:qFormat/>
    <w:rsid w:val="00F5373A"/>
    <w:pPr>
      <w:ind w:left="720"/>
      <w:contextualSpacing/>
    </w:pPr>
    <w:rPr>
      <w:lang w:val="x-none" w:eastAsia="x-none"/>
    </w:rPr>
  </w:style>
  <w:style w:type="paragraph" w:styleId="Title">
    <w:name w:val="Title"/>
    <w:basedOn w:val="Normal"/>
    <w:link w:val="TitleChar"/>
    <w:qFormat/>
    <w:rsid w:val="00DC4F85"/>
    <w:pPr>
      <w:jc w:val="center"/>
    </w:pPr>
    <w:rPr>
      <w:b/>
      <w:szCs w:val="20"/>
    </w:rPr>
  </w:style>
  <w:style w:type="character" w:customStyle="1" w:styleId="TitleChar">
    <w:name w:val="Title Char"/>
    <w:link w:val="Title"/>
    <w:rsid w:val="00DC4F85"/>
    <w:rPr>
      <w:b/>
      <w:sz w:val="24"/>
      <w:lang w:val="en-US" w:eastAsia="en-US"/>
    </w:rPr>
  </w:style>
  <w:style w:type="paragraph" w:styleId="Header">
    <w:name w:val="header"/>
    <w:basedOn w:val="Normal"/>
    <w:link w:val="HeaderChar"/>
    <w:unhideWhenUsed/>
    <w:rsid w:val="004D3E28"/>
    <w:pPr>
      <w:tabs>
        <w:tab w:val="center" w:pos="4680"/>
        <w:tab w:val="right" w:pos="9360"/>
      </w:tabs>
    </w:pPr>
  </w:style>
  <w:style w:type="character" w:customStyle="1" w:styleId="HeaderChar">
    <w:name w:val="Header Char"/>
    <w:link w:val="Header"/>
    <w:rsid w:val="004D3E28"/>
    <w:rPr>
      <w:sz w:val="24"/>
      <w:szCs w:val="24"/>
      <w:lang w:val="en-US" w:eastAsia="en-US"/>
    </w:rPr>
  </w:style>
  <w:style w:type="character" w:styleId="CommentReference">
    <w:name w:val="annotation reference"/>
    <w:semiHidden/>
    <w:unhideWhenUsed/>
    <w:rsid w:val="00B008F6"/>
    <w:rPr>
      <w:sz w:val="16"/>
      <w:szCs w:val="16"/>
    </w:rPr>
  </w:style>
  <w:style w:type="paragraph" w:styleId="CommentText">
    <w:name w:val="annotation text"/>
    <w:basedOn w:val="Normal"/>
    <w:link w:val="CommentTextChar"/>
    <w:semiHidden/>
    <w:unhideWhenUsed/>
    <w:rsid w:val="00B008F6"/>
    <w:rPr>
      <w:sz w:val="20"/>
      <w:szCs w:val="20"/>
    </w:rPr>
  </w:style>
  <w:style w:type="character" w:customStyle="1" w:styleId="CommentTextChar">
    <w:name w:val="Comment Text Char"/>
    <w:link w:val="CommentText"/>
    <w:semiHidden/>
    <w:rsid w:val="00B008F6"/>
    <w:rPr>
      <w:lang w:val="en-US" w:eastAsia="en-US"/>
    </w:rPr>
  </w:style>
  <w:style w:type="paragraph" w:styleId="CommentSubject">
    <w:name w:val="annotation subject"/>
    <w:basedOn w:val="CommentText"/>
    <w:next w:val="CommentText"/>
    <w:link w:val="CommentSubjectChar"/>
    <w:semiHidden/>
    <w:unhideWhenUsed/>
    <w:rsid w:val="00B008F6"/>
    <w:rPr>
      <w:b/>
      <w:bCs/>
    </w:rPr>
  </w:style>
  <w:style w:type="character" w:customStyle="1" w:styleId="CommentSubjectChar">
    <w:name w:val="Comment Subject Char"/>
    <w:link w:val="CommentSubject"/>
    <w:semiHidden/>
    <w:rsid w:val="00B008F6"/>
    <w:rPr>
      <w:b/>
      <w:bCs/>
      <w:lang w:val="en-US" w:eastAsia="en-US"/>
    </w:rPr>
  </w:style>
  <w:style w:type="character" w:customStyle="1" w:styleId="ListParagraphChar">
    <w:name w:val="List Paragraph Char"/>
    <w:aliases w:val="Resume Title Char,List Paragraph1 Char"/>
    <w:link w:val="ListParagraph"/>
    <w:uiPriority w:val="34"/>
    <w:rsid w:val="006C4D0D"/>
    <w:rPr>
      <w:sz w:val="24"/>
      <w:szCs w:val="24"/>
    </w:rPr>
  </w:style>
  <w:style w:type="character" w:customStyle="1" w:styleId="BodyTextChar">
    <w:name w:val="Body Text Char"/>
    <w:link w:val="BodyText"/>
    <w:rsid w:val="00472D9C"/>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BFBCEC-6A5B-4895-BE96-BE27FA1171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5</Pages>
  <Words>2003</Words>
  <Characters>11414</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Audit Certificate</vt:lpstr>
    </vt:vector>
  </TitlesOfParts>
  <Company/>
  <LinksUpToDate>false</LinksUpToDate>
  <CharactersWithSpaces>13391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Independent Auditor's Report</dc:title>
  <dc:subject/>
  <dc:creator>COA-Philippine Charity Sweepstakes Office</dc:creator>
  <cp:keywords/>
  <cp:lastModifiedBy>Ben A. Lazo, Jr.</cp:lastModifiedBy>
  <cp:revision>6</cp:revision>
  <cp:lastPrinted>2020-09-14T06:10:00Z</cp:lastPrinted>
  <dcterms:created xsi:type="dcterms:W3CDTF">2020-09-15T05:03:00Z</dcterms:created>
  <dcterms:modified xsi:type="dcterms:W3CDTF">2020-09-17T06:48:00Z</dcterms:modified>
</cp:coreProperties>
</file>