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B00B7C" w14:textId="77777777" w:rsidR="000001B2" w:rsidRPr="004F79DB" w:rsidRDefault="000723E2" w:rsidP="00575083">
      <w:pPr>
        <w:spacing w:after="0" w:line="240" w:lineRule="auto"/>
        <w:jc w:val="center"/>
        <w:rPr>
          <w:rFonts w:ascii="Arial" w:hAnsi="Arial" w:cs="Arial"/>
          <w:b/>
        </w:rPr>
      </w:pPr>
      <w:bookmarkStart w:id="0" w:name="_GoBack"/>
      <w:bookmarkEnd w:id="0"/>
      <w:r w:rsidRPr="004F79DB">
        <w:rPr>
          <w:rFonts w:ascii="Arial" w:hAnsi="Arial" w:cs="Arial"/>
          <w:b/>
        </w:rPr>
        <w:t>EXECUTIVE SUMMARY</w:t>
      </w:r>
    </w:p>
    <w:p w14:paraId="16B571DC" w14:textId="77777777" w:rsidR="00C85872" w:rsidRPr="000702DC" w:rsidRDefault="00C85872" w:rsidP="00575083">
      <w:pPr>
        <w:spacing w:after="0" w:line="240" w:lineRule="auto"/>
        <w:rPr>
          <w:rFonts w:ascii="Arial" w:hAnsi="Arial" w:cs="Arial"/>
          <w:b/>
          <w:sz w:val="20"/>
          <w:szCs w:val="20"/>
        </w:rPr>
      </w:pPr>
    </w:p>
    <w:p w14:paraId="49DDC848" w14:textId="77777777" w:rsidR="00264EDB" w:rsidRPr="000702DC" w:rsidRDefault="00264EDB" w:rsidP="00575083">
      <w:pPr>
        <w:spacing w:after="0" w:line="240" w:lineRule="auto"/>
        <w:rPr>
          <w:rFonts w:ascii="Arial" w:hAnsi="Arial" w:cs="Arial"/>
          <w:b/>
          <w:sz w:val="20"/>
          <w:szCs w:val="20"/>
        </w:rPr>
      </w:pPr>
    </w:p>
    <w:p w14:paraId="5C59574F" w14:textId="77777777" w:rsidR="000723E2" w:rsidRPr="00161848" w:rsidRDefault="00264EDB" w:rsidP="00575083">
      <w:pPr>
        <w:spacing w:after="0" w:line="240" w:lineRule="auto"/>
        <w:rPr>
          <w:rFonts w:ascii="Arial" w:hAnsi="Arial" w:cs="Arial"/>
          <w:b/>
        </w:rPr>
      </w:pPr>
      <w:r w:rsidRPr="00161848">
        <w:rPr>
          <w:rFonts w:ascii="Arial" w:hAnsi="Arial" w:cs="Arial"/>
          <w:b/>
        </w:rPr>
        <w:t>INTRODUCTION</w:t>
      </w:r>
    </w:p>
    <w:p w14:paraId="6A7753C7" w14:textId="77777777" w:rsidR="004C3D9B" w:rsidRPr="000702DC" w:rsidRDefault="004C3D9B" w:rsidP="00575083">
      <w:pPr>
        <w:pStyle w:val="ListParagraph"/>
        <w:ind w:left="0" w:firstLine="720"/>
        <w:jc w:val="both"/>
        <w:rPr>
          <w:rFonts w:ascii="Arial" w:eastAsia="Calibri" w:hAnsi="Arial" w:cs="Arial"/>
          <w:sz w:val="20"/>
          <w:szCs w:val="20"/>
          <w:lang w:val="en-PH"/>
        </w:rPr>
      </w:pPr>
    </w:p>
    <w:p w14:paraId="7ED5F093" w14:textId="77777777" w:rsidR="00A33BB3" w:rsidRPr="00161848" w:rsidRDefault="00A33BB3" w:rsidP="00575083">
      <w:pPr>
        <w:spacing w:after="0" w:line="240" w:lineRule="auto"/>
        <w:jc w:val="both"/>
        <w:rPr>
          <w:rFonts w:ascii="Arial" w:hAnsi="Arial" w:cs="Arial"/>
        </w:rPr>
      </w:pPr>
      <w:r w:rsidRPr="00161848">
        <w:rPr>
          <w:rFonts w:ascii="Arial" w:hAnsi="Arial" w:cs="Arial"/>
        </w:rPr>
        <w:t xml:space="preserve">The Philippine Charity Sweepstakes Office (PCSO) was created under Philippine Legislature Act No. 4130 on October 30, 1934 and later amended by Republic Act (RA) No. 1169 in 1954 and Batas Pambansa Blg. 42 on September 24, 1979. It is the principal government agency for raising and providing funds for health programs, medical assistance and services, and charities of national character.  </w:t>
      </w:r>
    </w:p>
    <w:p w14:paraId="707B3E32" w14:textId="77777777" w:rsidR="00A33BB3" w:rsidRPr="000702DC" w:rsidRDefault="00A33BB3" w:rsidP="00575083">
      <w:pPr>
        <w:spacing w:after="0" w:line="240" w:lineRule="auto"/>
        <w:rPr>
          <w:rFonts w:ascii="Arial" w:hAnsi="Arial" w:cs="Arial"/>
          <w:sz w:val="20"/>
          <w:szCs w:val="20"/>
        </w:rPr>
      </w:pPr>
    </w:p>
    <w:p w14:paraId="430DFBAD" w14:textId="77777777" w:rsidR="00A33BB3" w:rsidRPr="00161848" w:rsidRDefault="00A33BB3" w:rsidP="00575083">
      <w:pPr>
        <w:spacing w:after="0" w:line="240" w:lineRule="auto"/>
        <w:jc w:val="both"/>
        <w:rPr>
          <w:rFonts w:ascii="Arial" w:hAnsi="Arial" w:cs="Arial"/>
        </w:rPr>
      </w:pPr>
      <w:r w:rsidRPr="00161848">
        <w:rPr>
          <w:rFonts w:ascii="Arial" w:hAnsi="Arial" w:cs="Arial"/>
        </w:rPr>
        <w:t>The PCSO’s main programs consist of endowment fund/quality health care, individual medical assistance, community outreach, ambulance donation, national calamity and disaster</w:t>
      </w:r>
      <w:r w:rsidR="00316651" w:rsidRPr="00161848">
        <w:rPr>
          <w:rFonts w:ascii="Arial" w:hAnsi="Arial" w:cs="Arial"/>
        </w:rPr>
        <w:t xml:space="preserve"> program</w:t>
      </w:r>
      <w:r w:rsidRPr="00161848">
        <w:rPr>
          <w:rFonts w:ascii="Arial" w:hAnsi="Arial" w:cs="Arial"/>
        </w:rPr>
        <w:t>, and hospital renovation and improvement of health care facilities. It also gives mandatory contributions to various agencies and institutions.</w:t>
      </w:r>
    </w:p>
    <w:p w14:paraId="0A7CEAE7" w14:textId="77777777" w:rsidR="00A33BB3" w:rsidRPr="000702DC" w:rsidRDefault="00A33BB3" w:rsidP="00575083">
      <w:pPr>
        <w:spacing w:after="0" w:line="240" w:lineRule="auto"/>
        <w:rPr>
          <w:rFonts w:ascii="Arial" w:hAnsi="Arial" w:cs="Arial"/>
          <w:sz w:val="20"/>
          <w:szCs w:val="20"/>
        </w:rPr>
      </w:pPr>
    </w:p>
    <w:p w14:paraId="754C453B" w14:textId="43E7532E" w:rsidR="00A33BB3" w:rsidRPr="00161848" w:rsidRDefault="001B7F51" w:rsidP="00575083">
      <w:pPr>
        <w:spacing w:after="0" w:line="240" w:lineRule="auto"/>
        <w:jc w:val="both"/>
        <w:rPr>
          <w:rFonts w:ascii="Arial" w:hAnsi="Arial" w:cs="Arial"/>
        </w:rPr>
      </w:pPr>
      <w:r w:rsidRPr="00161848">
        <w:rPr>
          <w:rFonts w:ascii="Arial" w:hAnsi="Arial" w:cs="Arial"/>
        </w:rPr>
        <w:t>T</w:t>
      </w:r>
      <w:r w:rsidR="00A33BB3" w:rsidRPr="00161848">
        <w:rPr>
          <w:rFonts w:ascii="Arial" w:hAnsi="Arial" w:cs="Arial"/>
        </w:rPr>
        <w:t>he PCSO</w:t>
      </w:r>
      <w:r w:rsidRPr="00161848">
        <w:rPr>
          <w:rFonts w:ascii="Arial" w:hAnsi="Arial" w:cs="Arial"/>
        </w:rPr>
        <w:t xml:space="preserve"> also</w:t>
      </w:r>
      <w:r w:rsidR="00A33BB3" w:rsidRPr="00161848">
        <w:rPr>
          <w:rFonts w:ascii="Arial" w:hAnsi="Arial" w:cs="Arial"/>
        </w:rPr>
        <w:t xml:space="preserve"> extends regular contributions to charitable institutions engaged in giving welfare services to the children and youth who are either abandoned or exploited, the elderly, and the physically and mentally handicapped, among others. It holds and conducts charity sweepstakes, races, and lotteries and engages in health and welfare-related investments, projects, and activities to provide for permanent and continuing sources of funds for it</w:t>
      </w:r>
      <w:r w:rsidRPr="00161848">
        <w:rPr>
          <w:rFonts w:ascii="Arial" w:hAnsi="Arial" w:cs="Arial"/>
        </w:rPr>
        <w:t>s programs. O</w:t>
      </w:r>
      <w:r w:rsidR="00A33BB3" w:rsidRPr="00161848">
        <w:rPr>
          <w:rFonts w:ascii="Arial" w:hAnsi="Arial" w:cs="Arial"/>
        </w:rPr>
        <w:t>ther activities to enhance and expand such fund-generating operat</w:t>
      </w:r>
      <w:r w:rsidR="00AC5C65" w:rsidRPr="00161848">
        <w:rPr>
          <w:rFonts w:ascii="Arial" w:hAnsi="Arial" w:cs="Arial"/>
        </w:rPr>
        <w:t>ions as well as strengthen its</w:t>
      </w:r>
      <w:r w:rsidRPr="00161848">
        <w:rPr>
          <w:rFonts w:ascii="Arial" w:hAnsi="Arial" w:cs="Arial"/>
        </w:rPr>
        <w:t xml:space="preserve"> fund-management capabilities ar</w:t>
      </w:r>
      <w:r w:rsidR="00AC5C65" w:rsidRPr="00161848">
        <w:rPr>
          <w:rFonts w:ascii="Arial" w:hAnsi="Arial" w:cs="Arial"/>
        </w:rPr>
        <w:t>e also being undertaken by the A</w:t>
      </w:r>
      <w:r w:rsidRPr="00161848">
        <w:rPr>
          <w:rFonts w:ascii="Arial" w:hAnsi="Arial" w:cs="Arial"/>
        </w:rPr>
        <w:t>gency.</w:t>
      </w:r>
    </w:p>
    <w:p w14:paraId="0A08D3CF" w14:textId="77777777" w:rsidR="00A33BB3" w:rsidRPr="000702DC" w:rsidRDefault="00A33BB3" w:rsidP="00575083">
      <w:pPr>
        <w:spacing w:after="0" w:line="240" w:lineRule="auto"/>
        <w:rPr>
          <w:rFonts w:ascii="Arial" w:hAnsi="Arial" w:cs="Arial"/>
          <w:sz w:val="20"/>
          <w:szCs w:val="20"/>
        </w:rPr>
      </w:pPr>
    </w:p>
    <w:p w14:paraId="0FB26AEB" w14:textId="28255EEE" w:rsidR="001B7F51" w:rsidRPr="00161848" w:rsidRDefault="00AC5C65" w:rsidP="00575083">
      <w:pPr>
        <w:spacing w:after="0" w:line="240" w:lineRule="auto"/>
        <w:jc w:val="both"/>
        <w:rPr>
          <w:rFonts w:ascii="Arial" w:hAnsi="Arial" w:cs="Arial"/>
        </w:rPr>
      </w:pPr>
      <w:r w:rsidRPr="00161848">
        <w:rPr>
          <w:rFonts w:ascii="Arial" w:hAnsi="Arial" w:cs="Arial"/>
        </w:rPr>
        <w:t xml:space="preserve">The </w:t>
      </w:r>
      <w:r w:rsidR="00A33BB3" w:rsidRPr="00161848">
        <w:rPr>
          <w:rFonts w:ascii="Arial" w:hAnsi="Arial" w:cs="Arial"/>
        </w:rPr>
        <w:t xml:space="preserve">PCSO is </w:t>
      </w:r>
      <w:r w:rsidR="001B7F51" w:rsidRPr="00161848">
        <w:rPr>
          <w:rFonts w:ascii="Arial" w:hAnsi="Arial" w:cs="Arial"/>
        </w:rPr>
        <w:t xml:space="preserve">being </w:t>
      </w:r>
      <w:r w:rsidR="00A33BB3" w:rsidRPr="00161848">
        <w:rPr>
          <w:rFonts w:ascii="Arial" w:hAnsi="Arial" w:cs="Arial"/>
        </w:rPr>
        <w:t>managed by a Board of Directors, composed of the following as of December 31, 201</w:t>
      </w:r>
      <w:r w:rsidR="00485E4A" w:rsidRPr="00161848">
        <w:rPr>
          <w:rFonts w:ascii="Arial" w:hAnsi="Arial" w:cs="Arial"/>
        </w:rPr>
        <w:t>9</w:t>
      </w:r>
      <w:r w:rsidR="00A33BB3" w:rsidRPr="00161848">
        <w:rPr>
          <w:rFonts w:ascii="Arial" w:hAnsi="Arial" w:cs="Arial"/>
        </w:rPr>
        <w:t xml:space="preserve">: </w:t>
      </w:r>
    </w:p>
    <w:p w14:paraId="4ABC6E1F" w14:textId="77777777" w:rsidR="001B7F51" w:rsidRPr="000702DC" w:rsidRDefault="001B7F51" w:rsidP="00575083">
      <w:pPr>
        <w:spacing w:after="0" w:line="240" w:lineRule="auto"/>
        <w:jc w:val="both"/>
        <w:rPr>
          <w:rFonts w:ascii="Arial" w:hAnsi="Arial" w:cs="Arial"/>
          <w:sz w:val="20"/>
          <w:szCs w:val="20"/>
        </w:rPr>
      </w:pPr>
    </w:p>
    <w:p w14:paraId="39D9704E" w14:textId="77777777" w:rsidR="001B7F51" w:rsidRPr="00161848" w:rsidRDefault="00A33BB3" w:rsidP="00575083">
      <w:pPr>
        <w:spacing w:after="0" w:line="240" w:lineRule="auto"/>
        <w:ind w:firstLine="720"/>
        <w:jc w:val="both"/>
        <w:rPr>
          <w:rFonts w:ascii="Arial" w:hAnsi="Arial" w:cs="Arial"/>
        </w:rPr>
      </w:pPr>
      <w:r w:rsidRPr="00161848">
        <w:rPr>
          <w:rFonts w:ascii="Arial" w:hAnsi="Arial" w:cs="Arial"/>
        </w:rPr>
        <w:t xml:space="preserve">Anselmo Simeon P. Pinili </w:t>
      </w:r>
      <w:r w:rsidR="001B7F51" w:rsidRPr="00161848">
        <w:rPr>
          <w:rFonts w:ascii="Arial" w:hAnsi="Arial" w:cs="Arial"/>
        </w:rPr>
        <w:tab/>
        <w:t xml:space="preserve">- </w:t>
      </w:r>
      <w:r w:rsidR="001B7F51" w:rsidRPr="00161848">
        <w:rPr>
          <w:rFonts w:ascii="Arial" w:hAnsi="Arial" w:cs="Arial"/>
        </w:rPr>
        <w:tab/>
        <w:t>Chairman</w:t>
      </w:r>
    </w:p>
    <w:p w14:paraId="65B64064" w14:textId="77777777" w:rsidR="00F02111" w:rsidRPr="00161848" w:rsidRDefault="00485E4A" w:rsidP="00575083">
      <w:pPr>
        <w:spacing w:after="0" w:line="240" w:lineRule="auto"/>
        <w:ind w:left="720"/>
        <w:jc w:val="both"/>
        <w:rPr>
          <w:rFonts w:ascii="Arial" w:hAnsi="Arial" w:cs="Arial"/>
        </w:rPr>
      </w:pPr>
      <w:r w:rsidRPr="00161848">
        <w:rPr>
          <w:rFonts w:ascii="Arial" w:hAnsi="Arial" w:cs="Arial"/>
        </w:rPr>
        <w:t>Royina M. Garma</w:t>
      </w:r>
      <w:r w:rsidR="001B7F51" w:rsidRPr="00161848">
        <w:rPr>
          <w:rFonts w:ascii="Arial" w:hAnsi="Arial" w:cs="Arial"/>
        </w:rPr>
        <w:tab/>
      </w:r>
      <w:r w:rsidR="001470DA" w:rsidRPr="00161848">
        <w:rPr>
          <w:rFonts w:ascii="Arial" w:hAnsi="Arial" w:cs="Arial"/>
        </w:rPr>
        <w:tab/>
      </w:r>
      <w:r w:rsidR="001B7F51" w:rsidRPr="00161848">
        <w:rPr>
          <w:rFonts w:ascii="Arial" w:hAnsi="Arial" w:cs="Arial"/>
        </w:rPr>
        <w:t>-</w:t>
      </w:r>
      <w:r w:rsidR="001B7F51" w:rsidRPr="00161848">
        <w:rPr>
          <w:rFonts w:ascii="Arial" w:hAnsi="Arial" w:cs="Arial"/>
        </w:rPr>
        <w:tab/>
      </w:r>
      <w:r w:rsidR="00A33BB3" w:rsidRPr="00161848">
        <w:rPr>
          <w:rFonts w:ascii="Arial" w:hAnsi="Arial" w:cs="Arial"/>
        </w:rPr>
        <w:t>Vic</w:t>
      </w:r>
      <w:r w:rsidR="001B7F51" w:rsidRPr="00161848">
        <w:rPr>
          <w:rFonts w:ascii="Arial" w:hAnsi="Arial" w:cs="Arial"/>
        </w:rPr>
        <w:t>e-Chairman and General Manager</w:t>
      </w:r>
      <w:r w:rsidR="00A33BB3" w:rsidRPr="00161848">
        <w:rPr>
          <w:rFonts w:ascii="Arial" w:hAnsi="Arial" w:cs="Arial"/>
        </w:rPr>
        <w:t xml:space="preserve"> </w:t>
      </w:r>
    </w:p>
    <w:p w14:paraId="1BD1374A" w14:textId="77777777" w:rsidR="001B7F51" w:rsidRPr="00161848" w:rsidRDefault="00A33BB3" w:rsidP="00575083">
      <w:pPr>
        <w:spacing w:after="0" w:line="240" w:lineRule="auto"/>
        <w:ind w:left="720"/>
        <w:jc w:val="both"/>
        <w:rPr>
          <w:rFonts w:ascii="Arial" w:hAnsi="Arial" w:cs="Arial"/>
        </w:rPr>
      </w:pPr>
      <w:r w:rsidRPr="00161848">
        <w:rPr>
          <w:rFonts w:ascii="Arial" w:hAnsi="Arial" w:cs="Arial"/>
        </w:rPr>
        <w:t xml:space="preserve">Marlon U. Balite </w:t>
      </w:r>
      <w:r w:rsidR="001B7F51" w:rsidRPr="00161848">
        <w:rPr>
          <w:rFonts w:ascii="Arial" w:hAnsi="Arial" w:cs="Arial"/>
        </w:rPr>
        <w:tab/>
      </w:r>
      <w:r w:rsidR="001B7F51" w:rsidRPr="00161848">
        <w:rPr>
          <w:rFonts w:ascii="Arial" w:hAnsi="Arial" w:cs="Arial"/>
        </w:rPr>
        <w:tab/>
        <w:t xml:space="preserve">- </w:t>
      </w:r>
      <w:r w:rsidR="001B7F51" w:rsidRPr="00161848">
        <w:rPr>
          <w:rFonts w:ascii="Arial" w:hAnsi="Arial" w:cs="Arial"/>
        </w:rPr>
        <w:tab/>
        <w:t>Member</w:t>
      </w:r>
    </w:p>
    <w:p w14:paraId="4442C822" w14:textId="77777777" w:rsidR="001B7F51" w:rsidRPr="00161848" w:rsidRDefault="00A33BB3" w:rsidP="00575083">
      <w:pPr>
        <w:spacing w:after="0" w:line="240" w:lineRule="auto"/>
        <w:ind w:left="720"/>
        <w:jc w:val="both"/>
        <w:rPr>
          <w:rFonts w:ascii="Arial" w:hAnsi="Arial" w:cs="Arial"/>
        </w:rPr>
      </w:pPr>
      <w:r w:rsidRPr="00161848">
        <w:rPr>
          <w:rFonts w:ascii="Arial" w:hAnsi="Arial" w:cs="Arial"/>
        </w:rPr>
        <w:t xml:space="preserve">Sandra M. Cam </w:t>
      </w:r>
      <w:r w:rsidR="001B7F51" w:rsidRPr="00161848">
        <w:rPr>
          <w:rFonts w:ascii="Arial" w:hAnsi="Arial" w:cs="Arial"/>
        </w:rPr>
        <w:tab/>
      </w:r>
      <w:r w:rsidR="001B7F51" w:rsidRPr="00161848">
        <w:rPr>
          <w:rFonts w:ascii="Arial" w:hAnsi="Arial" w:cs="Arial"/>
        </w:rPr>
        <w:tab/>
        <w:t>-</w:t>
      </w:r>
      <w:r w:rsidR="001B7F51" w:rsidRPr="00161848">
        <w:rPr>
          <w:rFonts w:ascii="Arial" w:hAnsi="Arial" w:cs="Arial"/>
        </w:rPr>
        <w:tab/>
        <w:t>Member</w:t>
      </w:r>
      <w:r w:rsidRPr="00161848">
        <w:rPr>
          <w:rFonts w:ascii="Arial" w:hAnsi="Arial" w:cs="Arial"/>
        </w:rPr>
        <w:t xml:space="preserve"> </w:t>
      </w:r>
    </w:p>
    <w:p w14:paraId="5104874F" w14:textId="77777777" w:rsidR="00485E4A" w:rsidRPr="00161848" w:rsidRDefault="00485E4A" w:rsidP="00575083">
      <w:pPr>
        <w:spacing w:after="0" w:line="240" w:lineRule="auto"/>
        <w:ind w:left="720"/>
        <w:jc w:val="both"/>
        <w:rPr>
          <w:rFonts w:ascii="Arial" w:hAnsi="Arial" w:cs="Arial"/>
        </w:rPr>
      </w:pPr>
      <w:r w:rsidRPr="00161848">
        <w:rPr>
          <w:rFonts w:ascii="Arial" w:hAnsi="Arial" w:cs="Arial"/>
        </w:rPr>
        <w:t>Ramon Ike V. Seῆeres</w:t>
      </w:r>
      <w:r w:rsidRPr="00161848">
        <w:rPr>
          <w:rFonts w:ascii="Arial" w:hAnsi="Arial" w:cs="Arial"/>
        </w:rPr>
        <w:tab/>
        <w:t>-</w:t>
      </w:r>
      <w:r w:rsidRPr="00161848">
        <w:rPr>
          <w:rFonts w:ascii="Arial" w:hAnsi="Arial" w:cs="Arial"/>
        </w:rPr>
        <w:tab/>
        <w:t>Member</w:t>
      </w:r>
    </w:p>
    <w:p w14:paraId="35C7BC10" w14:textId="77777777" w:rsidR="00A33BB3" w:rsidRPr="00161848" w:rsidRDefault="00A33BB3" w:rsidP="00575083">
      <w:pPr>
        <w:spacing w:after="0" w:line="240" w:lineRule="auto"/>
        <w:ind w:left="720"/>
        <w:jc w:val="both"/>
        <w:rPr>
          <w:rFonts w:ascii="Arial" w:hAnsi="Arial" w:cs="Arial"/>
        </w:rPr>
      </w:pPr>
      <w:r w:rsidRPr="00161848">
        <w:rPr>
          <w:rFonts w:ascii="Arial" w:hAnsi="Arial" w:cs="Arial"/>
        </w:rPr>
        <w:t>Atty. Wesley A. Barayuga</w:t>
      </w:r>
      <w:r w:rsidR="001B7F51" w:rsidRPr="00161848">
        <w:rPr>
          <w:rFonts w:ascii="Arial" w:hAnsi="Arial" w:cs="Arial"/>
        </w:rPr>
        <w:tab/>
        <w:t xml:space="preserve">-   </w:t>
      </w:r>
      <w:r w:rsidR="001B7F51" w:rsidRPr="00161848">
        <w:rPr>
          <w:rFonts w:ascii="Arial" w:hAnsi="Arial" w:cs="Arial"/>
        </w:rPr>
        <w:tab/>
        <w:t>Board Secretary</w:t>
      </w:r>
    </w:p>
    <w:p w14:paraId="4A868DE6" w14:textId="77777777" w:rsidR="001470DA" w:rsidRPr="000702DC" w:rsidRDefault="001470DA" w:rsidP="00575083">
      <w:pPr>
        <w:spacing w:after="0" w:line="240" w:lineRule="auto"/>
        <w:ind w:left="720"/>
        <w:jc w:val="both"/>
        <w:rPr>
          <w:rFonts w:ascii="Arial" w:hAnsi="Arial" w:cs="Arial"/>
          <w:sz w:val="20"/>
          <w:szCs w:val="20"/>
        </w:rPr>
      </w:pPr>
    </w:p>
    <w:p w14:paraId="26FE9376" w14:textId="77777777" w:rsidR="00A33BB3" w:rsidRPr="00161848" w:rsidRDefault="00A33BB3" w:rsidP="00575083">
      <w:pPr>
        <w:spacing w:after="0" w:line="240" w:lineRule="auto"/>
        <w:jc w:val="both"/>
        <w:rPr>
          <w:rFonts w:ascii="Arial" w:hAnsi="Arial" w:cs="Arial"/>
          <w:b/>
        </w:rPr>
      </w:pPr>
      <w:r w:rsidRPr="00161848">
        <w:rPr>
          <w:rFonts w:ascii="Arial" w:hAnsi="Arial" w:cs="Arial"/>
        </w:rPr>
        <w:t>As of December 31, 201</w:t>
      </w:r>
      <w:r w:rsidR="00485E4A" w:rsidRPr="00161848">
        <w:rPr>
          <w:rFonts w:ascii="Arial" w:hAnsi="Arial" w:cs="Arial"/>
        </w:rPr>
        <w:t>9</w:t>
      </w:r>
      <w:r w:rsidR="00AB4C3D" w:rsidRPr="00161848">
        <w:rPr>
          <w:rFonts w:ascii="Arial" w:hAnsi="Arial" w:cs="Arial"/>
        </w:rPr>
        <w:t>,</w:t>
      </w:r>
      <w:r w:rsidRPr="00161848">
        <w:rPr>
          <w:rFonts w:ascii="Arial" w:hAnsi="Arial" w:cs="Arial"/>
        </w:rPr>
        <w:t xml:space="preserve"> PCSO has a total manpower</w:t>
      </w:r>
      <w:r w:rsidR="001470DA" w:rsidRPr="00161848">
        <w:rPr>
          <w:rFonts w:ascii="Arial" w:hAnsi="Arial" w:cs="Arial"/>
        </w:rPr>
        <w:t xml:space="preserve"> complement</w:t>
      </w:r>
      <w:r w:rsidRPr="00161848">
        <w:rPr>
          <w:rFonts w:ascii="Arial" w:hAnsi="Arial" w:cs="Arial"/>
        </w:rPr>
        <w:t xml:space="preserve"> of 1</w:t>
      </w:r>
      <w:r w:rsidR="007B4A3E" w:rsidRPr="00161848">
        <w:rPr>
          <w:rFonts w:ascii="Arial" w:hAnsi="Arial" w:cs="Arial"/>
        </w:rPr>
        <w:t>,</w:t>
      </w:r>
      <w:r w:rsidR="00485E4A" w:rsidRPr="00161848">
        <w:rPr>
          <w:rFonts w:ascii="Arial" w:hAnsi="Arial" w:cs="Arial"/>
        </w:rPr>
        <w:t>691</w:t>
      </w:r>
      <w:r w:rsidRPr="00161848">
        <w:rPr>
          <w:rFonts w:ascii="Arial" w:hAnsi="Arial" w:cs="Arial"/>
        </w:rPr>
        <w:t xml:space="preserve">, </w:t>
      </w:r>
      <w:r w:rsidR="001470DA" w:rsidRPr="00161848">
        <w:rPr>
          <w:rFonts w:ascii="Arial" w:hAnsi="Arial" w:cs="Arial"/>
        </w:rPr>
        <w:t xml:space="preserve">broken down as follows: </w:t>
      </w:r>
      <w:r w:rsidRPr="00161848">
        <w:rPr>
          <w:rFonts w:ascii="Arial" w:hAnsi="Arial" w:cs="Arial"/>
        </w:rPr>
        <w:t xml:space="preserve"> </w:t>
      </w:r>
    </w:p>
    <w:p w14:paraId="0F6BE6B8" w14:textId="77777777" w:rsidR="00A33BB3" w:rsidRPr="000702DC" w:rsidRDefault="00A33BB3" w:rsidP="00575083">
      <w:pPr>
        <w:spacing w:after="0" w:line="240" w:lineRule="auto"/>
        <w:ind w:firstLine="720"/>
        <w:jc w:val="both"/>
        <w:rPr>
          <w:rFonts w:ascii="Arial" w:hAnsi="Arial" w:cs="Arial"/>
          <w:sz w:val="20"/>
          <w:szCs w:val="20"/>
        </w:rPr>
      </w:pPr>
    </w:p>
    <w:tbl>
      <w:tblPr>
        <w:tblW w:w="8640" w:type="dxa"/>
        <w:tblLayout w:type="fixed"/>
        <w:tblLook w:val="04A0" w:firstRow="1" w:lastRow="0" w:firstColumn="1" w:lastColumn="0" w:noHBand="0" w:noVBand="1"/>
      </w:tblPr>
      <w:tblGrid>
        <w:gridCol w:w="3600"/>
        <w:gridCol w:w="1620"/>
        <w:gridCol w:w="1620"/>
        <w:gridCol w:w="1800"/>
      </w:tblGrid>
      <w:tr w:rsidR="00161848" w:rsidRPr="00161848" w14:paraId="5A686EDF" w14:textId="77777777" w:rsidTr="00AC5C65">
        <w:trPr>
          <w:trHeight w:val="241"/>
        </w:trPr>
        <w:tc>
          <w:tcPr>
            <w:tcW w:w="3600" w:type="dxa"/>
            <w:tcBorders>
              <w:top w:val="single" w:sz="4" w:space="0" w:color="auto"/>
              <w:bottom w:val="single" w:sz="4" w:space="0" w:color="auto"/>
            </w:tcBorders>
            <w:vAlign w:val="center"/>
            <w:hideMark/>
          </w:tcPr>
          <w:p w14:paraId="397ED3F2" w14:textId="77777777" w:rsidR="00A33BB3" w:rsidRPr="00161848" w:rsidRDefault="00A33BB3" w:rsidP="00575083">
            <w:pPr>
              <w:suppressAutoHyphens/>
              <w:snapToGrid w:val="0"/>
              <w:spacing w:after="0" w:line="240" w:lineRule="auto"/>
              <w:jc w:val="center"/>
              <w:rPr>
                <w:rFonts w:ascii="Arial Narrow" w:eastAsia="Times New Roman" w:hAnsi="Arial Narrow" w:cs="Arial"/>
                <w:b/>
                <w:sz w:val="20"/>
                <w:szCs w:val="20"/>
                <w:lang w:eastAsia="ar-SA"/>
              </w:rPr>
            </w:pPr>
          </w:p>
        </w:tc>
        <w:tc>
          <w:tcPr>
            <w:tcW w:w="1620" w:type="dxa"/>
            <w:tcBorders>
              <w:top w:val="single" w:sz="4" w:space="0" w:color="auto"/>
              <w:bottom w:val="single" w:sz="4" w:space="0" w:color="auto"/>
            </w:tcBorders>
            <w:vAlign w:val="center"/>
          </w:tcPr>
          <w:p w14:paraId="5195C01B" w14:textId="77777777" w:rsidR="00A33BB3" w:rsidRPr="00161848" w:rsidRDefault="00A33BB3" w:rsidP="00575083">
            <w:pPr>
              <w:suppressAutoHyphens/>
              <w:snapToGrid w:val="0"/>
              <w:spacing w:after="0" w:line="240" w:lineRule="auto"/>
              <w:ind w:left="-108" w:right="-108"/>
              <w:jc w:val="right"/>
              <w:rPr>
                <w:rFonts w:ascii="Arial Narrow" w:eastAsia="Times New Roman" w:hAnsi="Arial Narrow" w:cs="Arial"/>
                <w:b/>
                <w:sz w:val="20"/>
                <w:szCs w:val="20"/>
                <w:lang w:eastAsia="ar-SA"/>
              </w:rPr>
            </w:pPr>
            <w:r w:rsidRPr="00161848">
              <w:rPr>
                <w:rFonts w:ascii="Arial Narrow" w:eastAsia="Times New Roman" w:hAnsi="Arial Narrow" w:cs="Arial"/>
                <w:b/>
                <w:sz w:val="20"/>
                <w:szCs w:val="20"/>
                <w:lang w:eastAsia="ar-SA"/>
              </w:rPr>
              <w:t>Head Office</w:t>
            </w:r>
          </w:p>
        </w:tc>
        <w:tc>
          <w:tcPr>
            <w:tcW w:w="1620" w:type="dxa"/>
            <w:tcBorders>
              <w:top w:val="single" w:sz="4" w:space="0" w:color="auto"/>
              <w:bottom w:val="single" w:sz="4" w:space="0" w:color="auto"/>
            </w:tcBorders>
            <w:vAlign w:val="center"/>
          </w:tcPr>
          <w:p w14:paraId="78F7B9CD" w14:textId="77777777" w:rsidR="00A33BB3" w:rsidRPr="00161848" w:rsidRDefault="00A33BB3" w:rsidP="00575083">
            <w:pPr>
              <w:suppressAutoHyphens/>
              <w:snapToGrid w:val="0"/>
              <w:spacing w:after="0" w:line="240" w:lineRule="auto"/>
              <w:ind w:left="-108" w:right="-18"/>
              <w:jc w:val="right"/>
              <w:rPr>
                <w:rFonts w:ascii="Arial Narrow" w:eastAsia="Times New Roman" w:hAnsi="Arial Narrow" w:cs="Arial"/>
                <w:b/>
                <w:sz w:val="20"/>
                <w:szCs w:val="20"/>
                <w:lang w:eastAsia="ar-SA"/>
              </w:rPr>
            </w:pPr>
            <w:r w:rsidRPr="00161848">
              <w:rPr>
                <w:rFonts w:ascii="Arial Narrow" w:eastAsia="Times New Roman" w:hAnsi="Arial Narrow" w:cs="Arial"/>
                <w:b/>
                <w:sz w:val="20"/>
                <w:szCs w:val="20"/>
                <w:lang w:eastAsia="ar-SA"/>
              </w:rPr>
              <w:t>Branch Office</w:t>
            </w:r>
          </w:p>
        </w:tc>
        <w:tc>
          <w:tcPr>
            <w:tcW w:w="1800" w:type="dxa"/>
            <w:tcBorders>
              <w:top w:val="single" w:sz="4" w:space="0" w:color="auto"/>
              <w:bottom w:val="single" w:sz="4" w:space="0" w:color="auto"/>
            </w:tcBorders>
            <w:vAlign w:val="center"/>
            <w:hideMark/>
          </w:tcPr>
          <w:p w14:paraId="529FE030" w14:textId="77777777" w:rsidR="00A33BB3" w:rsidRPr="00161848" w:rsidRDefault="00AB4C3D" w:rsidP="00575083">
            <w:pPr>
              <w:suppressAutoHyphens/>
              <w:snapToGrid w:val="0"/>
              <w:spacing w:after="0" w:line="240" w:lineRule="auto"/>
              <w:ind w:right="-108"/>
              <w:jc w:val="right"/>
              <w:rPr>
                <w:rFonts w:ascii="Arial Narrow" w:eastAsia="Times New Roman" w:hAnsi="Arial Narrow" w:cs="Arial"/>
                <w:b/>
                <w:sz w:val="20"/>
                <w:szCs w:val="20"/>
                <w:lang w:eastAsia="ar-SA"/>
              </w:rPr>
            </w:pPr>
            <w:r w:rsidRPr="00161848">
              <w:rPr>
                <w:rFonts w:ascii="Arial Narrow" w:eastAsia="Times New Roman" w:hAnsi="Arial Narrow" w:cs="Arial"/>
                <w:b/>
                <w:sz w:val="20"/>
                <w:szCs w:val="20"/>
                <w:lang w:eastAsia="ar-SA"/>
              </w:rPr>
              <w:t>Total</w:t>
            </w:r>
          </w:p>
        </w:tc>
      </w:tr>
      <w:tr w:rsidR="00161848" w:rsidRPr="00161848" w14:paraId="31847621" w14:textId="77777777" w:rsidTr="00AC5C65">
        <w:trPr>
          <w:trHeight w:val="211"/>
        </w:trPr>
        <w:tc>
          <w:tcPr>
            <w:tcW w:w="3600" w:type="dxa"/>
            <w:tcBorders>
              <w:top w:val="single" w:sz="4" w:space="0" w:color="auto"/>
            </w:tcBorders>
            <w:vAlign w:val="bottom"/>
          </w:tcPr>
          <w:p w14:paraId="73724E41" w14:textId="77777777" w:rsidR="00A33BB3" w:rsidRPr="00161848" w:rsidRDefault="00A33BB3" w:rsidP="00575083">
            <w:pPr>
              <w:suppressAutoHyphens/>
              <w:snapToGrid w:val="0"/>
              <w:spacing w:after="0" w:line="240" w:lineRule="auto"/>
              <w:ind w:hanging="108"/>
              <w:rPr>
                <w:rFonts w:ascii="Arial Narrow" w:eastAsia="Times New Roman" w:hAnsi="Arial Narrow" w:cs="Arial"/>
                <w:bCs/>
                <w:sz w:val="20"/>
                <w:szCs w:val="20"/>
                <w:lang w:eastAsia="ar-SA"/>
              </w:rPr>
            </w:pPr>
            <w:r w:rsidRPr="00161848">
              <w:rPr>
                <w:rFonts w:ascii="Arial Narrow" w:eastAsia="Times New Roman" w:hAnsi="Arial Narrow" w:cs="Arial"/>
                <w:bCs/>
                <w:sz w:val="20"/>
                <w:szCs w:val="20"/>
                <w:lang w:eastAsia="ar-SA"/>
              </w:rPr>
              <w:t>Permanent employees</w:t>
            </w:r>
          </w:p>
        </w:tc>
        <w:tc>
          <w:tcPr>
            <w:tcW w:w="1620" w:type="dxa"/>
            <w:tcBorders>
              <w:top w:val="single" w:sz="4" w:space="0" w:color="auto"/>
            </w:tcBorders>
            <w:vAlign w:val="bottom"/>
          </w:tcPr>
          <w:p w14:paraId="03310D60" w14:textId="77777777" w:rsidR="00A33BB3" w:rsidRPr="00161848" w:rsidRDefault="00485E4A" w:rsidP="00575083">
            <w:pPr>
              <w:suppressAutoHyphens/>
              <w:snapToGrid w:val="0"/>
              <w:spacing w:after="0" w:line="240" w:lineRule="auto"/>
              <w:jc w:val="right"/>
              <w:rPr>
                <w:rFonts w:ascii="Arial Narrow" w:eastAsia="Times New Roman" w:hAnsi="Arial Narrow" w:cs="Arial"/>
                <w:bCs/>
                <w:sz w:val="20"/>
                <w:szCs w:val="20"/>
                <w:lang w:eastAsia="ar-SA"/>
              </w:rPr>
            </w:pPr>
            <w:r w:rsidRPr="00161848">
              <w:rPr>
                <w:rFonts w:ascii="Arial Narrow" w:eastAsia="Times New Roman" w:hAnsi="Arial Narrow" w:cs="Arial"/>
                <w:bCs/>
                <w:sz w:val="20"/>
                <w:szCs w:val="20"/>
                <w:lang w:eastAsia="ar-SA"/>
              </w:rPr>
              <w:t>617</w:t>
            </w:r>
          </w:p>
        </w:tc>
        <w:tc>
          <w:tcPr>
            <w:tcW w:w="1620" w:type="dxa"/>
            <w:tcBorders>
              <w:top w:val="single" w:sz="4" w:space="0" w:color="auto"/>
            </w:tcBorders>
            <w:vAlign w:val="bottom"/>
          </w:tcPr>
          <w:p w14:paraId="0BDAD5CC" w14:textId="77777777" w:rsidR="00A33BB3" w:rsidRPr="00161848" w:rsidRDefault="00485E4A" w:rsidP="00575083">
            <w:pPr>
              <w:suppressAutoHyphens/>
              <w:snapToGrid w:val="0"/>
              <w:spacing w:after="0" w:line="240" w:lineRule="auto"/>
              <w:ind w:right="-18"/>
              <w:jc w:val="right"/>
              <w:rPr>
                <w:rFonts w:ascii="Arial Narrow" w:eastAsia="Times New Roman" w:hAnsi="Arial Narrow" w:cs="Arial"/>
                <w:bCs/>
                <w:sz w:val="20"/>
                <w:szCs w:val="20"/>
                <w:lang w:eastAsia="ar-SA"/>
              </w:rPr>
            </w:pPr>
            <w:r w:rsidRPr="00161848">
              <w:rPr>
                <w:rFonts w:ascii="Arial Narrow" w:eastAsia="Times New Roman" w:hAnsi="Arial Narrow" w:cs="Arial"/>
                <w:bCs/>
                <w:sz w:val="20"/>
                <w:szCs w:val="20"/>
                <w:lang w:eastAsia="ar-SA"/>
              </w:rPr>
              <w:t>441</w:t>
            </w:r>
          </w:p>
        </w:tc>
        <w:tc>
          <w:tcPr>
            <w:tcW w:w="1800" w:type="dxa"/>
            <w:tcBorders>
              <w:top w:val="single" w:sz="4" w:space="0" w:color="auto"/>
            </w:tcBorders>
            <w:vAlign w:val="bottom"/>
          </w:tcPr>
          <w:p w14:paraId="6548B63F" w14:textId="77777777" w:rsidR="00A33BB3" w:rsidRPr="00161848" w:rsidRDefault="00C257E1" w:rsidP="00575083">
            <w:pPr>
              <w:suppressAutoHyphens/>
              <w:snapToGrid w:val="0"/>
              <w:spacing w:after="0" w:line="240" w:lineRule="auto"/>
              <w:ind w:right="-108"/>
              <w:jc w:val="right"/>
              <w:rPr>
                <w:rFonts w:ascii="Arial Narrow" w:eastAsia="Times New Roman" w:hAnsi="Arial Narrow" w:cs="Arial"/>
                <w:bCs/>
                <w:sz w:val="20"/>
                <w:szCs w:val="20"/>
                <w:lang w:eastAsia="ar-SA"/>
              </w:rPr>
            </w:pPr>
            <w:r w:rsidRPr="00161848">
              <w:rPr>
                <w:rFonts w:ascii="Arial Narrow" w:eastAsia="Times New Roman" w:hAnsi="Arial Narrow" w:cs="Arial"/>
                <w:bCs/>
                <w:sz w:val="20"/>
                <w:szCs w:val="20"/>
                <w:lang w:eastAsia="ar-SA"/>
              </w:rPr>
              <w:t>1,058</w:t>
            </w:r>
          </w:p>
        </w:tc>
      </w:tr>
      <w:tr w:rsidR="00161848" w:rsidRPr="00161848" w14:paraId="2E3D3054" w14:textId="77777777" w:rsidTr="00AC5C65">
        <w:trPr>
          <w:trHeight w:val="227"/>
        </w:trPr>
        <w:tc>
          <w:tcPr>
            <w:tcW w:w="3600" w:type="dxa"/>
            <w:vAlign w:val="bottom"/>
          </w:tcPr>
          <w:p w14:paraId="41B4A615" w14:textId="77777777" w:rsidR="00A33BB3" w:rsidRPr="00161848" w:rsidRDefault="00A33BB3" w:rsidP="00575083">
            <w:pPr>
              <w:suppressAutoHyphens/>
              <w:snapToGrid w:val="0"/>
              <w:spacing w:after="0" w:line="240" w:lineRule="auto"/>
              <w:ind w:hanging="108"/>
              <w:rPr>
                <w:rFonts w:ascii="Arial Narrow" w:eastAsia="Times New Roman" w:hAnsi="Arial Narrow" w:cs="Arial"/>
                <w:bCs/>
                <w:sz w:val="20"/>
                <w:szCs w:val="20"/>
                <w:lang w:eastAsia="ar-SA"/>
              </w:rPr>
            </w:pPr>
            <w:r w:rsidRPr="00161848">
              <w:rPr>
                <w:rFonts w:ascii="Arial Narrow" w:eastAsia="Times New Roman" w:hAnsi="Arial Narrow" w:cs="Arial"/>
                <w:bCs/>
                <w:sz w:val="20"/>
                <w:szCs w:val="20"/>
                <w:lang w:eastAsia="ar-SA"/>
              </w:rPr>
              <w:t>Co-Terminus</w:t>
            </w:r>
          </w:p>
        </w:tc>
        <w:tc>
          <w:tcPr>
            <w:tcW w:w="1620" w:type="dxa"/>
            <w:vAlign w:val="bottom"/>
          </w:tcPr>
          <w:p w14:paraId="4A544227" w14:textId="77777777" w:rsidR="00A33BB3" w:rsidRPr="00161848" w:rsidRDefault="00C257E1" w:rsidP="00575083">
            <w:pPr>
              <w:suppressAutoHyphens/>
              <w:snapToGrid w:val="0"/>
              <w:spacing w:after="0" w:line="240" w:lineRule="auto"/>
              <w:jc w:val="right"/>
              <w:rPr>
                <w:rFonts w:ascii="Arial Narrow" w:eastAsia="Times New Roman" w:hAnsi="Arial Narrow" w:cs="Arial"/>
                <w:bCs/>
                <w:sz w:val="20"/>
                <w:szCs w:val="20"/>
                <w:lang w:eastAsia="ar-SA"/>
              </w:rPr>
            </w:pPr>
            <w:r w:rsidRPr="00161848">
              <w:rPr>
                <w:rFonts w:ascii="Arial Narrow" w:eastAsia="Times New Roman" w:hAnsi="Arial Narrow" w:cs="Arial"/>
                <w:bCs/>
                <w:sz w:val="20"/>
                <w:szCs w:val="20"/>
                <w:lang w:eastAsia="ar-SA"/>
              </w:rPr>
              <w:t>53</w:t>
            </w:r>
          </w:p>
        </w:tc>
        <w:tc>
          <w:tcPr>
            <w:tcW w:w="1620" w:type="dxa"/>
            <w:vAlign w:val="bottom"/>
          </w:tcPr>
          <w:p w14:paraId="1D7AB9CC" w14:textId="77777777" w:rsidR="00A33BB3" w:rsidRPr="00161848" w:rsidRDefault="00C257E1" w:rsidP="00575083">
            <w:pPr>
              <w:suppressAutoHyphens/>
              <w:snapToGrid w:val="0"/>
              <w:spacing w:after="0" w:line="240" w:lineRule="auto"/>
              <w:ind w:right="-18"/>
              <w:jc w:val="right"/>
              <w:rPr>
                <w:rFonts w:ascii="Arial Narrow" w:eastAsia="Times New Roman" w:hAnsi="Arial Narrow" w:cs="Arial"/>
                <w:bCs/>
                <w:sz w:val="20"/>
                <w:szCs w:val="20"/>
                <w:lang w:eastAsia="ar-SA"/>
              </w:rPr>
            </w:pPr>
            <w:r w:rsidRPr="00161848">
              <w:rPr>
                <w:rFonts w:ascii="Arial Narrow" w:eastAsia="Times New Roman" w:hAnsi="Arial Narrow" w:cs="Arial"/>
                <w:bCs/>
                <w:sz w:val="20"/>
                <w:szCs w:val="20"/>
                <w:lang w:eastAsia="ar-SA"/>
              </w:rPr>
              <w:t>4</w:t>
            </w:r>
          </w:p>
        </w:tc>
        <w:tc>
          <w:tcPr>
            <w:tcW w:w="1800" w:type="dxa"/>
            <w:vAlign w:val="bottom"/>
          </w:tcPr>
          <w:p w14:paraId="0836829B" w14:textId="77777777" w:rsidR="00A33BB3" w:rsidRPr="00161848" w:rsidRDefault="00C257E1" w:rsidP="00575083">
            <w:pPr>
              <w:suppressAutoHyphens/>
              <w:snapToGrid w:val="0"/>
              <w:spacing w:after="0" w:line="240" w:lineRule="auto"/>
              <w:ind w:right="-108"/>
              <w:jc w:val="right"/>
              <w:rPr>
                <w:rFonts w:ascii="Arial Narrow" w:eastAsia="Times New Roman" w:hAnsi="Arial Narrow" w:cs="Arial"/>
                <w:bCs/>
                <w:sz w:val="20"/>
                <w:szCs w:val="20"/>
                <w:lang w:eastAsia="ar-SA"/>
              </w:rPr>
            </w:pPr>
            <w:r w:rsidRPr="00161848">
              <w:rPr>
                <w:rFonts w:ascii="Arial Narrow" w:eastAsia="Times New Roman" w:hAnsi="Arial Narrow" w:cs="Arial"/>
                <w:bCs/>
                <w:sz w:val="20"/>
                <w:szCs w:val="20"/>
                <w:lang w:eastAsia="ar-SA"/>
              </w:rPr>
              <w:t>57</w:t>
            </w:r>
          </w:p>
        </w:tc>
      </w:tr>
      <w:tr w:rsidR="00161848" w:rsidRPr="00161848" w14:paraId="549FA6D0" w14:textId="77777777" w:rsidTr="00AC5C65">
        <w:trPr>
          <w:trHeight w:val="227"/>
        </w:trPr>
        <w:tc>
          <w:tcPr>
            <w:tcW w:w="3600" w:type="dxa"/>
            <w:vAlign w:val="bottom"/>
          </w:tcPr>
          <w:p w14:paraId="7C73CCF2" w14:textId="77777777" w:rsidR="00A33BB3" w:rsidRPr="00161848" w:rsidRDefault="00A33BB3" w:rsidP="00575083">
            <w:pPr>
              <w:suppressAutoHyphens/>
              <w:snapToGrid w:val="0"/>
              <w:spacing w:after="0" w:line="240" w:lineRule="auto"/>
              <w:ind w:hanging="108"/>
              <w:rPr>
                <w:rFonts w:ascii="Arial Narrow" w:eastAsia="Times New Roman" w:hAnsi="Arial Narrow" w:cs="Arial"/>
                <w:bCs/>
                <w:sz w:val="20"/>
                <w:szCs w:val="20"/>
                <w:lang w:eastAsia="ar-SA"/>
              </w:rPr>
            </w:pPr>
            <w:r w:rsidRPr="00161848">
              <w:rPr>
                <w:rFonts w:ascii="Arial Narrow" w:eastAsia="Times New Roman" w:hAnsi="Arial Narrow" w:cs="Arial"/>
                <w:bCs/>
                <w:sz w:val="20"/>
                <w:szCs w:val="20"/>
                <w:lang w:eastAsia="ar-SA"/>
              </w:rPr>
              <w:t>Confidential Agents</w:t>
            </w:r>
          </w:p>
        </w:tc>
        <w:tc>
          <w:tcPr>
            <w:tcW w:w="1620" w:type="dxa"/>
            <w:vAlign w:val="bottom"/>
          </w:tcPr>
          <w:p w14:paraId="018A563B" w14:textId="77777777" w:rsidR="00A33BB3" w:rsidRPr="00161848" w:rsidRDefault="00C257E1" w:rsidP="00575083">
            <w:pPr>
              <w:suppressAutoHyphens/>
              <w:snapToGrid w:val="0"/>
              <w:spacing w:after="0" w:line="240" w:lineRule="auto"/>
              <w:jc w:val="right"/>
              <w:rPr>
                <w:rFonts w:ascii="Arial Narrow" w:eastAsia="Times New Roman" w:hAnsi="Arial Narrow" w:cs="Arial"/>
                <w:bCs/>
                <w:sz w:val="20"/>
                <w:szCs w:val="20"/>
                <w:lang w:eastAsia="ar-SA"/>
              </w:rPr>
            </w:pPr>
            <w:r w:rsidRPr="00161848">
              <w:rPr>
                <w:rFonts w:ascii="Arial Narrow" w:eastAsia="Times New Roman" w:hAnsi="Arial Narrow" w:cs="Arial"/>
                <w:bCs/>
                <w:sz w:val="20"/>
                <w:szCs w:val="20"/>
                <w:lang w:eastAsia="ar-SA"/>
              </w:rPr>
              <w:t>200</w:t>
            </w:r>
          </w:p>
        </w:tc>
        <w:tc>
          <w:tcPr>
            <w:tcW w:w="1620" w:type="dxa"/>
            <w:vAlign w:val="bottom"/>
          </w:tcPr>
          <w:p w14:paraId="331AC1B8" w14:textId="77777777" w:rsidR="00A33BB3" w:rsidRPr="00161848" w:rsidRDefault="00C257E1" w:rsidP="00575083">
            <w:pPr>
              <w:suppressAutoHyphens/>
              <w:snapToGrid w:val="0"/>
              <w:spacing w:after="0" w:line="240" w:lineRule="auto"/>
              <w:ind w:right="-18"/>
              <w:jc w:val="right"/>
              <w:rPr>
                <w:rFonts w:ascii="Arial Narrow" w:eastAsia="Times New Roman" w:hAnsi="Arial Narrow" w:cs="Arial"/>
                <w:bCs/>
                <w:sz w:val="20"/>
                <w:szCs w:val="20"/>
                <w:lang w:eastAsia="ar-SA"/>
              </w:rPr>
            </w:pPr>
            <w:r w:rsidRPr="00161848">
              <w:rPr>
                <w:rFonts w:ascii="Arial Narrow" w:eastAsia="Times New Roman" w:hAnsi="Arial Narrow" w:cs="Arial"/>
                <w:bCs/>
                <w:sz w:val="20"/>
                <w:szCs w:val="20"/>
                <w:lang w:eastAsia="ar-SA"/>
              </w:rPr>
              <w:t>-</w:t>
            </w:r>
          </w:p>
        </w:tc>
        <w:tc>
          <w:tcPr>
            <w:tcW w:w="1800" w:type="dxa"/>
            <w:vAlign w:val="bottom"/>
          </w:tcPr>
          <w:p w14:paraId="248670BC" w14:textId="77777777" w:rsidR="00A33BB3" w:rsidRPr="00161848" w:rsidRDefault="00C257E1" w:rsidP="00575083">
            <w:pPr>
              <w:suppressAutoHyphens/>
              <w:snapToGrid w:val="0"/>
              <w:spacing w:after="0" w:line="240" w:lineRule="auto"/>
              <w:ind w:right="-108"/>
              <w:jc w:val="right"/>
              <w:rPr>
                <w:rFonts w:ascii="Arial Narrow" w:eastAsia="Times New Roman" w:hAnsi="Arial Narrow" w:cs="Arial"/>
                <w:bCs/>
                <w:sz w:val="20"/>
                <w:szCs w:val="20"/>
                <w:lang w:eastAsia="ar-SA"/>
              </w:rPr>
            </w:pPr>
            <w:r w:rsidRPr="00161848">
              <w:rPr>
                <w:rFonts w:ascii="Arial Narrow" w:eastAsia="Times New Roman" w:hAnsi="Arial Narrow" w:cs="Arial"/>
                <w:bCs/>
                <w:sz w:val="20"/>
                <w:szCs w:val="20"/>
                <w:lang w:eastAsia="ar-SA"/>
              </w:rPr>
              <w:t>200</w:t>
            </w:r>
          </w:p>
        </w:tc>
      </w:tr>
      <w:tr w:rsidR="00161848" w:rsidRPr="00161848" w14:paraId="166CACF1" w14:textId="77777777" w:rsidTr="00AC5C65">
        <w:trPr>
          <w:trHeight w:val="227"/>
        </w:trPr>
        <w:tc>
          <w:tcPr>
            <w:tcW w:w="3600" w:type="dxa"/>
            <w:vAlign w:val="bottom"/>
          </w:tcPr>
          <w:p w14:paraId="0BCF58D6" w14:textId="77777777" w:rsidR="00A33BB3" w:rsidRPr="00161848" w:rsidRDefault="00A33BB3" w:rsidP="00575083">
            <w:pPr>
              <w:suppressAutoHyphens/>
              <w:snapToGrid w:val="0"/>
              <w:spacing w:after="0" w:line="240" w:lineRule="auto"/>
              <w:ind w:hanging="108"/>
              <w:rPr>
                <w:rFonts w:ascii="Arial Narrow" w:eastAsia="Times New Roman" w:hAnsi="Arial Narrow" w:cs="Arial"/>
                <w:bCs/>
                <w:sz w:val="20"/>
                <w:szCs w:val="20"/>
                <w:lang w:eastAsia="ar-SA"/>
              </w:rPr>
            </w:pPr>
            <w:r w:rsidRPr="00161848">
              <w:rPr>
                <w:rFonts w:ascii="Arial Narrow" w:eastAsia="Times New Roman" w:hAnsi="Arial Narrow" w:cs="Arial"/>
                <w:bCs/>
                <w:sz w:val="20"/>
                <w:szCs w:val="20"/>
                <w:lang w:eastAsia="ar-SA"/>
              </w:rPr>
              <w:t>Consultants</w:t>
            </w:r>
          </w:p>
        </w:tc>
        <w:tc>
          <w:tcPr>
            <w:tcW w:w="1620" w:type="dxa"/>
            <w:vAlign w:val="bottom"/>
          </w:tcPr>
          <w:p w14:paraId="2C8FCEAD" w14:textId="77777777" w:rsidR="00A33BB3" w:rsidRPr="00161848" w:rsidRDefault="00C257E1" w:rsidP="00575083">
            <w:pPr>
              <w:suppressAutoHyphens/>
              <w:snapToGrid w:val="0"/>
              <w:spacing w:after="0" w:line="240" w:lineRule="auto"/>
              <w:jc w:val="right"/>
              <w:rPr>
                <w:rFonts w:ascii="Arial Narrow" w:eastAsia="Times New Roman" w:hAnsi="Arial Narrow" w:cs="Arial"/>
                <w:bCs/>
                <w:sz w:val="20"/>
                <w:szCs w:val="20"/>
                <w:lang w:eastAsia="ar-SA"/>
              </w:rPr>
            </w:pPr>
            <w:r w:rsidRPr="00161848">
              <w:rPr>
                <w:rFonts w:ascii="Arial Narrow" w:eastAsia="Times New Roman" w:hAnsi="Arial Narrow" w:cs="Arial"/>
                <w:bCs/>
                <w:sz w:val="20"/>
                <w:szCs w:val="20"/>
                <w:lang w:eastAsia="ar-SA"/>
              </w:rPr>
              <w:t>64</w:t>
            </w:r>
          </w:p>
        </w:tc>
        <w:tc>
          <w:tcPr>
            <w:tcW w:w="1620" w:type="dxa"/>
            <w:vAlign w:val="bottom"/>
          </w:tcPr>
          <w:p w14:paraId="23F8A0E2" w14:textId="77777777" w:rsidR="00A33BB3" w:rsidRPr="00161848" w:rsidRDefault="00C257E1" w:rsidP="00575083">
            <w:pPr>
              <w:suppressAutoHyphens/>
              <w:snapToGrid w:val="0"/>
              <w:spacing w:after="0" w:line="240" w:lineRule="auto"/>
              <w:ind w:right="-18"/>
              <w:jc w:val="right"/>
              <w:rPr>
                <w:rFonts w:ascii="Arial Narrow" w:eastAsia="Times New Roman" w:hAnsi="Arial Narrow" w:cs="Arial"/>
                <w:bCs/>
                <w:sz w:val="20"/>
                <w:szCs w:val="20"/>
                <w:lang w:eastAsia="ar-SA"/>
              </w:rPr>
            </w:pPr>
            <w:r w:rsidRPr="00161848">
              <w:rPr>
                <w:rFonts w:ascii="Arial Narrow" w:eastAsia="Times New Roman" w:hAnsi="Arial Narrow" w:cs="Arial"/>
                <w:bCs/>
                <w:sz w:val="20"/>
                <w:szCs w:val="20"/>
                <w:lang w:eastAsia="ar-SA"/>
              </w:rPr>
              <w:t>-</w:t>
            </w:r>
          </w:p>
        </w:tc>
        <w:tc>
          <w:tcPr>
            <w:tcW w:w="1800" w:type="dxa"/>
            <w:vAlign w:val="bottom"/>
          </w:tcPr>
          <w:p w14:paraId="1440D65F" w14:textId="77777777" w:rsidR="00A33BB3" w:rsidRPr="00161848" w:rsidRDefault="00C257E1" w:rsidP="00575083">
            <w:pPr>
              <w:suppressAutoHyphens/>
              <w:snapToGrid w:val="0"/>
              <w:spacing w:after="0" w:line="240" w:lineRule="auto"/>
              <w:ind w:right="-108"/>
              <w:jc w:val="right"/>
              <w:rPr>
                <w:rFonts w:ascii="Arial Narrow" w:eastAsia="Times New Roman" w:hAnsi="Arial Narrow" w:cs="Arial"/>
                <w:bCs/>
                <w:sz w:val="20"/>
                <w:szCs w:val="20"/>
                <w:lang w:eastAsia="ar-SA"/>
              </w:rPr>
            </w:pPr>
            <w:r w:rsidRPr="00161848">
              <w:rPr>
                <w:rFonts w:ascii="Arial Narrow" w:eastAsia="Times New Roman" w:hAnsi="Arial Narrow" w:cs="Arial"/>
                <w:bCs/>
                <w:sz w:val="20"/>
                <w:szCs w:val="20"/>
                <w:lang w:eastAsia="ar-SA"/>
              </w:rPr>
              <w:t>64</w:t>
            </w:r>
          </w:p>
        </w:tc>
      </w:tr>
      <w:tr w:rsidR="00161848" w:rsidRPr="00161848" w14:paraId="791D2B89" w14:textId="77777777" w:rsidTr="00AC5C65">
        <w:trPr>
          <w:trHeight w:val="211"/>
        </w:trPr>
        <w:tc>
          <w:tcPr>
            <w:tcW w:w="3600" w:type="dxa"/>
            <w:tcBorders>
              <w:bottom w:val="single" w:sz="4" w:space="0" w:color="auto"/>
            </w:tcBorders>
            <w:vAlign w:val="bottom"/>
          </w:tcPr>
          <w:p w14:paraId="62335664" w14:textId="77777777" w:rsidR="00A33BB3" w:rsidRPr="00161848" w:rsidRDefault="00A33BB3" w:rsidP="00575083">
            <w:pPr>
              <w:suppressAutoHyphens/>
              <w:snapToGrid w:val="0"/>
              <w:spacing w:after="0" w:line="240" w:lineRule="auto"/>
              <w:ind w:hanging="108"/>
              <w:rPr>
                <w:rFonts w:ascii="Arial Narrow" w:eastAsia="Times New Roman" w:hAnsi="Arial Narrow" w:cs="Arial"/>
                <w:bCs/>
                <w:sz w:val="20"/>
                <w:szCs w:val="20"/>
                <w:lang w:eastAsia="ar-SA"/>
              </w:rPr>
            </w:pPr>
            <w:r w:rsidRPr="00161848">
              <w:rPr>
                <w:rFonts w:ascii="Arial Narrow" w:eastAsia="Times New Roman" w:hAnsi="Arial Narrow" w:cs="Arial"/>
                <w:bCs/>
                <w:sz w:val="20"/>
                <w:szCs w:val="20"/>
                <w:lang w:eastAsia="ar-SA"/>
              </w:rPr>
              <w:t>Job Order</w:t>
            </w:r>
          </w:p>
        </w:tc>
        <w:tc>
          <w:tcPr>
            <w:tcW w:w="1620" w:type="dxa"/>
            <w:tcBorders>
              <w:bottom w:val="single" w:sz="4" w:space="0" w:color="auto"/>
            </w:tcBorders>
            <w:vAlign w:val="bottom"/>
          </w:tcPr>
          <w:p w14:paraId="6686270C" w14:textId="77777777" w:rsidR="00A33BB3" w:rsidRPr="00161848" w:rsidRDefault="00C257E1" w:rsidP="00575083">
            <w:pPr>
              <w:suppressAutoHyphens/>
              <w:snapToGrid w:val="0"/>
              <w:spacing w:after="0" w:line="240" w:lineRule="auto"/>
              <w:jc w:val="right"/>
              <w:rPr>
                <w:rFonts w:ascii="Arial Narrow" w:eastAsia="Times New Roman" w:hAnsi="Arial Narrow" w:cs="Arial"/>
                <w:bCs/>
                <w:sz w:val="20"/>
                <w:szCs w:val="20"/>
                <w:lang w:eastAsia="ar-SA"/>
              </w:rPr>
            </w:pPr>
            <w:r w:rsidRPr="00161848">
              <w:rPr>
                <w:rFonts w:ascii="Arial Narrow" w:eastAsia="Times New Roman" w:hAnsi="Arial Narrow" w:cs="Arial"/>
                <w:bCs/>
                <w:sz w:val="20"/>
                <w:szCs w:val="20"/>
                <w:lang w:eastAsia="ar-SA"/>
              </w:rPr>
              <w:t>163</w:t>
            </w:r>
          </w:p>
        </w:tc>
        <w:tc>
          <w:tcPr>
            <w:tcW w:w="1620" w:type="dxa"/>
            <w:tcBorders>
              <w:bottom w:val="single" w:sz="4" w:space="0" w:color="auto"/>
            </w:tcBorders>
            <w:vAlign w:val="bottom"/>
          </w:tcPr>
          <w:p w14:paraId="4394E6B4" w14:textId="77777777" w:rsidR="00A33BB3" w:rsidRPr="00161848" w:rsidRDefault="00C257E1" w:rsidP="00575083">
            <w:pPr>
              <w:suppressAutoHyphens/>
              <w:snapToGrid w:val="0"/>
              <w:spacing w:after="0" w:line="240" w:lineRule="auto"/>
              <w:ind w:right="-18"/>
              <w:jc w:val="right"/>
              <w:rPr>
                <w:rFonts w:ascii="Arial Narrow" w:eastAsia="Times New Roman" w:hAnsi="Arial Narrow" w:cs="Arial"/>
                <w:bCs/>
                <w:sz w:val="20"/>
                <w:szCs w:val="20"/>
                <w:lang w:eastAsia="ar-SA"/>
              </w:rPr>
            </w:pPr>
            <w:r w:rsidRPr="00161848">
              <w:rPr>
                <w:rFonts w:ascii="Arial Narrow" w:eastAsia="Times New Roman" w:hAnsi="Arial Narrow" w:cs="Arial"/>
                <w:bCs/>
                <w:sz w:val="20"/>
                <w:szCs w:val="20"/>
                <w:lang w:eastAsia="ar-SA"/>
              </w:rPr>
              <w:t>149</w:t>
            </w:r>
          </w:p>
        </w:tc>
        <w:tc>
          <w:tcPr>
            <w:tcW w:w="1800" w:type="dxa"/>
            <w:tcBorders>
              <w:bottom w:val="single" w:sz="4" w:space="0" w:color="auto"/>
            </w:tcBorders>
            <w:vAlign w:val="bottom"/>
          </w:tcPr>
          <w:p w14:paraId="42635E15" w14:textId="77777777" w:rsidR="00A33BB3" w:rsidRPr="00161848" w:rsidRDefault="00C257E1" w:rsidP="00575083">
            <w:pPr>
              <w:suppressAutoHyphens/>
              <w:snapToGrid w:val="0"/>
              <w:spacing w:after="0" w:line="240" w:lineRule="auto"/>
              <w:ind w:right="-108"/>
              <w:jc w:val="right"/>
              <w:rPr>
                <w:rFonts w:ascii="Arial Narrow" w:eastAsia="Times New Roman" w:hAnsi="Arial Narrow" w:cs="Arial"/>
                <w:bCs/>
                <w:sz w:val="20"/>
                <w:szCs w:val="20"/>
                <w:lang w:eastAsia="ar-SA"/>
              </w:rPr>
            </w:pPr>
            <w:r w:rsidRPr="00161848">
              <w:rPr>
                <w:rFonts w:ascii="Arial Narrow" w:eastAsia="Times New Roman" w:hAnsi="Arial Narrow" w:cs="Arial"/>
                <w:bCs/>
                <w:sz w:val="20"/>
                <w:szCs w:val="20"/>
                <w:lang w:eastAsia="ar-SA"/>
              </w:rPr>
              <w:t>312</w:t>
            </w:r>
          </w:p>
        </w:tc>
      </w:tr>
      <w:tr w:rsidR="00A33BB3" w:rsidRPr="00161848" w14:paraId="2E59AA9D" w14:textId="77777777" w:rsidTr="00AC5C65">
        <w:trPr>
          <w:trHeight w:val="227"/>
        </w:trPr>
        <w:tc>
          <w:tcPr>
            <w:tcW w:w="3600" w:type="dxa"/>
            <w:tcBorders>
              <w:top w:val="single" w:sz="4" w:space="0" w:color="auto"/>
              <w:bottom w:val="double" w:sz="4" w:space="0" w:color="auto"/>
            </w:tcBorders>
            <w:vAlign w:val="bottom"/>
            <w:hideMark/>
          </w:tcPr>
          <w:p w14:paraId="6F1C13CA" w14:textId="77777777" w:rsidR="00A33BB3" w:rsidRPr="00161848" w:rsidRDefault="00A33BB3" w:rsidP="00575083">
            <w:pPr>
              <w:spacing w:after="0" w:line="240" w:lineRule="auto"/>
              <w:ind w:hanging="108"/>
              <w:rPr>
                <w:rFonts w:ascii="Arial Narrow" w:hAnsi="Arial Narrow" w:cs="Arial"/>
                <w:b/>
                <w:sz w:val="20"/>
                <w:szCs w:val="20"/>
              </w:rPr>
            </w:pPr>
          </w:p>
        </w:tc>
        <w:tc>
          <w:tcPr>
            <w:tcW w:w="1620" w:type="dxa"/>
            <w:tcBorders>
              <w:top w:val="single" w:sz="4" w:space="0" w:color="auto"/>
              <w:bottom w:val="double" w:sz="4" w:space="0" w:color="auto"/>
            </w:tcBorders>
            <w:vAlign w:val="bottom"/>
          </w:tcPr>
          <w:p w14:paraId="23301150" w14:textId="77777777" w:rsidR="00A33BB3" w:rsidRPr="00161848" w:rsidRDefault="004D6099" w:rsidP="00575083">
            <w:pPr>
              <w:spacing w:after="0" w:line="240" w:lineRule="auto"/>
              <w:jc w:val="right"/>
              <w:rPr>
                <w:rFonts w:ascii="Arial Narrow" w:hAnsi="Arial Narrow" w:cs="Arial"/>
                <w:b/>
                <w:sz w:val="20"/>
                <w:szCs w:val="20"/>
              </w:rPr>
            </w:pPr>
            <w:r w:rsidRPr="00161848">
              <w:rPr>
                <w:rFonts w:ascii="Arial Narrow" w:hAnsi="Arial Narrow" w:cs="Arial"/>
                <w:b/>
                <w:sz w:val="20"/>
                <w:szCs w:val="20"/>
              </w:rPr>
              <w:fldChar w:fldCharType="begin"/>
            </w:r>
            <w:r w:rsidR="00C257E1" w:rsidRPr="00161848">
              <w:rPr>
                <w:rFonts w:ascii="Arial Narrow" w:hAnsi="Arial Narrow" w:cs="Arial"/>
                <w:b/>
                <w:sz w:val="20"/>
                <w:szCs w:val="20"/>
              </w:rPr>
              <w:instrText xml:space="preserve"> =SUM(ABOVE) </w:instrText>
            </w:r>
            <w:r w:rsidRPr="00161848">
              <w:rPr>
                <w:rFonts w:ascii="Arial Narrow" w:hAnsi="Arial Narrow" w:cs="Arial"/>
                <w:b/>
                <w:sz w:val="20"/>
                <w:szCs w:val="20"/>
              </w:rPr>
              <w:fldChar w:fldCharType="separate"/>
            </w:r>
            <w:r w:rsidR="00C257E1" w:rsidRPr="00161848">
              <w:rPr>
                <w:rFonts w:ascii="Arial Narrow" w:hAnsi="Arial Narrow" w:cs="Arial"/>
                <w:b/>
                <w:noProof/>
                <w:sz w:val="20"/>
                <w:szCs w:val="20"/>
              </w:rPr>
              <w:t>1,097</w:t>
            </w:r>
            <w:r w:rsidRPr="00161848">
              <w:rPr>
                <w:rFonts w:ascii="Arial Narrow" w:hAnsi="Arial Narrow" w:cs="Arial"/>
                <w:b/>
                <w:sz w:val="20"/>
                <w:szCs w:val="20"/>
              </w:rPr>
              <w:fldChar w:fldCharType="end"/>
            </w:r>
          </w:p>
        </w:tc>
        <w:tc>
          <w:tcPr>
            <w:tcW w:w="1620" w:type="dxa"/>
            <w:tcBorders>
              <w:top w:val="single" w:sz="4" w:space="0" w:color="auto"/>
              <w:bottom w:val="double" w:sz="4" w:space="0" w:color="auto"/>
            </w:tcBorders>
            <w:vAlign w:val="bottom"/>
          </w:tcPr>
          <w:p w14:paraId="0614F751" w14:textId="77777777" w:rsidR="00A33BB3" w:rsidRPr="00161848" w:rsidRDefault="004D6099" w:rsidP="00575083">
            <w:pPr>
              <w:spacing w:after="0" w:line="240" w:lineRule="auto"/>
              <w:ind w:right="-18"/>
              <w:jc w:val="right"/>
              <w:rPr>
                <w:rFonts w:ascii="Arial Narrow" w:hAnsi="Arial Narrow" w:cs="Arial"/>
                <w:b/>
                <w:sz w:val="20"/>
                <w:szCs w:val="20"/>
              </w:rPr>
            </w:pPr>
            <w:r w:rsidRPr="00161848">
              <w:rPr>
                <w:rFonts w:ascii="Arial Narrow" w:hAnsi="Arial Narrow" w:cs="Arial"/>
                <w:b/>
                <w:sz w:val="20"/>
                <w:szCs w:val="20"/>
              </w:rPr>
              <w:fldChar w:fldCharType="begin"/>
            </w:r>
            <w:r w:rsidR="00C257E1" w:rsidRPr="00161848">
              <w:rPr>
                <w:rFonts w:ascii="Arial Narrow" w:hAnsi="Arial Narrow" w:cs="Arial"/>
                <w:b/>
                <w:sz w:val="20"/>
                <w:szCs w:val="20"/>
              </w:rPr>
              <w:instrText xml:space="preserve"> =SUM(ABOVE) </w:instrText>
            </w:r>
            <w:r w:rsidRPr="00161848">
              <w:rPr>
                <w:rFonts w:ascii="Arial Narrow" w:hAnsi="Arial Narrow" w:cs="Arial"/>
                <w:b/>
                <w:sz w:val="20"/>
                <w:szCs w:val="20"/>
              </w:rPr>
              <w:fldChar w:fldCharType="separate"/>
            </w:r>
            <w:r w:rsidR="00C257E1" w:rsidRPr="00161848">
              <w:rPr>
                <w:rFonts w:ascii="Arial Narrow" w:hAnsi="Arial Narrow" w:cs="Arial"/>
                <w:b/>
                <w:noProof/>
                <w:sz w:val="20"/>
                <w:szCs w:val="20"/>
              </w:rPr>
              <w:t>594</w:t>
            </w:r>
            <w:r w:rsidRPr="00161848">
              <w:rPr>
                <w:rFonts w:ascii="Arial Narrow" w:hAnsi="Arial Narrow" w:cs="Arial"/>
                <w:b/>
                <w:sz w:val="20"/>
                <w:szCs w:val="20"/>
              </w:rPr>
              <w:fldChar w:fldCharType="end"/>
            </w:r>
          </w:p>
        </w:tc>
        <w:tc>
          <w:tcPr>
            <w:tcW w:w="1800" w:type="dxa"/>
            <w:tcBorders>
              <w:top w:val="single" w:sz="4" w:space="0" w:color="auto"/>
              <w:bottom w:val="double" w:sz="4" w:space="0" w:color="auto"/>
            </w:tcBorders>
            <w:vAlign w:val="bottom"/>
          </w:tcPr>
          <w:p w14:paraId="6D609C50" w14:textId="77777777" w:rsidR="00A33BB3" w:rsidRPr="00161848" w:rsidRDefault="004D6099" w:rsidP="00575083">
            <w:pPr>
              <w:spacing w:after="0" w:line="240" w:lineRule="auto"/>
              <w:ind w:right="-108"/>
              <w:jc w:val="right"/>
              <w:rPr>
                <w:rFonts w:ascii="Arial Narrow" w:hAnsi="Arial Narrow" w:cs="Arial"/>
                <w:b/>
                <w:sz w:val="20"/>
                <w:szCs w:val="20"/>
              </w:rPr>
            </w:pPr>
            <w:r w:rsidRPr="00161848">
              <w:rPr>
                <w:rFonts w:ascii="Arial Narrow" w:hAnsi="Arial Narrow" w:cs="Arial"/>
                <w:b/>
                <w:sz w:val="20"/>
                <w:szCs w:val="20"/>
              </w:rPr>
              <w:fldChar w:fldCharType="begin"/>
            </w:r>
            <w:r w:rsidR="00C257E1" w:rsidRPr="00161848">
              <w:rPr>
                <w:rFonts w:ascii="Arial Narrow" w:hAnsi="Arial Narrow" w:cs="Arial"/>
                <w:b/>
                <w:sz w:val="20"/>
                <w:szCs w:val="20"/>
              </w:rPr>
              <w:instrText xml:space="preserve"> =SUM(ABOVE) </w:instrText>
            </w:r>
            <w:r w:rsidRPr="00161848">
              <w:rPr>
                <w:rFonts w:ascii="Arial Narrow" w:hAnsi="Arial Narrow" w:cs="Arial"/>
                <w:b/>
                <w:sz w:val="20"/>
                <w:szCs w:val="20"/>
              </w:rPr>
              <w:fldChar w:fldCharType="separate"/>
            </w:r>
            <w:r w:rsidR="00C257E1" w:rsidRPr="00161848">
              <w:rPr>
                <w:rFonts w:ascii="Arial Narrow" w:hAnsi="Arial Narrow" w:cs="Arial"/>
                <w:b/>
                <w:noProof/>
                <w:sz w:val="20"/>
                <w:szCs w:val="20"/>
              </w:rPr>
              <w:t>1,691</w:t>
            </w:r>
            <w:r w:rsidRPr="00161848">
              <w:rPr>
                <w:rFonts w:ascii="Arial Narrow" w:hAnsi="Arial Narrow" w:cs="Arial"/>
                <w:b/>
                <w:sz w:val="20"/>
                <w:szCs w:val="20"/>
              </w:rPr>
              <w:fldChar w:fldCharType="end"/>
            </w:r>
          </w:p>
        </w:tc>
      </w:tr>
    </w:tbl>
    <w:p w14:paraId="40F3251F" w14:textId="77777777" w:rsidR="00A33BB3" w:rsidRPr="000702DC" w:rsidRDefault="00A33BB3" w:rsidP="00575083">
      <w:pPr>
        <w:spacing w:after="0" w:line="240" w:lineRule="auto"/>
        <w:jc w:val="both"/>
        <w:rPr>
          <w:rFonts w:ascii="Arial" w:hAnsi="Arial" w:cs="Arial"/>
          <w:sz w:val="20"/>
          <w:szCs w:val="20"/>
        </w:rPr>
      </w:pPr>
    </w:p>
    <w:p w14:paraId="4AE3F92B" w14:textId="651C0EDB" w:rsidR="00A33BB3" w:rsidRPr="00161848" w:rsidRDefault="00A33BB3" w:rsidP="00575083">
      <w:pPr>
        <w:spacing w:after="0" w:line="240" w:lineRule="auto"/>
        <w:jc w:val="both"/>
        <w:rPr>
          <w:rFonts w:ascii="Arial" w:hAnsi="Arial" w:cs="Arial"/>
        </w:rPr>
      </w:pPr>
      <w:r w:rsidRPr="00161848">
        <w:rPr>
          <w:rFonts w:ascii="Arial" w:hAnsi="Arial" w:cs="Arial"/>
        </w:rPr>
        <w:t>The PCSO Main Office is located at the Sun Plaza Building and Conservatory Shaw Plaz</w:t>
      </w:r>
      <w:r w:rsidR="0005182B" w:rsidRPr="00161848">
        <w:rPr>
          <w:rFonts w:ascii="Arial" w:hAnsi="Arial" w:cs="Arial"/>
        </w:rPr>
        <w:t xml:space="preserve">a Building in Mandaluyong City.  </w:t>
      </w:r>
      <w:r w:rsidRPr="00161848">
        <w:rPr>
          <w:rFonts w:ascii="Arial" w:hAnsi="Arial" w:cs="Arial"/>
        </w:rPr>
        <w:t>It has five branch operations</w:t>
      </w:r>
      <w:r w:rsidR="00C257E1" w:rsidRPr="00161848">
        <w:rPr>
          <w:rFonts w:ascii="Arial" w:hAnsi="Arial" w:cs="Arial"/>
        </w:rPr>
        <w:t xml:space="preserve"> </w:t>
      </w:r>
      <w:r w:rsidRPr="00161848">
        <w:rPr>
          <w:rFonts w:ascii="Arial" w:hAnsi="Arial" w:cs="Arial"/>
        </w:rPr>
        <w:t>departments, namely: National Capital Region (NCR), Northern and Central Luzon (NCL), Southern Tagalog and Bicol Regio</w:t>
      </w:r>
      <w:r w:rsidR="0005182B" w:rsidRPr="00161848">
        <w:rPr>
          <w:rFonts w:ascii="Arial" w:hAnsi="Arial" w:cs="Arial"/>
        </w:rPr>
        <w:t>n (STBR),</w:t>
      </w:r>
      <w:r w:rsidR="007B4A3E" w:rsidRPr="00161848">
        <w:rPr>
          <w:rFonts w:ascii="Arial" w:hAnsi="Arial" w:cs="Arial"/>
        </w:rPr>
        <w:t xml:space="preserve"> </w:t>
      </w:r>
      <w:r w:rsidR="0005182B" w:rsidRPr="00161848">
        <w:rPr>
          <w:rFonts w:ascii="Arial" w:hAnsi="Arial" w:cs="Arial"/>
        </w:rPr>
        <w:t>Visayas and Mindanao.  PCSO has sixty</w:t>
      </w:r>
      <w:r w:rsidR="00905A80" w:rsidRPr="00161848">
        <w:rPr>
          <w:rFonts w:ascii="Arial" w:hAnsi="Arial" w:cs="Arial"/>
        </w:rPr>
        <w:t>-</w:t>
      </w:r>
      <w:r w:rsidR="00C257E1" w:rsidRPr="00161848">
        <w:rPr>
          <w:rFonts w:ascii="Arial" w:hAnsi="Arial" w:cs="Arial"/>
        </w:rPr>
        <w:t>eight</w:t>
      </w:r>
      <w:r w:rsidRPr="00161848">
        <w:rPr>
          <w:rFonts w:ascii="Arial" w:hAnsi="Arial" w:cs="Arial"/>
        </w:rPr>
        <w:t xml:space="preserve"> (6</w:t>
      </w:r>
      <w:r w:rsidR="00C257E1" w:rsidRPr="00161848">
        <w:rPr>
          <w:rFonts w:ascii="Arial" w:hAnsi="Arial" w:cs="Arial"/>
        </w:rPr>
        <w:t>8</w:t>
      </w:r>
      <w:r w:rsidRPr="00161848">
        <w:rPr>
          <w:rFonts w:ascii="Arial" w:hAnsi="Arial" w:cs="Arial"/>
        </w:rPr>
        <w:t xml:space="preserve">) </w:t>
      </w:r>
      <w:r w:rsidR="0005182B" w:rsidRPr="00161848">
        <w:rPr>
          <w:rFonts w:ascii="Arial" w:hAnsi="Arial" w:cs="Arial"/>
        </w:rPr>
        <w:t>branches as of December 31, 201</w:t>
      </w:r>
      <w:r w:rsidR="00C257E1" w:rsidRPr="00161848">
        <w:rPr>
          <w:rFonts w:ascii="Arial" w:hAnsi="Arial" w:cs="Arial"/>
        </w:rPr>
        <w:t>9</w:t>
      </w:r>
      <w:r w:rsidRPr="00161848">
        <w:rPr>
          <w:rFonts w:ascii="Arial" w:hAnsi="Arial" w:cs="Arial"/>
        </w:rPr>
        <w:t>.</w:t>
      </w:r>
    </w:p>
    <w:p w14:paraId="2FBD500F" w14:textId="77777777" w:rsidR="00A33BB3" w:rsidRPr="00161848" w:rsidRDefault="00A33BB3" w:rsidP="00575083">
      <w:pPr>
        <w:spacing w:after="0" w:line="240" w:lineRule="auto"/>
        <w:jc w:val="both"/>
        <w:rPr>
          <w:rFonts w:ascii="Arial" w:hAnsi="Arial" w:cs="Arial"/>
        </w:rPr>
      </w:pPr>
      <w:r w:rsidRPr="00161848">
        <w:rPr>
          <w:rFonts w:ascii="Arial" w:hAnsi="Arial" w:cs="Arial"/>
        </w:rPr>
        <w:lastRenderedPageBreak/>
        <w:t>The main sources of funds of the PCSO are the Sweepstakes and the Lottery games. Various game types have been introduced and other game innovations are constantly being conceptualized.</w:t>
      </w:r>
    </w:p>
    <w:p w14:paraId="0CB524A5" w14:textId="77777777" w:rsidR="00A33BB3" w:rsidRPr="00CB173B" w:rsidRDefault="00A33BB3" w:rsidP="00575083">
      <w:pPr>
        <w:pStyle w:val="ListParagraph"/>
        <w:ind w:left="0"/>
        <w:jc w:val="both"/>
        <w:rPr>
          <w:rFonts w:ascii="Arial" w:hAnsi="Arial" w:cs="Arial"/>
          <w:sz w:val="19"/>
          <w:szCs w:val="19"/>
        </w:rPr>
      </w:pPr>
    </w:p>
    <w:p w14:paraId="1C4B9593" w14:textId="77777777" w:rsidR="005E6433" w:rsidRPr="00CB173B" w:rsidRDefault="005E6433" w:rsidP="00575083">
      <w:pPr>
        <w:spacing w:after="0" w:line="240" w:lineRule="auto"/>
        <w:jc w:val="both"/>
        <w:rPr>
          <w:rFonts w:ascii="Arial" w:hAnsi="Arial" w:cs="Arial"/>
          <w:b/>
          <w:sz w:val="19"/>
          <w:szCs w:val="19"/>
        </w:rPr>
      </w:pPr>
    </w:p>
    <w:p w14:paraId="1AB5F4C2" w14:textId="77777777" w:rsidR="00D7617B" w:rsidRPr="00161848" w:rsidRDefault="009F5D8E" w:rsidP="00575083">
      <w:pPr>
        <w:spacing w:after="0" w:line="240" w:lineRule="auto"/>
        <w:jc w:val="both"/>
        <w:rPr>
          <w:rFonts w:ascii="Arial" w:hAnsi="Arial" w:cs="Arial"/>
          <w:b/>
        </w:rPr>
      </w:pPr>
      <w:r w:rsidRPr="00161848">
        <w:rPr>
          <w:rFonts w:ascii="Arial" w:hAnsi="Arial" w:cs="Arial"/>
          <w:b/>
        </w:rPr>
        <w:t>FINANCIAL HIGHLIGHTS</w:t>
      </w:r>
      <w:r w:rsidR="00DB61BD" w:rsidRPr="00161848">
        <w:rPr>
          <w:rFonts w:ascii="Arial" w:hAnsi="Arial" w:cs="Arial"/>
          <w:b/>
        </w:rPr>
        <w:t xml:space="preserve"> (In Philippine Peso)</w:t>
      </w:r>
    </w:p>
    <w:p w14:paraId="517B6D79" w14:textId="77777777" w:rsidR="001F30DC" w:rsidRPr="000702DC" w:rsidRDefault="001F30DC" w:rsidP="00575083">
      <w:pPr>
        <w:spacing w:after="0" w:line="240" w:lineRule="auto"/>
        <w:jc w:val="both"/>
        <w:rPr>
          <w:rFonts w:ascii="Arial" w:hAnsi="Arial" w:cs="Arial"/>
          <w:b/>
          <w:sz w:val="19"/>
          <w:szCs w:val="19"/>
        </w:rPr>
      </w:pPr>
    </w:p>
    <w:p w14:paraId="0723A13D" w14:textId="77777777" w:rsidR="009F5D8E" w:rsidRPr="000702DC" w:rsidRDefault="009F5D8E" w:rsidP="00CB173B">
      <w:pPr>
        <w:pStyle w:val="ListParagraph"/>
        <w:numPr>
          <w:ilvl w:val="0"/>
          <w:numId w:val="1"/>
        </w:numPr>
        <w:ind w:left="720"/>
        <w:jc w:val="both"/>
        <w:rPr>
          <w:rFonts w:ascii="Arial" w:hAnsi="Arial" w:cs="Arial"/>
          <w:b/>
          <w:sz w:val="20"/>
          <w:szCs w:val="20"/>
        </w:rPr>
      </w:pPr>
      <w:r w:rsidRPr="000702DC">
        <w:rPr>
          <w:rFonts w:ascii="Arial" w:hAnsi="Arial" w:cs="Arial"/>
          <w:b/>
          <w:sz w:val="20"/>
          <w:szCs w:val="20"/>
        </w:rPr>
        <w:t>Financial Position</w:t>
      </w:r>
    </w:p>
    <w:p w14:paraId="4C387D71" w14:textId="2E3123CE" w:rsidR="007A7C0E" w:rsidRPr="00161848" w:rsidRDefault="007A7C0E" w:rsidP="00CB173B">
      <w:pPr>
        <w:spacing w:after="0" w:line="240" w:lineRule="auto"/>
        <w:jc w:val="both"/>
        <w:rPr>
          <w:rFonts w:ascii="Arial" w:hAnsi="Arial" w:cs="Arial"/>
          <w:b/>
          <w:sz w:val="20"/>
          <w:szCs w:val="20"/>
        </w:rPr>
      </w:pPr>
    </w:p>
    <w:tbl>
      <w:tblPr>
        <w:tblW w:w="8604" w:type="dxa"/>
        <w:tblInd w:w="93" w:type="dxa"/>
        <w:tblLook w:val="04A0" w:firstRow="1" w:lastRow="0" w:firstColumn="1" w:lastColumn="0" w:noHBand="0" w:noVBand="1"/>
      </w:tblPr>
      <w:tblGrid>
        <w:gridCol w:w="3777"/>
        <w:gridCol w:w="1731"/>
        <w:gridCol w:w="1541"/>
        <w:gridCol w:w="1555"/>
      </w:tblGrid>
      <w:tr w:rsidR="00161848" w:rsidRPr="00161848" w14:paraId="2056A987" w14:textId="77777777" w:rsidTr="000702DC">
        <w:trPr>
          <w:trHeight w:val="332"/>
        </w:trPr>
        <w:tc>
          <w:tcPr>
            <w:tcW w:w="3777" w:type="dxa"/>
            <w:tcBorders>
              <w:top w:val="single" w:sz="4" w:space="0" w:color="auto"/>
              <w:left w:val="nil"/>
              <w:bottom w:val="single" w:sz="4" w:space="0" w:color="auto"/>
              <w:right w:val="nil"/>
            </w:tcBorders>
            <w:shd w:val="clear" w:color="auto" w:fill="auto"/>
            <w:vAlign w:val="center"/>
            <w:hideMark/>
          </w:tcPr>
          <w:p w14:paraId="6595827D" w14:textId="77777777" w:rsidR="007A7C0E" w:rsidRPr="000702DC" w:rsidRDefault="007A7C0E" w:rsidP="00CB173B">
            <w:pPr>
              <w:spacing w:after="0" w:line="240" w:lineRule="auto"/>
              <w:rPr>
                <w:rFonts w:ascii="Arial Narrow" w:eastAsia="Times New Roman" w:hAnsi="Arial Narrow"/>
                <w:sz w:val="18"/>
                <w:szCs w:val="18"/>
                <w:lang w:val="en-US"/>
              </w:rPr>
            </w:pPr>
          </w:p>
        </w:tc>
        <w:tc>
          <w:tcPr>
            <w:tcW w:w="1731" w:type="dxa"/>
            <w:tcBorders>
              <w:top w:val="single" w:sz="4" w:space="0" w:color="auto"/>
              <w:left w:val="nil"/>
              <w:bottom w:val="single" w:sz="4" w:space="0" w:color="auto"/>
              <w:right w:val="nil"/>
            </w:tcBorders>
            <w:shd w:val="clear" w:color="auto" w:fill="auto"/>
            <w:vAlign w:val="bottom"/>
            <w:hideMark/>
          </w:tcPr>
          <w:p w14:paraId="33BBF277" w14:textId="77777777" w:rsidR="007A7C0E" w:rsidRPr="000702DC" w:rsidRDefault="007A7C0E" w:rsidP="00CB173B">
            <w:pPr>
              <w:spacing w:after="0" w:line="240" w:lineRule="auto"/>
              <w:jc w:val="right"/>
              <w:rPr>
                <w:rFonts w:ascii="Arial Narrow" w:eastAsia="Times New Roman" w:hAnsi="Arial Narrow" w:cs="Arial"/>
                <w:b/>
                <w:bCs/>
                <w:sz w:val="18"/>
                <w:szCs w:val="18"/>
                <w:lang w:val="en-US"/>
              </w:rPr>
            </w:pPr>
            <w:r w:rsidRPr="000702DC">
              <w:rPr>
                <w:rFonts w:ascii="Arial Narrow" w:eastAsia="Times New Roman" w:hAnsi="Arial Narrow" w:cs="Arial"/>
                <w:b/>
                <w:bCs/>
                <w:sz w:val="18"/>
                <w:szCs w:val="18"/>
                <w:lang w:val="en-US"/>
              </w:rPr>
              <w:t>2019</w:t>
            </w:r>
          </w:p>
        </w:tc>
        <w:tc>
          <w:tcPr>
            <w:tcW w:w="1541" w:type="dxa"/>
            <w:tcBorders>
              <w:top w:val="single" w:sz="4" w:space="0" w:color="auto"/>
              <w:left w:val="nil"/>
              <w:bottom w:val="single" w:sz="4" w:space="0" w:color="auto"/>
              <w:right w:val="nil"/>
            </w:tcBorders>
            <w:shd w:val="clear" w:color="auto" w:fill="auto"/>
            <w:vAlign w:val="bottom"/>
            <w:hideMark/>
          </w:tcPr>
          <w:p w14:paraId="4C519F23" w14:textId="77777777" w:rsidR="007A7C0E" w:rsidRPr="000702DC" w:rsidRDefault="007A7C0E" w:rsidP="00CB173B">
            <w:pPr>
              <w:spacing w:after="0" w:line="240" w:lineRule="auto"/>
              <w:jc w:val="right"/>
              <w:rPr>
                <w:rFonts w:ascii="Arial Narrow" w:eastAsia="Times New Roman" w:hAnsi="Arial Narrow" w:cs="Arial"/>
                <w:b/>
                <w:bCs/>
                <w:sz w:val="18"/>
                <w:szCs w:val="18"/>
                <w:lang w:val="en-US"/>
              </w:rPr>
            </w:pPr>
            <w:r w:rsidRPr="000702DC">
              <w:rPr>
                <w:rFonts w:ascii="Arial Narrow" w:eastAsia="Times New Roman" w:hAnsi="Arial Narrow" w:cs="Arial"/>
                <w:b/>
                <w:bCs/>
                <w:sz w:val="18"/>
                <w:szCs w:val="18"/>
                <w:lang w:val="en-US"/>
              </w:rPr>
              <w:t>2018</w:t>
            </w:r>
          </w:p>
          <w:p w14:paraId="7252EEBC" w14:textId="77777777" w:rsidR="007A7C0E" w:rsidRPr="000702DC" w:rsidRDefault="007A7C0E" w:rsidP="00CB173B">
            <w:pPr>
              <w:spacing w:after="0" w:line="240" w:lineRule="auto"/>
              <w:jc w:val="right"/>
              <w:rPr>
                <w:rFonts w:ascii="Arial Narrow" w:eastAsia="Times New Roman" w:hAnsi="Arial Narrow" w:cs="Arial"/>
                <w:b/>
                <w:bCs/>
                <w:sz w:val="18"/>
                <w:szCs w:val="18"/>
                <w:lang w:val="en-US"/>
              </w:rPr>
            </w:pPr>
            <w:r w:rsidRPr="000702DC">
              <w:rPr>
                <w:rFonts w:ascii="Arial Narrow" w:eastAsia="Times New Roman" w:hAnsi="Arial Narrow" w:cs="Arial"/>
                <w:b/>
                <w:bCs/>
                <w:sz w:val="18"/>
                <w:szCs w:val="18"/>
                <w:lang w:val="en-US"/>
              </w:rPr>
              <w:t>As Restated</w:t>
            </w:r>
          </w:p>
        </w:tc>
        <w:tc>
          <w:tcPr>
            <w:tcW w:w="1555" w:type="dxa"/>
            <w:tcBorders>
              <w:top w:val="single" w:sz="4" w:space="0" w:color="auto"/>
              <w:left w:val="nil"/>
              <w:bottom w:val="single" w:sz="4" w:space="0" w:color="auto"/>
              <w:right w:val="nil"/>
            </w:tcBorders>
            <w:shd w:val="clear" w:color="auto" w:fill="auto"/>
            <w:vAlign w:val="center"/>
            <w:hideMark/>
          </w:tcPr>
          <w:p w14:paraId="729D8726" w14:textId="77777777" w:rsidR="007A7C0E" w:rsidRPr="000702DC" w:rsidRDefault="007A7C0E" w:rsidP="00CB173B">
            <w:pPr>
              <w:spacing w:after="0" w:line="240" w:lineRule="auto"/>
              <w:ind w:right="-108"/>
              <w:jc w:val="right"/>
              <w:rPr>
                <w:rFonts w:ascii="Arial Narrow" w:eastAsia="Times New Roman" w:hAnsi="Arial Narrow" w:cs="Arial"/>
                <w:b/>
                <w:bCs/>
                <w:sz w:val="18"/>
                <w:szCs w:val="18"/>
                <w:lang w:val="en-US"/>
              </w:rPr>
            </w:pPr>
            <w:r w:rsidRPr="000702DC">
              <w:rPr>
                <w:rFonts w:ascii="Arial Narrow" w:eastAsia="Times New Roman" w:hAnsi="Arial Narrow" w:cs="Arial"/>
                <w:b/>
                <w:bCs/>
                <w:sz w:val="18"/>
                <w:szCs w:val="18"/>
                <w:lang w:val="en-US"/>
              </w:rPr>
              <w:t>Increase/ (Decrease)</w:t>
            </w:r>
          </w:p>
        </w:tc>
      </w:tr>
      <w:tr w:rsidR="00161848" w:rsidRPr="00161848" w14:paraId="78974B8C" w14:textId="77777777" w:rsidTr="00003FB0">
        <w:trPr>
          <w:trHeight w:val="246"/>
        </w:trPr>
        <w:tc>
          <w:tcPr>
            <w:tcW w:w="3777" w:type="dxa"/>
            <w:tcBorders>
              <w:top w:val="nil"/>
              <w:left w:val="nil"/>
              <w:right w:val="nil"/>
            </w:tcBorders>
            <w:shd w:val="clear" w:color="auto" w:fill="auto"/>
            <w:noWrap/>
            <w:vAlign w:val="center"/>
            <w:hideMark/>
          </w:tcPr>
          <w:p w14:paraId="37B26919" w14:textId="77777777" w:rsidR="007A7C0E" w:rsidRPr="000702DC" w:rsidRDefault="007A7C0E" w:rsidP="00575083">
            <w:pPr>
              <w:spacing w:after="0" w:line="240" w:lineRule="auto"/>
              <w:ind w:hanging="93"/>
              <w:rPr>
                <w:rFonts w:ascii="Arial Narrow" w:eastAsia="Times New Roman" w:hAnsi="Arial Narrow" w:cs="Arial"/>
                <w:sz w:val="18"/>
                <w:szCs w:val="18"/>
                <w:lang w:val="en-US"/>
              </w:rPr>
            </w:pPr>
            <w:r w:rsidRPr="000702DC">
              <w:rPr>
                <w:rFonts w:ascii="Arial Narrow" w:eastAsia="Times New Roman" w:hAnsi="Arial Narrow" w:cs="Arial"/>
                <w:sz w:val="18"/>
                <w:szCs w:val="18"/>
                <w:lang w:val="en-US"/>
              </w:rPr>
              <w:t>Assets</w:t>
            </w:r>
          </w:p>
        </w:tc>
        <w:tc>
          <w:tcPr>
            <w:tcW w:w="1731" w:type="dxa"/>
            <w:tcBorders>
              <w:top w:val="nil"/>
              <w:left w:val="nil"/>
              <w:right w:val="nil"/>
            </w:tcBorders>
            <w:shd w:val="clear" w:color="auto" w:fill="auto"/>
            <w:vAlign w:val="center"/>
          </w:tcPr>
          <w:p w14:paraId="5276C1BE" w14:textId="77777777" w:rsidR="007A7C0E" w:rsidRPr="000702DC" w:rsidRDefault="007A7C0E" w:rsidP="00575083">
            <w:pPr>
              <w:spacing w:after="0" w:line="240" w:lineRule="auto"/>
              <w:jc w:val="right"/>
              <w:rPr>
                <w:rFonts w:ascii="Arial Narrow" w:eastAsia="Times New Roman" w:hAnsi="Arial Narrow" w:cs="Arial"/>
                <w:sz w:val="18"/>
                <w:szCs w:val="18"/>
                <w:lang w:val="en-US"/>
              </w:rPr>
            </w:pPr>
            <w:r w:rsidRPr="000702DC">
              <w:rPr>
                <w:rFonts w:ascii="Arial Narrow" w:eastAsia="Times New Roman" w:hAnsi="Arial Narrow" w:cs="Arial"/>
                <w:sz w:val="18"/>
                <w:szCs w:val="18"/>
                <w:lang w:val="en-US"/>
              </w:rPr>
              <w:t>29,081,649,788</w:t>
            </w:r>
          </w:p>
        </w:tc>
        <w:tc>
          <w:tcPr>
            <w:tcW w:w="1541" w:type="dxa"/>
            <w:tcBorders>
              <w:top w:val="nil"/>
              <w:left w:val="nil"/>
              <w:right w:val="nil"/>
            </w:tcBorders>
            <w:shd w:val="clear" w:color="auto" w:fill="auto"/>
            <w:vAlign w:val="center"/>
          </w:tcPr>
          <w:p w14:paraId="30F371D0" w14:textId="77777777" w:rsidR="007A7C0E" w:rsidRPr="000702DC" w:rsidRDefault="007A7C0E" w:rsidP="00575083">
            <w:pPr>
              <w:spacing w:after="0" w:line="240" w:lineRule="auto"/>
              <w:jc w:val="right"/>
              <w:rPr>
                <w:rFonts w:ascii="Arial Narrow" w:eastAsia="Times New Roman" w:hAnsi="Arial Narrow" w:cs="Arial"/>
                <w:sz w:val="18"/>
                <w:szCs w:val="18"/>
                <w:lang w:val="en-US"/>
              </w:rPr>
            </w:pPr>
            <w:r w:rsidRPr="000702DC">
              <w:rPr>
                <w:rFonts w:ascii="Arial Narrow" w:eastAsia="Times New Roman" w:hAnsi="Arial Narrow" w:cs="Arial"/>
                <w:sz w:val="18"/>
                <w:szCs w:val="18"/>
                <w:lang w:val="en-US"/>
              </w:rPr>
              <w:t>22,910,058,026</w:t>
            </w:r>
          </w:p>
        </w:tc>
        <w:tc>
          <w:tcPr>
            <w:tcW w:w="1555" w:type="dxa"/>
            <w:tcBorders>
              <w:top w:val="nil"/>
              <w:left w:val="nil"/>
              <w:right w:val="nil"/>
            </w:tcBorders>
            <w:shd w:val="clear" w:color="auto" w:fill="auto"/>
            <w:vAlign w:val="center"/>
          </w:tcPr>
          <w:p w14:paraId="0661FF99" w14:textId="77777777" w:rsidR="007A7C0E" w:rsidRPr="000702DC" w:rsidRDefault="007A7C0E" w:rsidP="00575083">
            <w:pPr>
              <w:spacing w:after="0" w:line="240" w:lineRule="auto"/>
              <w:ind w:right="-69"/>
              <w:jc w:val="right"/>
              <w:rPr>
                <w:rFonts w:ascii="Arial Narrow" w:eastAsia="Times New Roman" w:hAnsi="Arial Narrow" w:cs="Arial"/>
                <w:sz w:val="18"/>
                <w:szCs w:val="18"/>
                <w:lang w:val="en-US"/>
              </w:rPr>
            </w:pPr>
            <w:r w:rsidRPr="000702DC">
              <w:rPr>
                <w:rFonts w:ascii="Arial Narrow" w:eastAsia="Times New Roman" w:hAnsi="Arial Narrow" w:cs="Arial"/>
                <w:sz w:val="18"/>
                <w:szCs w:val="18"/>
                <w:lang w:val="en-US"/>
              </w:rPr>
              <w:t>6,171,591,762</w:t>
            </w:r>
          </w:p>
        </w:tc>
      </w:tr>
      <w:tr w:rsidR="00161848" w:rsidRPr="00161848" w14:paraId="771DBE03" w14:textId="77777777" w:rsidTr="00003FB0">
        <w:trPr>
          <w:trHeight w:val="256"/>
        </w:trPr>
        <w:tc>
          <w:tcPr>
            <w:tcW w:w="3777" w:type="dxa"/>
            <w:tcBorders>
              <w:top w:val="nil"/>
              <w:left w:val="nil"/>
              <w:bottom w:val="single" w:sz="4" w:space="0" w:color="auto"/>
              <w:right w:val="nil"/>
            </w:tcBorders>
            <w:shd w:val="clear" w:color="auto" w:fill="auto"/>
            <w:noWrap/>
            <w:vAlign w:val="center"/>
            <w:hideMark/>
          </w:tcPr>
          <w:p w14:paraId="5F3A3830" w14:textId="77777777" w:rsidR="007A7C0E" w:rsidRPr="000702DC" w:rsidRDefault="007A7C0E" w:rsidP="00575083">
            <w:pPr>
              <w:spacing w:after="0" w:line="240" w:lineRule="auto"/>
              <w:ind w:hanging="93"/>
              <w:rPr>
                <w:rFonts w:ascii="Arial Narrow" w:eastAsia="Times New Roman" w:hAnsi="Arial Narrow" w:cs="Arial"/>
                <w:sz w:val="18"/>
                <w:szCs w:val="18"/>
                <w:lang w:val="en-US"/>
              </w:rPr>
            </w:pPr>
            <w:r w:rsidRPr="000702DC">
              <w:rPr>
                <w:rFonts w:ascii="Arial Narrow" w:eastAsia="Times New Roman" w:hAnsi="Arial Narrow" w:cs="Arial"/>
                <w:sz w:val="18"/>
                <w:szCs w:val="18"/>
                <w:lang w:val="en-US"/>
              </w:rPr>
              <w:t>Liabilities</w:t>
            </w:r>
          </w:p>
        </w:tc>
        <w:tc>
          <w:tcPr>
            <w:tcW w:w="1731" w:type="dxa"/>
            <w:tcBorders>
              <w:top w:val="nil"/>
              <w:left w:val="nil"/>
              <w:bottom w:val="single" w:sz="4" w:space="0" w:color="auto"/>
              <w:right w:val="nil"/>
            </w:tcBorders>
            <w:shd w:val="clear" w:color="auto" w:fill="auto"/>
            <w:vAlign w:val="center"/>
          </w:tcPr>
          <w:p w14:paraId="578A6CDE" w14:textId="77777777" w:rsidR="007A7C0E" w:rsidRPr="000702DC" w:rsidRDefault="007A7C0E" w:rsidP="00575083">
            <w:pPr>
              <w:spacing w:after="0" w:line="240" w:lineRule="auto"/>
              <w:jc w:val="right"/>
              <w:rPr>
                <w:rFonts w:ascii="Arial Narrow" w:eastAsia="Times New Roman" w:hAnsi="Arial Narrow" w:cs="Arial"/>
                <w:sz w:val="18"/>
                <w:szCs w:val="18"/>
                <w:lang w:val="en-US"/>
              </w:rPr>
            </w:pPr>
            <w:r w:rsidRPr="000702DC">
              <w:rPr>
                <w:rFonts w:ascii="Arial Narrow" w:eastAsia="Times New Roman" w:hAnsi="Arial Narrow" w:cs="Arial"/>
                <w:sz w:val="18"/>
                <w:szCs w:val="18"/>
                <w:lang w:val="en-US"/>
              </w:rPr>
              <w:t>18,966,780,128</w:t>
            </w:r>
          </w:p>
        </w:tc>
        <w:tc>
          <w:tcPr>
            <w:tcW w:w="1541" w:type="dxa"/>
            <w:tcBorders>
              <w:top w:val="nil"/>
              <w:left w:val="nil"/>
              <w:bottom w:val="single" w:sz="4" w:space="0" w:color="auto"/>
              <w:right w:val="nil"/>
            </w:tcBorders>
            <w:shd w:val="clear" w:color="auto" w:fill="auto"/>
            <w:vAlign w:val="center"/>
          </w:tcPr>
          <w:p w14:paraId="747F5BE9" w14:textId="77777777" w:rsidR="007A7C0E" w:rsidRPr="000702DC" w:rsidRDefault="007A7C0E" w:rsidP="00575083">
            <w:pPr>
              <w:spacing w:after="0" w:line="240" w:lineRule="auto"/>
              <w:jc w:val="right"/>
              <w:rPr>
                <w:rFonts w:ascii="Arial Narrow" w:eastAsia="Times New Roman" w:hAnsi="Arial Narrow" w:cs="Arial"/>
                <w:sz w:val="18"/>
                <w:szCs w:val="18"/>
                <w:lang w:val="en-US"/>
              </w:rPr>
            </w:pPr>
            <w:r w:rsidRPr="000702DC">
              <w:rPr>
                <w:rFonts w:ascii="Arial Narrow" w:eastAsia="Times New Roman" w:hAnsi="Arial Narrow" w:cs="Arial"/>
                <w:sz w:val="18"/>
                <w:szCs w:val="18"/>
                <w:lang w:val="en-US"/>
              </w:rPr>
              <w:t>15,164,129,811</w:t>
            </w:r>
          </w:p>
        </w:tc>
        <w:tc>
          <w:tcPr>
            <w:tcW w:w="1555" w:type="dxa"/>
            <w:tcBorders>
              <w:top w:val="nil"/>
              <w:left w:val="nil"/>
              <w:bottom w:val="single" w:sz="4" w:space="0" w:color="auto"/>
              <w:right w:val="nil"/>
            </w:tcBorders>
            <w:shd w:val="clear" w:color="auto" w:fill="auto"/>
            <w:vAlign w:val="center"/>
          </w:tcPr>
          <w:p w14:paraId="54F5DCA0" w14:textId="77777777" w:rsidR="007A7C0E" w:rsidRPr="000702DC" w:rsidRDefault="007A7C0E" w:rsidP="00575083">
            <w:pPr>
              <w:spacing w:after="0" w:line="240" w:lineRule="auto"/>
              <w:ind w:right="-69"/>
              <w:jc w:val="right"/>
              <w:rPr>
                <w:rFonts w:ascii="Arial Narrow" w:eastAsia="Times New Roman" w:hAnsi="Arial Narrow" w:cs="Arial"/>
                <w:sz w:val="18"/>
                <w:szCs w:val="18"/>
                <w:lang w:val="en-US"/>
              </w:rPr>
            </w:pPr>
            <w:r w:rsidRPr="000702DC">
              <w:rPr>
                <w:rFonts w:ascii="Arial Narrow" w:eastAsia="Times New Roman" w:hAnsi="Arial Narrow" w:cs="Arial"/>
                <w:sz w:val="18"/>
                <w:szCs w:val="18"/>
                <w:lang w:val="en-US"/>
              </w:rPr>
              <w:t>3,802,650,317</w:t>
            </w:r>
          </w:p>
        </w:tc>
      </w:tr>
      <w:tr w:rsidR="007A7C0E" w:rsidRPr="00161848" w14:paraId="535F451B" w14:textId="77777777" w:rsidTr="00003FB0">
        <w:trPr>
          <w:trHeight w:val="179"/>
        </w:trPr>
        <w:tc>
          <w:tcPr>
            <w:tcW w:w="3777" w:type="dxa"/>
            <w:tcBorders>
              <w:top w:val="single" w:sz="4" w:space="0" w:color="auto"/>
              <w:left w:val="nil"/>
              <w:bottom w:val="double" w:sz="4" w:space="0" w:color="auto"/>
              <w:right w:val="nil"/>
            </w:tcBorders>
            <w:shd w:val="clear" w:color="auto" w:fill="auto"/>
            <w:noWrap/>
            <w:vAlign w:val="center"/>
            <w:hideMark/>
          </w:tcPr>
          <w:p w14:paraId="4B0F7BC4" w14:textId="77777777" w:rsidR="007A7C0E" w:rsidRPr="000702DC" w:rsidRDefault="007A7C0E" w:rsidP="00575083">
            <w:pPr>
              <w:spacing w:after="0" w:line="240" w:lineRule="auto"/>
              <w:ind w:hanging="93"/>
              <w:rPr>
                <w:rFonts w:ascii="Arial Narrow" w:eastAsia="Times New Roman" w:hAnsi="Arial Narrow" w:cs="Arial"/>
                <w:b/>
                <w:sz w:val="18"/>
                <w:szCs w:val="18"/>
                <w:lang w:val="en-US"/>
              </w:rPr>
            </w:pPr>
            <w:r w:rsidRPr="000702DC">
              <w:rPr>
                <w:rFonts w:ascii="Arial Narrow" w:eastAsia="Times New Roman" w:hAnsi="Arial Narrow" w:cs="Arial"/>
                <w:b/>
                <w:sz w:val="18"/>
                <w:szCs w:val="18"/>
                <w:lang w:val="en-US"/>
              </w:rPr>
              <w:t>Equity</w:t>
            </w:r>
          </w:p>
        </w:tc>
        <w:tc>
          <w:tcPr>
            <w:tcW w:w="1731" w:type="dxa"/>
            <w:tcBorders>
              <w:top w:val="single" w:sz="4" w:space="0" w:color="auto"/>
              <w:left w:val="nil"/>
              <w:bottom w:val="double" w:sz="4" w:space="0" w:color="auto"/>
              <w:right w:val="nil"/>
            </w:tcBorders>
            <w:shd w:val="clear" w:color="auto" w:fill="auto"/>
            <w:vAlign w:val="center"/>
          </w:tcPr>
          <w:p w14:paraId="2C0BDFA7" w14:textId="77777777" w:rsidR="007A7C0E" w:rsidRPr="000702DC" w:rsidRDefault="007A7C0E" w:rsidP="00575083">
            <w:pPr>
              <w:spacing w:after="0" w:line="240" w:lineRule="auto"/>
              <w:jc w:val="right"/>
              <w:rPr>
                <w:rFonts w:ascii="Arial Narrow" w:eastAsia="Times New Roman" w:hAnsi="Arial Narrow" w:cs="Arial"/>
                <w:b/>
                <w:sz w:val="18"/>
                <w:szCs w:val="18"/>
                <w:lang w:val="en-US"/>
              </w:rPr>
            </w:pPr>
            <w:r w:rsidRPr="000702DC">
              <w:rPr>
                <w:rFonts w:ascii="Arial Narrow" w:eastAsia="Times New Roman" w:hAnsi="Arial Narrow" w:cs="Arial"/>
                <w:b/>
                <w:sz w:val="18"/>
                <w:szCs w:val="18"/>
                <w:lang w:val="en-US"/>
              </w:rPr>
              <w:t>10,114,869,660</w:t>
            </w:r>
          </w:p>
        </w:tc>
        <w:tc>
          <w:tcPr>
            <w:tcW w:w="1541" w:type="dxa"/>
            <w:tcBorders>
              <w:top w:val="single" w:sz="4" w:space="0" w:color="auto"/>
              <w:left w:val="nil"/>
              <w:bottom w:val="double" w:sz="4" w:space="0" w:color="auto"/>
              <w:right w:val="nil"/>
            </w:tcBorders>
            <w:shd w:val="clear" w:color="auto" w:fill="auto"/>
            <w:vAlign w:val="center"/>
          </w:tcPr>
          <w:p w14:paraId="5E8FCE27" w14:textId="77777777" w:rsidR="007A7C0E" w:rsidRPr="000702DC" w:rsidRDefault="007A7C0E" w:rsidP="00575083">
            <w:pPr>
              <w:spacing w:after="0" w:line="240" w:lineRule="auto"/>
              <w:jc w:val="right"/>
              <w:rPr>
                <w:rFonts w:ascii="Arial Narrow" w:eastAsia="Times New Roman" w:hAnsi="Arial Narrow" w:cs="Arial"/>
                <w:b/>
                <w:sz w:val="18"/>
                <w:szCs w:val="18"/>
                <w:lang w:val="en-US"/>
              </w:rPr>
            </w:pPr>
            <w:r w:rsidRPr="000702DC">
              <w:rPr>
                <w:rFonts w:ascii="Arial Narrow" w:eastAsia="Times New Roman" w:hAnsi="Arial Narrow" w:cs="Arial"/>
                <w:b/>
                <w:sz w:val="18"/>
                <w:szCs w:val="18"/>
                <w:lang w:val="en-US"/>
              </w:rPr>
              <w:t>7,745,928,215</w:t>
            </w:r>
          </w:p>
        </w:tc>
        <w:tc>
          <w:tcPr>
            <w:tcW w:w="1555" w:type="dxa"/>
            <w:tcBorders>
              <w:top w:val="single" w:sz="4" w:space="0" w:color="auto"/>
              <w:left w:val="nil"/>
              <w:bottom w:val="double" w:sz="4" w:space="0" w:color="auto"/>
              <w:right w:val="nil"/>
            </w:tcBorders>
            <w:shd w:val="clear" w:color="auto" w:fill="auto"/>
            <w:vAlign w:val="center"/>
          </w:tcPr>
          <w:p w14:paraId="4DE488C1" w14:textId="77777777" w:rsidR="007A7C0E" w:rsidRPr="000702DC" w:rsidRDefault="007A7C0E" w:rsidP="00575083">
            <w:pPr>
              <w:spacing w:after="0" w:line="240" w:lineRule="auto"/>
              <w:ind w:right="-69"/>
              <w:jc w:val="right"/>
              <w:rPr>
                <w:rFonts w:ascii="Arial Narrow" w:eastAsia="Times New Roman" w:hAnsi="Arial Narrow" w:cs="Arial"/>
                <w:b/>
                <w:sz w:val="18"/>
                <w:szCs w:val="18"/>
                <w:lang w:val="en-US"/>
              </w:rPr>
            </w:pPr>
            <w:r w:rsidRPr="000702DC">
              <w:rPr>
                <w:rFonts w:ascii="Arial Narrow" w:eastAsia="Times New Roman" w:hAnsi="Arial Narrow" w:cs="Arial"/>
                <w:b/>
                <w:sz w:val="18"/>
                <w:szCs w:val="18"/>
                <w:lang w:val="en-US"/>
              </w:rPr>
              <w:t>2,368,941,445</w:t>
            </w:r>
          </w:p>
        </w:tc>
      </w:tr>
    </w:tbl>
    <w:p w14:paraId="6D4CE828" w14:textId="77777777" w:rsidR="00931C6F" w:rsidRPr="000702DC" w:rsidRDefault="00931C6F" w:rsidP="00575083">
      <w:pPr>
        <w:pStyle w:val="ListParagraph"/>
        <w:jc w:val="both"/>
        <w:rPr>
          <w:rFonts w:ascii="Arial" w:hAnsi="Arial" w:cs="Arial"/>
          <w:b/>
          <w:sz w:val="19"/>
          <w:szCs w:val="19"/>
        </w:rPr>
      </w:pPr>
    </w:p>
    <w:p w14:paraId="3A7336C6" w14:textId="77777777" w:rsidR="00491F60" w:rsidRPr="00161848" w:rsidRDefault="003268E9" w:rsidP="00C257B7">
      <w:pPr>
        <w:pStyle w:val="ListParagraph"/>
        <w:numPr>
          <w:ilvl w:val="0"/>
          <w:numId w:val="1"/>
        </w:numPr>
        <w:ind w:left="720"/>
        <w:jc w:val="both"/>
        <w:rPr>
          <w:rFonts w:ascii="Arial" w:hAnsi="Arial" w:cs="Arial"/>
          <w:b/>
          <w:sz w:val="20"/>
          <w:szCs w:val="20"/>
        </w:rPr>
      </w:pPr>
      <w:r w:rsidRPr="00161848">
        <w:rPr>
          <w:rFonts w:ascii="Arial" w:hAnsi="Arial" w:cs="Arial"/>
          <w:b/>
          <w:sz w:val="20"/>
          <w:szCs w:val="20"/>
        </w:rPr>
        <w:t>Comprehensive Income</w:t>
      </w:r>
    </w:p>
    <w:p w14:paraId="710927AA" w14:textId="057F71FD" w:rsidR="00A33BB3" w:rsidRPr="000702DC" w:rsidRDefault="00A33BB3" w:rsidP="00575083">
      <w:pPr>
        <w:spacing w:after="0" w:line="240" w:lineRule="auto"/>
        <w:jc w:val="both"/>
        <w:rPr>
          <w:rFonts w:ascii="Arial" w:hAnsi="Arial" w:cs="Arial"/>
          <w:b/>
          <w:sz w:val="19"/>
          <w:szCs w:val="19"/>
        </w:rPr>
      </w:pPr>
    </w:p>
    <w:tbl>
      <w:tblPr>
        <w:tblW w:w="8637" w:type="dxa"/>
        <w:tblInd w:w="93" w:type="dxa"/>
        <w:tblLook w:val="04A0" w:firstRow="1" w:lastRow="0" w:firstColumn="1" w:lastColumn="0" w:noHBand="0" w:noVBand="1"/>
      </w:tblPr>
      <w:tblGrid>
        <w:gridCol w:w="4016"/>
        <w:gridCol w:w="1566"/>
        <w:gridCol w:w="1566"/>
        <w:gridCol w:w="1489"/>
      </w:tblGrid>
      <w:tr w:rsidR="00161848" w:rsidRPr="00161848" w14:paraId="01968B5F" w14:textId="77777777" w:rsidTr="007A7C0E">
        <w:trPr>
          <w:trHeight w:val="481"/>
        </w:trPr>
        <w:tc>
          <w:tcPr>
            <w:tcW w:w="4016" w:type="dxa"/>
            <w:tcBorders>
              <w:top w:val="single" w:sz="4" w:space="0" w:color="auto"/>
              <w:left w:val="nil"/>
              <w:bottom w:val="single" w:sz="4" w:space="0" w:color="auto"/>
              <w:right w:val="nil"/>
            </w:tcBorders>
            <w:shd w:val="clear" w:color="auto" w:fill="auto"/>
            <w:vAlign w:val="bottom"/>
            <w:hideMark/>
          </w:tcPr>
          <w:p w14:paraId="7E4B20E3" w14:textId="77777777" w:rsidR="007A7C0E" w:rsidRPr="000702DC" w:rsidRDefault="007A7C0E" w:rsidP="00575083">
            <w:pPr>
              <w:spacing w:after="0" w:line="240" w:lineRule="auto"/>
              <w:jc w:val="right"/>
              <w:rPr>
                <w:rFonts w:ascii="Arial Narrow" w:eastAsia="Times New Roman" w:hAnsi="Arial Narrow" w:cs="Arial"/>
                <w:sz w:val="18"/>
                <w:szCs w:val="18"/>
                <w:lang w:val="en-US"/>
              </w:rPr>
            </w:pPr>
          </w:p>
        </w:tc>
        <w:tc>
          <w:tcPr>
            <w:tcW w:w="1566" w:type="dxa"/>
            <w:tcBorders>
              <w:top w:val="single" w:sz="4" w:space="0" w:color="auto"/>
              <w:left w:val="nil"/>
              <w:bottom w:val="single" w:sz="4" w:space="0" w:color="auto"/>
              <w:right w:val="nil"/>
            </w:tcBorders>
            <w:shd w:val="clear" w:color="auto" w:fill="auto"/>
            <w:vAlign w:val="bottom"/>
            <w:hideMark/>
          </w:tcPr>
          <w:p w14:paraId="2339AA5D" w14:textId="77777777" w:rsidR="007A7C0E" w:rsidRPr="000702DC" w:rsidRDefault="007A7C0E" w:rsidP="00575083">
            <w:pPr>
              <w:spacing w:after="0" w:line="240" w:lineRule="auto"/>
              <w:jc w:val="right"/>
              <w:rPr>
                <w:rFonts w:ascii="Arial Narrow" w:eastAsia="Times New Roman" w:hAnsi="Arial Narrow" w:cs="Arial"/>
                <w:b/>
                <w:bCs/>
                <w:sz w:val="18"/>
                <w:szCs w:val="18"/>
                <w:lang w:val="en-US"/>
              </w:rPr>
            </w:pPr>
            <w:r w:rsidRPr="000702DC">
              <w:rPr>
                <w:rFonts w:ascii="Arial Narrow" w:eastAsia="Times New Roman" w:hAnsi="Arial Narrow" w:cs="Arial"/>
                <w:b/>
                <w:bCs/>
                <w:sz w:val="18"/>
                <w:szCs w:val="18"/>
                <w:lang w:val="en-US"/>
              </w:rPr>
              <w:t>2019</w:t>
            </w:r>
          </w:p>
        </w:tc>
        <w:tc>
          <w:tcPr>
            <w:tcW w:w="1566" w:type="dxa"/>
            <w:tcBorders>
              <w:top w:val="single" w:sz="4" w:space="0" w:color="auto"/>
              <w:left w:val="nil"/>
              <w:bottom w:val="single" w:sz="4" w:space="0" w:color="auto"/>
              <w:right w:val="nil"/>
            </w:tcBorders>
            <w:shd w:val="clear" w:color="auto" w:fill="auto"/>
            <w:vAlign w:val="bottom"/>
            <w:hideMark/>
          </w:tcPr>
          <w:p w14:paraId="76497C09" w14:textId="77777777" w:rsidR="007A7C0E" w:rsidRPr="000702DC" w:rsidRDefault="007A7C0E" w:rsidP="00575083">
            <w:pPr>
              <w:spacing w:after="0" w:line="240" w:lineRule="auto"/>
              <w:jc w:val="right"/>
              <w:rPr>
                <w:rFonts w:ascii="Arial Narrow" w:eastAsia="Times New Roman" w:hAnsi="Arial Narrow" w:cs="Arial"/>
                <w:b/>
                <w:bCs/>
                <w:sz w:val="18"/>
                <w:szCs w:val="18"/>
                <w:lang w:val="en-US"/>
              </w:rPr>
            </w:pPr>
            <w:r w:rsidRPr="000702DC">
              <w:rPr>
                <w:rFonts w:ascii="Arial Narrow" w:eastAsia="Times New Roman" w:hAnsi="Arial Narrow" w:cs="Arial"/>
                <w:b/>
                <w:bCs/>
                <w:sz w:val="18"/>
                <w:szCs w:val="18"/>
                <w:lang w:val="en-US"/>
              </w:rPr>
              <w:t>2018</w:t>
            </w:r>
          </w:p>
          <w:p w14:paraId="7C2865B1" w14:textId="77777777" w:rsidR="007A7C0E" w:rsidRPr="000702DC" w:rsidRDefault="007A7C0E" w:rsidP="00575083">
            <w:pPr>
              <w:spacing w:after="0" w:line="240" w:lineRule="auto"/>
              <w:jc w:val="right"/>
              <w:rPr>
                <w:rFonts w:ascii="Arial Narrow" w:eastAsia="Times New Roman" w:hAnsi="Arial Narrow" w:cs="Arial"/>
                <w:b/>
                <w:bCs/>
                <w:sz w:val="18"/>
                <w:szCs w:val="18"/>
                <w:lang w:val="en-US"/>
              </w:rPr>
            </w:pPr>
            <w:r w:rsidRPr="000702DC">
              <w:rPr>
                <w:rFonts w:ascii="Arial Narrow" w:eastAsia="Times New Roman" w:hAnsi="Arial Narrow" w:cs="Arial"/>
                <w:b/>
                <w:bCs/>
                <w:sz w:val="18"/>
                <w:szCs w:val="18"/>
                <w:lang w:val="en-US"/>
              </w:rPr>
              <w:t>As Restated</w:t>
            </w:r>
          </w:p>
        </w:tc>
        <w:tc>
          <w:tcPr>
            <w:tcW w:w="1489" w:type="dxa"/>
            <w:tcBorders>
              <w:top w:val="single" w:sz="4" w:space="0" w:color="auto"/>
              <w:left w:val="nil"/>
              <w:bottom w:val="single" w:sz="4" w:space="0" w:color="auto"/>
              <w:right w:val="nil"/>
            </w:tcBorders>
            <w:shd w:val="clear" w:color="auto" w:fill="auto"/>
            <w:vAlign w:val="center"/>
            <w:hideMark/>
          </w:tcPr>
          <w:p w14:paraId="34D24464" w14:textId="77777777" w:rsidR="007A7C0E" w:rsidRPr="000702DC" w:rsidRDefault="007A7C0E" w:rsidP="00575083">
            <w:pPr>
              <w:spacing w:after="0" w:line="240" w:lineRule="auto"/>
              <w:ind w:right="-30"/>
              <w:jc w:val="right"/>
              <w:rPr>
                <w:rFonts w:ascii="Arial Narrow" w:eastAsia="Times New Roman" w:hAnsi="Arial Narrow" w:cs="Arial"/>
                <w:b/>
                <w:bCs/>
                <w:sz w:val="18"/>
                <w:szCs w:val="18"/>
                <w:lang w:val="en-US"/>
              </w:rPr>
            </w:pPr>
            <w:r w:rsidRPr="000702DC">
              <w:rPr>
                <w:rFonts w:ascii="Arial Narrow" w:eastAsia="Times New Roman" w:hAnsi="Arial Narrow" w:cs="Arial"/>
                <w:b/>
                <w:bCs/>
                <w:sz w:val="18"/>
                <w:szCs w:val="18"/>
                <w:lang w:val="en-US"/>
              </w:rPr>
              <w:t>Increase/ (Decrease)</w:t>
            </w:r>
          </w:p>
        </w:tc>
      </w:tr>
      <w:tr w:rsidR="00161848" w:rsidRPr="00161848" w14:paraId="5D081F88" w14:textId="77777777" w:rsidTr="007A7C0E">
        <w:trPr>
          <w:trHeight w:val="188"/>
        </w:trPr>
        <w:tc>
          <w:tcPr>
            <w:tcW w:w="4016" w:type="dxa"/>
            <w:tcBorders>
              <w:top w:val="nil"/>
              <w:left w:val="nil"/>
              <w:right w:val="nil"/>
            </w:tcBorders>
            <w:shd w:val="clear" w:color="auto" w:fill="auto"/>
            <w:noWrap/>
            <w:hideMark/>
          </w:tcPr>
          <w:p w14:paraId="076D633A" w14:textId="77777777" w:rsidR="007A7C0E" w:rsidRPr="000702DC" w:rsidRDefault="007A7C0E" w:rsidP="00575083">
            <w:pPr>
              <w:suppressAutoHyphens/>
              <w:snapToGrid w:val="0"/>
              <w:spacing w:after="0" w:line="240" w:lineRule="auto"/>
              <w:ind w:hanging="93"/>
              <w:rPr>
                <w:rFonts w:ascii="Arial Narrow" w:eastAsia="Times New Roman" w:hAnsi="Arial Narrow" w:cs="Arial"/>
                <w:bCs/>
                <w:sz w:val="18"/>
                <w:szCs w:val="18"/>
                <w:lang w:eastAsia="ar-SA"/>
              </w:rPr>
            </w:pPr>
            <w:r w:rsidRPr="000702DC">
              <w:rPr>
                <w:rFonts w:ascii="Arial Narrow" w:eastAsia="Times New Roman" w:hAnsi="Arial Narrow" w:cs="Arial"/>
                <w:bCs/>
                <w:sz w:val="18"/>
                <w:szCs w:val="18"/>
                <w:lang w:eastAsia="ar-SA"/>
              </w:rPr>
              <w:t>Total Income</w:t>
            </w:r>
          </w:p>
        </w:tc>
        <w:tc>
          <w:tcPr>
            <w:tcW w:w="1566" w:type="dxa"/>
            <w:tcBorders>
              <w:top w:val="nil"/>
              <w:left w:val="nil"/>
              <w:right w:val="nil"/>
            </w:tcBorders>
            <w:shd w:val="clear" w:color="auto" w:fill="auto"/>
            <w:vAlign w:val="center"/>
          </w:tcPr>
          <w:p w14:paraId="0A8465E4" w14:textId="77777777" w:rsidR="007A7C0E" w:rsidRPr="000702DC" w:rsidRDefault="007A7C0E" w:rsidP="00575083">
            <w:pPr>
              <w:spacing w:after="0" w:line="240" w:lineRule="auto"/>
              <w:jc w:val="right"/>
              <w:rPr>
                <w:rFonts w:ascii="Arial Narrow" w:hAnsi="Arial Narrow" w:cs="Arial"/>
                <w:sz w:val="18"/>
                <w:szCs w:val="18"/>
                <w:lang w:eastAsia="en-PH"/>
              </w:rPr>
            </w:pPr>
            <w:r w:rsidRPr="000702DC">
              <w:rPr>
                <w:rFonts w:ascii="Arial Narrow" w:hAnsi="Arial Narrow" w:cs="Arial"/>
                <w:sz w:val="18"/>
                <w:szCs w:val="18"/>
                <w:lang w:eastAsia="en-PH"/>
              </w:rPr>
              <w:t>46,043,176,325</w:t>
            </w:r>
          </w:p>
        </w:tc>
        <w:tc>
          <w:tcPr>
            <w:tcW w:w="1566" w:type="dxa"/>
            <w:tcBorders>
              <w:top w:val="nil"/>
              <w:left w:val="nil"/>
              <w:right w:val="nil"/>
            </w:tcBorders>
            <w:shd w:val="clear" w:color="auto" w:fill="auto"/>
            <w:vAlign w:val="center"/>
          </w:tcPr>
          <w:p w14:paraId="14459530" w14:textId="77777777" w:rsidR="007A7C0E" w:rsidRPr="000702DC" w:rsidRDefault="007A7C0E" w:rsidP="00575083">
            <w:pPr>
              <w:spacing w:after="0" w:line="240" w:lineRule="auto"/>
              <w:jc w:val="right"/>
              <w:rPr>
                <w:rFonts w:ascii="Arial Narrow" w:hAnsi="Arial Narrow" w:cs="Arial"/>
                <w:sz w:val="18"/>
                <w:szCs w:val="18"/>
              </w:rPr>
            </w:pPr>
            <w:r w:rsidRPr="000702DC">
              <w:rPr>
                <w:rFonts w:ascii="Arial Narrow" w:hAnsi="Arial Narrow" w:cs="Arial"/>
                <w:sz w:val="18"/>
                <w:szCs w:val="18"/>
              </w:rPr>
              <w:t>63,076,493,487</w:t>
            </w:r>
          </w:p>
        </w:tc>
        <w:tc>
          <w:tcPr>
            <w:tcW w:w="1489" w:type="dxa"/>
            <w:tcBorders>
              <w:top w:val="nil"/>
              <w:left w:val="nil"/>
              <w:right w:val="nil"/>
            </w:tcBorders>
            <w:shd w:val="clear" w:color="auto" w:fill="auto"/>
            <w:vAlign w:val="center"/>
          </w:tcPr>
          <w:p w14:paraId="4C791ADB" w14:textId="77777777" w:rsidR="007A7C0E" w:rsidRPr="000702DC" w:rsidRDefault="007A7C0E" w:rsidP="00575083">
            <w:pPr>
              <w:spacing w:after="0" w:line="240" w:lineRule="auto"/>
              <w:ind w:right="-49"/>
              <w:jc w:val="right"/>
              <w:rPr>
                <w:rFonts w:ascii="Arial Narrow" w:hAnsi="Arial Narrow" w:cs="Arial"/>
                <w:sz w:val="18"/>
                <w:szCs w:val="18"/>
              </w:rPr>
            </w:pPr>
            <w:r w:rsidRPr="000702DC">
              <w:rPr>
                <w:rFonts w:ascii="Arial Narrow" w:hAnsi="Arial Narrow" w:cs="Arial"/>
                <w:sz w:val="18"/>
                <w:szCs w:val="18"/>
              </w:rPr>
              <w:t>(17,033,317,162)</w:t>
            </w:r>
          </w:p>
        </w:tc>
      </w:tr>
      <w:tr w:rsidR="00161848" w:rsidRPr="00161848" w14:paraId="60DC1B95" w14:textId="77777777" w:rsidTr="007A7C0E">
        <w:trPr>
          <w:trHeight w:val="234"/>
        </w:trPr>
        <w:tc>
          <w:tcPr>
            <w:tcW w:w="4016" w:type="dxa"/>
            <w:tcBorders>
              <w:top w:val="nil"/>
              <w:left w:val="nil"/>
              <w:bottom w:val="single" w:sz="4" w:space="0" w:color="auto"/>
              <w:right w:val="nil"/>
            </w:tcBorders>
            <w:shd w:val="clear" w:color="auto" w:fill="auto"/>
            <w:noWrap/>
            <w:hideMark/>
          </w:tcPr>
          <w:p w14:paraId="1BAE9001" w14:textId="77777777" w:rsidR="007A7C0E" w:rsidRPr="000702DC" w:rsidRDefault="007A7C0E" w:rsidP="00575083">
            <w:pPr>
              <w:suppressAutoHyphens/>
              <w:snapToGrid w:val="0"/>
              <w:spacing w:after="0" w:line="240" w:lineRule="auto"/>
              <w:ind w:hanging="93"/>
              <w:rPr>
                <w:rFonts w:ascii="Arial Narrow" w:eastAsia="Times New Roman" w:hAnsi="Arial Narrow" w:cs="Arial"/>
                <w:bCs/>
                <w:sz w:val="18"/>
                <w:szCs w:val="18"/>
                <w:lang w:eastAsia="ar-SA"/>
              </w:rPr>
            </w:pPr>
            <w:r w:rsidRPr="000702DC">
              <w:rPr>
                <w:rFonts w:ascii="Arial Narrow" w:eastAsia="Times New Roman" w:hAnsi="Arial Narrow" w:cs="Arial"/>
                <w:bCs/>
                <w:sz w:val="18"/>
                <w:szCs w:val="18"/>
                <w:lang w:eastAsia="ar-SA"/>
              </w:rPr>
              <w:t>Total Operating Expenses</w:t>
            </w:r>
          </w:p>
        </w:tc>
        <w:tc>
          <w:tcPr>
            <w:tcW w:w="1566" w:type="dxa"/>
            <w:tcBorders>
              <w:top w:val="nil"/>
              <w:left w:val="nil"/>
              <w:bottom w:val="single" w:sz="4" w:space="0" w:color="auto"/>
              <w:right w:val="nil"/>
            </w:tcBorders>
            <w:shd w:val="clear" w:color="auto" w:fill="auto"/>
            <w:vAlign w:val="center"/>
          </w:tcPr>
          <w:p w14:paraId="12D749E9" w14:textId="77777777" w:rsidR="007A7C0E" w:rsidRPr="000702DC" w:rsidRDefault="007A7C0E" w:rsidP="00575083">
            <w:pPr>
              <w:spacing w:after="0" w:line="240" w:lineRule="auto"/>
              <w:jc w:val="right"/>
              <w:rPr>
                <w:rFonts w:ascii="Arial Narrow" w:hAnsi="Arial Narrow" w:cs="Arial"/>
                <w:sz w:val="18"/>
                <w:szCs w:val="18"/>
              </w:rPr>
            </w:pPr>
            <w:r w:rsidRPr="000702DC">
              <w:rPr>
                <w:rFonts w:ascii="Arial Narrow" w:hAnsi="Arial Narrow" w:cs="Arial"/>
                <w:sz w:val="18"/>
                <w:szCs w:val="18"/>
              </w:rPr>
              <w:t>31,549,632,044</w:t>
            </w:r>
          </w:p>
        </w:tc>
        <w:tc>
          <w:tcPr>
            <w:tcW w:w="1566" w:type="dxa"/>
            <w:tcBorders>
              <w:top w:val="nil"/>
              <w:left w:val="nil"/>
              <w:bottom w:val="single" w:sz="4" w:space="0" w:color="auto"/>
              <w:right w:val="nil"/>
            </w:tcBorders>
            <w:shd w:val="clear" w:color="auto" w:fill="auto"/>
            <w:vAlign w:val="center"/>
          </w:tcPr>
          <w:p w14:paraId="683B376C" w14:textId="77777777" w:rsidR="007A7C0E" w:rsidRPr="000702DC" w:rsidRDefault="007A7C0E" w:rsidP="00575083">
            <w:pPr>
              <w:spacing w:after="0" w:line="240" w:lineRule="auto"/>
              <w:jc w:val="right"/>
              <w:rPr>
                <w:rFonts w:ascii="Arial Narrow" w:hAnsi="Arial Narrow" w:cs="Arial"/>
                <w:sz w:val="18"/>
                <w:szCs w:val="18"/>
              </w:rPr>
            </w:pPr>
            <w:r w:rsidRPr="000702DC">
              <w:rPr>
                <w:rFonts w:ascii="Arial Narrow" w:hAnsi="Arial Narrow" w:cs="Arial"/>
                <w:sz w:val="18"/>
                <w:szCs w:val="18"/>
              </w:rPr>
              <w:t>49,282,315,154</w:t>
            </w:r>
          </w:p>
        </w:tc>
        <w:tc>
          <w:tcPr>
            <w:tcW w:w="1489" w:type="dxa"/>
            <w:tcBorders>
              <w:top w:val="nil"/>
              <w:left w:val="nil"/>
              <w:bottom w:val="single" w:sz="4" w:space="0" w:color="auto"/>
              <w:right w:val="nil"/>
            </w:tcBorders>
            <w:shd w:val="clear" w:color="auto" w:fill="auto"/>
            <w:vAlign w:val="center"/>
          </w:tcPr>
          <w:p w14:paraId="42CA2AE3" w14:textId="77777777" w:rsidR="007A7C0E" w:rsidRPr="000702DC" w:rsidRDefault="007A7C0E" w:rsidP="00575083">
            <w:pPr>
              <w:spacing w:after="0" w:line="240" w:lineRule="auto"/>
              <w:ind w:right="-49"/>
              <w:jc w:val="right"/>
              <w:rPr>
                <w:rFonts w:ascii="Arial Narrow" w:hAnsi="Arial Narrow" w:cs="Arial"/>
                <w:sz w:val="18"/>
                <w:szCs w:val="18"/>
              </w:rPr>
            </w:pPr>
            <w:r w:rsidRPr="000702DC">
              <w:rPr>
                <w:rFonts w:ascii="Arial Narrow" w:hAnsi="Arial Narrow" w:cs="Arial"/>
                <w:sz w:val="18"/>
                <w:szCs w:val="18"/>
              </w:rPr>
              <w:t>(17,732,683,110)</w:t>
            </w:r>
          </w:p>
        </w:tc>
      </w:tr>
      <w:tr w:rsidR="00161848" w:rsidRPr="00161848" w14:paraId="7F4581E3" w14:textId="77777777" w:rsidTr="007A7C0E">
        <w:trPr>
          <w:trHeight w:val="161"/>
        </w:trPr>
        <w:tc>
          <w:tcPr>
            <w:tcW w:w="4016" w:type="dxa"/>
            <w:tcBorders>
              <w:top w:val="single" w:sz="4" w:space="0" w:color="auto"/>
              <w:left w:val="nil"/>
              <w:bottom w:val="nil"/>
              <w:right w:val="nil"/>
            </w:tcBorders>
            <w:shd w:val="clear" w:color="auto" w:fill="auto"/>
            <w:noWrap/>
          </w:tcPr>
          <w:p w14:paraId="771B0A27" w14:textId="77777777" w:rsidR="007A7C0E" w:rsidRPr="000702DC" w:rsidRDefault="007A7C0E" w:rsidP="00575083">
            <w:pPr>
              <w:suppressAutoHyphens/>
              <w:snapToGrid w:val="0"/>
              <w:spacing w:after="0" w:line="240" w:lineRule="auto"/>
              <w:ind w:hanging="93"/>
              <w:rPr>
                <w:rFonts w:ascii="Arial Narrow" w:eastAsia="Times New Roman" w:hAnsi="Arial Narrow" w:cs="Arial"/>
                <w:bCs/>
                <w:sz w:val="18"/>
                <w:szCs w:val="18"/>
                <w:lang w:eastAsia="ar-SA"/>
              </w:rPr>
            </w:pPr>
            <w:r w:rsidRPr="000702DC">
              <w:rPr>
                <w:rFonts w:ascii="Arial Narrow" w:eastAsia="Times New Roman" w:hAnsi="Arial Narrow" w:cs="Arial"/>
                <w:bCs/>
                <w:sz w:val="18"/>
                <w:szCs w:val="18"/>
                <w:lang w:eastAsia="ar-SA"/>
              </w:rPr>
              <w:t>Profit/ (Loss) Before Tax</w:t>
            </w:r>
          </w:p>
        </w:tc>
        <w:tc>
          <w:tcPr>
            <w:tcW w:w="1566" w:type="dxa"/>
            <w:tcBorders>
              <w:top w:val="single" w:sz="4" w:space="0" w:color="auto"/>
              <w:left w:val="nil"/>
              <w:bottom w:val="nil"/>
              <w:right w:val="nil"/>
            </w:tcBorders>
            <w:shd w:val="clear" w:color="auto" w:fill="auto"/>
            <w:vAlign w:val="bottom"/>
          </w:tcPr>
          <w:p w14:paraId="63617101" w14:textId="77777777" w:rsidR="007A7C0E" w:rsidRPr="000702DC" w:rsidRDefault="007A7C0E" w:rsidP="00575083">
            <w:pPr>
              <w:spacing w:after="0" w:line="240" w:lineRule="auto"/>
              <w:jc w:val="right"/>
              <w:rPr>
                <w:rFonts w:ascii="Arial Narrow" w:hAnsi="Arial Narrow" w:cs="Arial"/>
                <w:bCs/>
                <w:sz w:val="18"/>
                <w:szCs w:val="18"/>
              </w:rPr>
            </w:pPr>
            <w:r w:rsidRPr="000702DC">
              <w:rPr>
                <w:rFonts w:ascii="Arial Narrow" w:hAnsi="Arial Narrow" w:cs="Arial"/>
                <w:bCs/>
                <w:sz w:val="18"/>
                <w:szCs w:val="18"/>
              </w:rPr>
              <w:t>14,493,544,281</w:t>
            </w:r>
          </w:p>
        </w:tc>
        <w:tc>
          <w:tcPr>
            <w:tcW w:w="1566" w:type="dxa"/>
            <w:tcBorders>
              <w:top w:val="single" w:sz="4" w:space="0" w:color="auto"/>
              <w:left w:val="nil"/>
              <w:bottom w:val="nil"/>
              <w:right w:val="nil"/>
            </w:tcBorders>
            <w:shd w:val="clear" w:color="auto" w:fill="auto"/>
            <w:vAlign w:val="bottom"/>
          </w:tcPr>
          <w:p w14:paraId="2C391080" w14:textId="77777777" w:rsidR="007A7C0E" w:rsidRPr="000702DC" w:rsidRDefault="007A7C0E" w:rsidP="00575083">
            <w:pPr>
              <w:spacing w:after="0" w:line="240" w:lineRule="auto"/>
              <w:jc w:val="right"/>
              <w:rPr>
                <w:rFonts w:ascii="Arial Narrow" w:hAnsi="Arial Narrow" w:cs="Arial"/>
                <w:bCs/>
                <w:sz w:val="18"/>
                <w:szCs w:val="18"/>
              </w:rPr>
            </w:pPr>
            <w:r w:rsidRPr="000702DC">
              <w:rPr>
                <w:rFonts w:ascii="Arial Narrow" w:hAnsi="Arial Narrow" w:cs="Arial"/>
                <w:bCs/>
                <w:sz w:val="18"/>
                <w:szCs w:val="18"/>
              </w:rPr>
              <w:t>13,794,178,333</w:t>
            </w:r>
          </w:p>
        </w:tc>
        <w:tc>
          <w:tcPr>
            <w:tcW w:w="1489" w:type="dxa"/>
            <w:tcBorders>
              <w:top w:val="single" w:sz="4" w:space="0" w:color="auto"/>
              <w:left w:val="nil"/>
              <w:bottom w:val="nil"/>
              <w:right w:val="nil"/>
            </w:tcBorders>
            <w:shd w:val="clear" w:color="auto" w:fill="auto"/>
            <w:vAlign w:val="bottom"/>
          </w:tcPr>
          <w:p w14:paraId="243ACFE0" w14:textId="77777777" w:rsidR="007A7C0E" w:rsidRPr="000702DC" w:rsidRDefault="007A7C0E" w:rsidP="00575083">
            <w:pPr>
              <w:spacing w:after="0" w:line="240" w:lineRule="auto"/>
              <w:ind w:right="-49"/>
              <w:jc w:val="right"/>
              <w:rPr>
                <w:rFonts w:ascii="Arial Narrow" w:hAnsi="Arial Narrow" w:cs="Arial"/>
                <w:sz w:val="18"/>
                <w:szCs w:val="18"/>
              </w:rPr>
            </w:pPr>
            <w:r w:rsidRPr="000702DC">
              <w:rPr>
                <w:rFonts w:ascii="Arial Narrow" w:hAnsi="Arial Narrow" w:cs="Arial"/>
                <w:sz w:val="18"/>
                <w:szCs w:val="18"/>
              </w:rPr>
              <w:t>699,365,948</w:t>
            </w:r>
          </w:p>
        </w:tc>
      </w:tr>
      <w:tr w:rsidR="00161848" w:rsidRPr="00161848" w14:paraId="6A68C707" w14:textId="77777777" w:rsidTr="007A7C0E">
        <w:trPr>
          <w:trHeight w:val="198"/>
        </w:trPr>
        <w:tc>
          <w:tcPr>
            <w:tcW w:w="4016" w:type="dxa"/>
            <w:tcBorders>
              <w:top w:val="nil"/>
              <w:left w:val="nil"/>
              <w:right w:val="nil"/>
            </w:tcBorders>
            <w:shd w:val="clear" w:color="auto" w:fill="auto"/>
            <w:noWrap/>
          </w:tcPr>
          <w:p w14:paraId="2894E68A" w14:textId="77777777" w:rsidR="007A7C0E" w:rsidRPr="000702DC" w:rsidRDefault="007A7C0E" w:rsidP="00575083">
            <w:pPr>
              <w:suppressAutoHyphens/>
              <w:snapToGrid w:val="0"/>
              <w:spacing w:after="0" w:line="240" w:lineRule="auto"/>
              <w:ind w:hanging="93"/>
              <w:rPr>
                <w:rFonts w:ascii="Arial Narrow" w:eastAsia="Times New Roman" w:hAnsi="Arial Narrow" w:cs="Arial"/>
                <w:bCs/>
                <w:sz w:val="18"/>
                <w:szCs w:val="18"/>
                <w:lang w:eastAsia="ar-SA"/>
              </w:rPr>
            </w:pPr>
            <w:r w:rsidRPr="000702DC">
              <w:rPr>
                <w:rFonts w:ascii="Arial Narrow" w:eastAsia="Times New Roman" w:hAnsi="Arial Narrow" w:cs="Arial"/>
                <w:bCs/>
                <w:sz w:val="18"/>
                <w:szCs w:val="18"/>
                <w:lang w:eastAsia="ar-SA"/>
              </w:rPr>
              <w:t>Income Tax Expense/ Benefit</w:t>
            </w:r>
          </w:p>
        </w:tc>
        <w:tc>
          <w:tcPr>
            <w:tcW w:w="1566" w:type="dxa"/>
            <w:tcBorders>
              <w:top w:val="nil"/>
              <w:left w:val="nil"/>
              <w:right w:val="nil"/>
            </w:tcBorders>
            <w:shd w:val="clear" w:color="auto" w:fill="auto"/>
            <w:vAlign w:val="bottom"/>
          </w:tcPr>
          <w:p w14:paraId="735D0662" w14:textId="77777777" w:rsidR="007A7C0E" w:rsidRPr="000702DC" w:rsidRDefault="007A7C0E" w:rsidP="00575083">
            <w:pPr>
              <w:spacing w:after="0" w:line="240" w:lineRule="auto"/>
              <w:jc w:val="right"/>
              <w:rPr>
                <w:rFonts w:ascii="Arial Narrow" w:hAnsi="Arial Narrow" w:cs="Arial"/>
                <w:sz w:val="18"/>
                <w:szCs w:val="18"/>
              </w:rPr>
            </w:pPr>
            <w:r w:rsidRPr="000702DC">
              <w:rPr>
                <w:rFonts w:ascii="Arial Narrow" w:hAnsi="Arial Narrow" w:cs="Arial"/>
                <w:sz w:val="18"/>
                <w:szCs w:val="18"/>
              </w:rPr>
              <w:t>1,832,499,316</w:t>
            </w:r>
          </w:p>
        </w:tc>
        <w:tc>
          <w:tcPr>
            <w:tcW w:w="1566" w:type="dxa"/>
            <w:tcBorders>
              <w:top w:val="nil"/>
              <w:left w:val="nil"/>
              <w:right w:val="nil"/>
            </w:tcBorders>
            <w:shd w:val="clear" w:color="auto" w:fill="auto"/>
            <w:vAlign w:val="bottom"/>
          </w:tcPr>
          <w:p w14:paraId="52CADE07" w14:textId="77777777" w:rsidR="007A7C0E" w:rsidRPr="000702DC" w:rsidRDefault="007A7C0E" w:rsidP="00575083">
            <w:pPr>
              <w:spacing w:after="0" w:line="240" w:lineRule="auto"/>
              <w:jc w:val="right"/>
              <w:rPr>
                <w:rFonts w:ascii="Arial Narrow" w:hAnsi="Arial Narrow" w:cs="Arial"/>
                <w:sz w:val="18"/>
                <w:szCs w:val="18"/>
              </w:rPr>
            </w:pPr>
            <w:r w:rsidRPr="000702DC">
              <w:rPr>
                <w:rFonts w:ascii="Arial Narrow" w:hAnsi="Arial Narrow" w:cs="Arial"/>
                <w:sz w:val="18"/>
                <w:szCs w:val="18"/>
              </w:rPr>
              <w:t>627,822,438</w:t>
            </w:r>
          </w:p>
        </w:tc>
        <w:tc>
          <w:tcPr>
            <w:tcW w:w="1489" w:type="dxa"/>
            <w:tcBorders>
              <w:top w:val="nil"/>
              <w:left w:val="nil"/>
              <w:right w:val="nil"/>
            </w:tcBorders>
            <w:shd w:val="clear" w:color="auto" w:fill="auto"/>
            <w:vAlign w:val="bottom"/>
          </w:tcPr>
          <w:p w14:paraId="4BB49945" w14:textId="77777777" w:rsidR="007A7C0E" w:rsidRPr="000702DC" w:rsidRDefault="007A7C0E" w:rsidP="00575083">
            <w:pPr>
              <w:spacing w:after="0" w:line="240" w:lineRule="auto"/>
              <w:ind w:right="-49"/>
              <w:jc w:val="right"/>
              <w:rPr>
                <w:rFonts w:ascii="Arial Narrow" w:hAnsi="Arial Narrow" w:cs="Arial"/>
                <w:sz w:val="18"/>
                <w:szCs w:val="18"/>
              </w:rPr>
            </w:pPr>
            <w:r w:rsidRPr="000702DC">
              <w:rPr>
                <w:rFonts w:ascii="Arial Narrow" w:hAnsi="Arial Narrow" w:cs="Arial"/>
                <w:sz w:val="18"/>
                <w:szCs w:val="18"/>
              </w:rPr>
              <w:t>1,204,676,878</w:t>
            </w:r>
          </w:p>
        </w:tc>
      </w:tr>
      <w:tr w:rsidR="00161848" w:rsidRPr="00161848" w14:paraId="7B5F7887" w14:textId="77777777" w:rsidTr="007A7C0E">
        <w:trPr>
          <w:trHeight w:val="153"/>
        </w:trPr>
        <w:tc>
          <w:tcPr>
            <w:tcW w:w="4016" w:type="dxa"/>
            <w:tcBorders>
              <w:top w:val="nil"/>
              <w:left w:val="nil"/>
              <w:bottom w:val="single" w:sz="4" w:space="0" w:color="auto"/>
              <w:right w:val="nil"/>
            </w:tcBorders>
            <w:shd w:val="clear" w:color="auto" w:fill="auto"/>
            <w:noWrap/>
          </w:tcPr>
          <w:p w14:paraId="50A84503" w14:textId="222D81D5" w:rsidR="007A7C0E" w:rsidRPr="000702DC" w:rsidRDefault="007A7C0E" w:rsidP="00575083">
            <w:pPr>
              <w:suppressAutoHyphens/>
              <w:snapToGrid w:val="0"/>
              <w:spacing w:after="0" w:line="240" w:lineRule="auto"/>
              <w:ind w:hanging="93"/>
              <w:rPr>
                <w:rFonts w:ascii="Arial Narrow" w:eastAsia="Times New Roman" w:hAnsi="Arial Narrow" w:cs="Arial"/>
                <w:bCs/>
                <w:sz w:val="18"/>
                <w:szCs w:val="18"/>
                <w:lang w:eastAsia="ar-SA"/>
              </w:rPr>
            </w:pPr>
            <w:r w:rsidRPr="000702DC">
              <w:rPr>
                <w:rFonts w:ascii="Arial Narrow" w:eastAsia="Times New Roman" w:hAnsi="Arial Narrow" w:cs="Arial"/>
                <w:bCs/>
                <w:sz w:val="18"/>
                <w:szCs w:val="18"/>
                <w:lang w:eastAsia="ar-SA"/>
              </w:rPr>
              <w:t xml:space="preserve">Income Tax Expense / Benefit </w:t>
            </w:r>
            <w:r w:rsidR="00C7091B" w:rsidRPr="000702DC">
              <w:rPr>
                <w:rFonts w:ascii="Arial Narrow" w:eastAsia="Times New Roman" w:hAnsi="Arial Narrow" w:cs="Arial"/>
                <w:bCs/>
                <w:sz w:val="18"/>
                <w:szCs w:val="18"/>
                <w:lang w:eastAsia="ar-SA"/>
              </w:rPr>
              <w:t>–</w:t>
            </w:r>
            <w:r w:rsidRPr="000702DC">
              <w:rPr>
                <w:rFonts w:ascii="Arial Narrow" w:eastAsia="Times New Roman" w:hAnsi="Arial Narrow" w:cs="Arial"/>
                <w:bCs/>
                <w:sz w:val="18"/>
                <w:szCs w:val="18"/>
                <w:lang w:eastAsia="ar-SA"/>
              </w:rPr>
              <w:t xml:space="preserve"> Deferred</w:t>
            </w:r>
          </w:p>
        </w:tc>
        <w:tc>
          <w:tcPr>
            <w:tcW w:w="1566" w:type="dxa"/>
            <w:tcBorders>
              <w:top w:val="nil"/>
              <w:left w:val="nil"/>
              <w:bottom w:val="single" w:sz="4" w:space="0" w:color="auto"/>
              <w:right w:val="nil"/>
            </w:tcBorders>
            <w:shd w:val="clear" w:color="auto" w:fill="auto"/>
            <w:vAlign w:val="bottom"/>
          </w:tcPr>
          <w:p w14:paraId="626C6C63" w14:textId="77777777" w:rsidR="007A7C0E" w:rsidRPr="000702DC" w:rsidRDefault="007A7C0E" w:rsidP="00575083">
            <w:pPr>
              <w:spacing w:after="0" w:line="240" w:lineRule="auto"/>
              <w:jc w:val="right"/>
              <w:rPr>
                <w:rFonts w:ascii="Arial Narrow" w:hAnsi="Arial Narrow" w:cs="Arial"/>
                <w:sz w:val="18"/>
                <w:szCs w:val="18"/>
              </w:rPr>
            </w:pPr>
            <w:r w:rsidRPr="000702DC">
              <w:rPr>
                <w:rFonts w:ascii="Arial Narrow" w:hAnsi="Arial Narrow" w:cs="Arial"/>
                <w:sz w:val="18"/>
                <w:szCs w:val="18"/>
              </w:rPr>
              <w:t xml:space="preserve"> (107,160,609)</w:t>
            </w:r>
          </w:p>
        </w:tc>
        <w:tc>
          <w:tcPr>
            <w:tcW w:w="1566" w:type="dxa"/>
            <w:tcBorders>
              <w:top w:val="nil"/>
              <w:left w:val="nil"/>
              <w:bottom w:val="single" w:sz="4" w:space="0" w:color="auto"/>
              <w:right w:val="nil"/>
            </w:tcBorders>
            <w:shd w:val="clear" w:color="auto" w:fill="auto"/>
            <w:vAlign w:val="bottom"/>
          </w:tcPr>
          <w:p w14:paraId="74870C2C" w14:textId="77777777" w:rsidR="007A7C0E" w:rsidRPr="000702DC" w:rsidRDefault="007A7C0E" w:rsidP="00575083">
            <w:pPr>
              <w:spacing w:after="0" w:line="240" w:lineRule="auto"/>
              <w:jc w:val="right"/>
              <w:rPr>
                <w:rFonts w:ascii="Arial Narrow" w:hAnsi="Arial Narrow" w:cs="Arial"/>
                <w:sz w:val="18"/>
                <w:szCs w:val="18"/>
              </w:rPr>
            </w:pPr>
            <w:r w:rsidRPr="000702DC">
              <w:rPr>
                <w:rFonts w:ascii="Arial Narrow" w:hAnsi="Arial Narrow" w:cs="Arial"/>
                <w:sz w:val="18"/>
                <w:szCs w:val="18"/>
              </w:rPr>
              <w:t>(5,583,636)</w:t>
            </w:r>
          </w:p>
        </w:tc>
        <w:tc>
          <w:tcPr>
            <w:tcW w:w="1489" w:type="dxa"/>
            <w:tcBorders>
              <w:top w:val="nil"/>
              <w:left w:val="nil"/>
              <w:bottom w:val="single" w:sz="4" w:space="0" w:color="auto"/>
              <w:right w:val="nil"/>
            </w:tcBorders>
            <w:shd w:val="clear" w:color="auto" w:fill="auto"/>
            <w:vAlign w:val="bottom"/>
          </w:tcPr>
          <w:p w14:paraId="7BEAD7A3" w14:textId="30AC0EEE" w:rsidR="007A7C0E" w:rsidRPr="000702DC" w:rsidRDefault="00AF17DC" w:rsidP="00575083">
            <w:pPr>
              <w:spacing w:after="0" w:line="240" w:lineRule="auto"/>
              <w:ind w:right="-49"/>
              <w:jc w:val="right"/>
              <w:rPr>
                <w:rFonts w:ascii="Arial Narrow" w:hAnsi="Arial Narrow" w:cs="Arial"/>
                <w:sz w:val="18"/>
                <w:szCs w:val="18"/>
              </w:rPr>
            </w:pPr>
            <w:r w:rsidRPr="000702DC">
              <w:rPr>
                <w:rFonts w:ascii="Arial Narrow" w:hAnsi="Arial Narrow" w:cs="Arial"/>
                <w:sz w:val="18"/>
                <w:szCs w:val="18"/>
              </w:rPr>
              <w:t>(</w:t>
            </w:r>
            <w:r w:rsidR="007A7C0E" w:rsidRPr="000702DC">
              <w:rPr>
                <w:rFonts w:ascii="Arial Narrow" w:hAnsi="Arial Narrow" w:cs="Arial"/>
                <w:sz w:val="18"/>
                <w:szCs w:val="18"/>
              </w:rPr>
              <w:t>101,576,973</w:t>
            </w:r>
            <w:r w:rsidRPr="000702DC">
              <w:rPr>
                <w:rFonts w:ascii="Arial Narrow" w:hAnsi="Arial Narrow" w:cs="Arial"/>
                <w:sz w:val="18"/>
                <w:szCs w:val="18"/>
              </w:rPr>
              <w:t>)</w:t>
            </w:r>
          </w:p>
        </w:tc>
      </w:tr>
      <w:tr w:rsidR="00161848" w:rsidRPr="00161848" w14:paraId="35F39378" w14:textId="77777777" w:rsidTr="007A7C0E">
        <w:trPr>
          <w:trHeight w:val="179"/>
        </w:trPr>
        <w:tc>
          <w:tcPr>
            <w:tcW w:w="4016" w:type="dxa"/>
            <w:tcBorders>
              <w:top w:val="single" w:sz="4" w:space="0" w:color="auto"/>
              <w:left w:val="nil"/>
              <w:right w:val="nil"/>
            </w:tcBorders>
            <w:shd w:val="clear" w:color="auto" w:fill="auto"/>
            <w:noWrap/>
          </w:tcPr>
          <w:p w14:paraId="189FDE0A" w14:textId="77777777" w:rsidR="007A7C0E" w:rsidRPr="000702DC" w:rsidRDefault="007A7C0E" w:rsidP="00575083">
            <w:pPr>
              <w:suppressAutoHyphens/>
              <w:snapToGrid w:val="0"/>
              <w:spacing w:after="0" w:line="240" w:lineRule="auto"/>
              <w:ind w:hanging="93"/>
              <w:rPr>
                <w:rFonts w:ascii="Arial Narrow" w:eastAsia="Times New Roman" w:hAnsi="Arial Narrow" w:cs="Arial"/>
                <w:bCs/>
                <w:sz w:val="18"/>
                <w:szCs w:val="18"/>
                <w:lang w:eastAsia="ar-SA"/>
              </w:rPr>
            </w:pPr>
            <w:r w:rsidRPr="000702DC">
              <w:rPr>
                <w:rFonts w:ascii="Arial Narrow" w:eastAsia="Times New Roman" w:hAnsi="Arial Narrow" w:cs="Arial"/>
                <w:bCs/>
                <w:sz w:val="18"/>
                <w:szCs w:val="18"/>
                <w:lang w:eastAsia="ar-SA"/>
              </w:rPr>
              <w:t>Profit/(Loss) After Tax</w:t>
            </w:r>
          </w:p>
        </w:tc>
        <w:tc>
          <w:tcPr>
            <w:tcW w:w="1566" w:type="dxa"/>
            <w:tcBorders>
              <w:top w:val="single" w:sz="4" w:space="0" w:color="auto"/>
              <w:left w:val="nil"/>
              <w:right w:val="nil"/>
            </w:tcBorders>
            <w:shd w:val="clear" w:color="auto" w:fill="auto"/>
            <w:vAlign w:val="bottom"/>
          </w:tcPr>
          <w:p w14:paraId="4815D703" w14:textId="77777777" w:rsidR="007A7C0E" w:rsidRPr="000702DC" w:rsidRDefault="007A7C0E" w:rsidP="00575083">
            <w:pPr>
              <w:spacing w:after="0" w:line="240" w:lineRule="auto"/>
              <w:jc w:val="right"/>
              <w:rPr>
                <w:rFonts w:ascii="Arial Narrow" w:hAnsi="Arial Narrow" w:cs="Arial"/>
                <w:bCs/>
                <w:sz w:val="18"/>
                <w:szCs w:val="18"/>
              </w:rPr>
            </w:pPr>
            <w:r w:rsidRPr="000702DC">
              <w:rPr>
                <w:rFonts w:ascii="Arial Narrow" w:hAnsi="Arial Narrow" w:cs="Arial"/>
                <w:bCs/>
                <w:sz w:val="18"/>
                <w:szCs w:val="18"/>
              </w:rPr>
              <w:t>12,768,205,574</w:t>
            </w:r>
          </w:p>
        </w:tc>
        <w:tc>
          <w:tcPr>
            <w:tcW w:w="1566" w:type="dxa"/>
            <w:tcBorders>
              <w:top w:val="single" w:sz="4" w:space="0" w:color="auto"/>
              <w:left w:val="nil"/>
              <w:right w:val="nil"/>
            </w:tcBorders>
            <w:shd w:val="clear" w:color="auto" w:fill="auto"/>
            <w:vAlign w:val="bottom"/>
          </w:tcPr>
          <w:p w14:paraId="08E65C78" w14:textId="77777777" w:rsidR="007A7C0E" w:rsidRPr="000702DC" w:rsidRDefault="007A7C0E" w:rsidP="00575083">
            <w:pPr>
              <w:spacing w:after="0" w:line="240" w:lineRule="auto"/>
              <w:jc w:val="right"/>
              <w:rPr>
                <w:rFonts w:ascii="Arial Narrow" w:hAnsi="Arial Narrow" w:cs="Arial"/>
                <w:bCs/>
                <w:sz w:val="18"/>
                <w:szCs w:val="18"/>
              </w:rPr>
            </w:pPr>
            <w:r w:rsidRPr="000702DC">
              <w:rPr>
                <w:rFonts w:ascii="Arial Narrow" w:hAnsi="Arial Narrow" w:cs="Arial"/>
                <w:bCs/>
                <w:sz w:val="18"/>
                <w:szCs w:val="18"/>
              </w:rPr>
              <w:t>13,171,939,531</w:t>
            </w:r>
          </w:p>
        </w:tc>
        <w:tc>
          <w:tcPr>
            <w:tcW w:w="1489" w:type="dxa"/>
            <w:tcBorders>
              <w:top w:val="single" w:sz="4" w:space="0" w:color="auto"/>
              <w:left w:val="nil"/>
              <w:right w:val="nil"/>
            </w:tcBorders>
            <w:shd w:val="clear" w:color="auto" w:fill="auto"/>
            <w:vAlign w:val="bottom"/>
          </w:tcPr>
          <w:p w14:paraId="08761AEC" w14:textId="77777777" w:rsidR="007A7C0E" w:rsidRPr="000702DC" w:rsidRDefault="007A7C0E" w:rsidP="00575083">
            <w:pPr>
              <w:spacing w:after="0" w:line="240" w:lineRule="auto"/>
              <w:ind w:right="-49"/>
              <w:jc w:val="right"/>
              <w:rPr>
                <w:rFonts w:ascii="Arial Narrow" w:hAnsi="Arial Narrow" w:cs="Arial"/>
                <w:sz w:val="18"/>
                <w:szCs w:val="18"/>
              </w:rPr>
            </w:pPr>
            <w:r w:rsidRPr="000702DC">
              <w:rPr>
                <w:rFonts w:ascii="Arial Narrow" w:hAnsi="Arial Narrow" w:cs="Arial"/>
                <w:sz w:val="18"/>
                <w:szCs w:val="18"/>
              </w:rPr>
              <w:t>(403,733,957)</w:t>
            </w:r>
          </w:p>
        </w:tc>
      </w:tr>
      <w:tr w:rsidR="00161848" w:rsidRPr="00161848" w14:paraId="678ACCB1" w14:textId="77777777" w:rsidTr="007A7C0E">
        <w:trPr>
          <w:trHeight w:val="144"/>
        </w:trPr>
        <w:tc>
          <w:tcPr>
            <w:tcW w:w="4016" w:type="dxa"/>
            <w:tcBorders>
              <w:top w:val="nil"/>
              <w:left w:val="nil"/>
              <w:bottom w:val="single" w:sz="4" w:space="0" w:color="auto"/>
              <w:right w:val="nil"/>
            </w:tcBorders>
            <w:shd w:val="clear" w:color="auto" w:fill="auto"/>
            <w:noWrap/>
          </w:tcPr>
          <w:p w14:paraId="5C6D4439" w14:textId="77777777" w:rsidR="007A7C0E" w:rsidRPr="000702DC" w:rsidRDefault="007A7C0E" w:rsidP="00575083">
            <w:pPr>
              <w:suppressAutoHyphens/>
              <w:snapToGrid w:val="0"/>
              <w:spacing w:after="0" w:line="240" w:lineRule="auto"/>
              <w:ind w:hanging="93"/>
              <w:rPr>
                <w:rFonts w:ascii="Arial Narrow" w:eastAsia="Times New Roman" w:hAnsi="Arial Narrow" w:cs="Arial"/>
                <w:bCs/>
                <w:sz w:val="18"/>
                <w:szCs w:val="18"/>
                <w:lang w:eastAsia="ar-SA"/>
              </w:rPr>
            </w:pPr>
            <w:r w:rsidRPr="000702DC">
              <w:rPr>
                <w:rFonts w:ascii="Arial Narrow" w:eastAsia="Times New Roman" w:hAnsi="Arial Narrow" w:cs="Arial"/>
                <w:bCs/>
                <w:sz w:val="18"/>
                <w:szCs w:val="18"/>
                <w:lang w:eastAsia="ar-SA"/>
              </w:rPr>
              <w:t>Financial Assistance/Subsidy/Contribution</w:t>
            </w:r>
          </w:p>
        </w:tc>
        <w:tc>
          <w:tcPr>
            <w:tcW w:w="1566" w:type="dxa"/>
            <w:tcBorders>
              <w:top w:val="nil"/>
              <w:left w:val="nil"/>
              <w:bottom w:val="single" w:sz="4" w:space="0" w:color="auto"/>
              <w:right w:val="nil"/>
            </w:tcBorders>
            <w:shd w:val="clear" w:color="auto" w:fill="auto"/>
            <w:vAlign w:val="bottom"/>
          </w:tcPr>
          <w:p w14:paraId="66DF328B" w14:textId="77777777" w:rsidR="007A7C0E" w:rsidRPr="000702DC" w:rsidRDefault="007A7C0E" w:rsidP="00575083">
            <w:pPr>
              <w:spacing w:after="0" w:line="240" w:lineRule="auto"/>
              <w:jc w:val="right"/>
              <w:rPr>
                <w:rFonts w:ascii="Arial Narrow" w:hAnsi="Arial Narrow" w:cs="Arial"/>
                <w:sz w:val="18"/>
                <w:szCs w:val="18"/>
              </w:rPr>
            </w:pPr>
            <w:r w:rsidRPr="000702DC">
              <w:rPr>
                <w:rFonts w:ascii="Arial Narrow" w:hAnsi="Arial Narrow" w:cs="Arial"/>
                <w:sz w:val="18"/>
                <w:szCs w:val="18"/>
              </w:rPr>
              <w:t>8,274,995,414</w:t>
            </w:r>
          </w:p>
        </w:tc>
        <w:tc>
          <w:tcPr>
            <w:tcW w:w="1566" w:type="dxa"/>
            <w:tcBorders>
              <w:top w:val="nil"/>
              <w:left w:val="nil"/>
              <w:bottom w:val="single" w:sz="4" w:space="0" w:color="auto"/>
              <w:right w:val="nil"/>
            </w:tcBorders>
            <w:shd w:val="clear" w:color="auto" w:fill="auto"/>
            <w:vAlign w:val="bottom"/>
          </w:tcPr>
          <w:p w14:paraId="1BA2F7A8" w14:textId="77777777" w:rsidR="007A7C0E" w:rsidRPr="000702DC" w:rsidRDefault="007A7C0E" w:rsidP="00575083">
            <w:pPr>
              <w:spacing w:after="0" w:line="240" w:lineRule="auto"/>
              <w:jc w:val="right"/>
              <w:rPr>
                <w:rFonts w:ascii="Arial Narrow" w:hAnsi="Arial Narrow" w:cs="Arial"/>
                <w:sz w:val="18"/>
                <w:szCs w:val="18"/>
              </w:rPr>
            </w:pPr>
            <w:r w:rsidRPr="000702DC">
              <w:rPr>
                <w:rFonts w:ascii="Arial Narrow" w:hAnsi="Arial Narrow" w:cs="Arial"/>
                <w:sz w:val="18"/>
                <w:szCs w:val="18"/>
              </w:rPr>
              <w:t>12,159,423,810</w:t>
            </w:r>
          </w:p>
        </w:tc>
        <w:tc>
          <w:tcPr>
            <w:tcW w:w="1489" w:type="dxa"/>
            <w:tcBorders>
              <w:top w:val="nil"/>
              <w:left w:val="nil"/>
              <w:bottom w:val="single" w:sz="4" w:space="0" w:color="auto"/>
              <w:right w:val="nil"/>
            </w:tcBorders>
            <w:shd w:val="clear" w:color="auto" w:fill="auto"/>
            <w:vAlign w:val="bottom"/>
          </w:tcPr>
          <w:p w14:paraId="5603B6DB" w14:textId="77777777" w:rsidR="007A7C0E" w:rsidRPr="000702DC" w:rsidRDefault="007A7C0E" w:rsidP="00575083">
            <w:pPr>
              <w:spacing w:after="0" w:line="240" w:lineRule="auto"/>
              <w:ind w:right="-49"/>
              <w:jc w:val="right"/>
              <w:rPr>
                <w:rFonts w:ascii="Arial Narrow" w:hAnsi="Arial Narrow" w:cs="Arial"/>
                <w:sz w:val="18"/>
                <w:szCs w:val="18"/>
              </w:rPr>
            </w:pPr>
            <w:r w:rsidRPr="000702DC">
              <w:rPr>
                <w:rFonts w:ascii="Arial Narrow" w:hAnsi="Arial Narrow" w:cs="Arial"/>
                <w:sz w:val="18"/>
                <w:szCs w:val="18"/>
              </w:rPr>
              <w:t>(3,884,428,396)</w:t>
            </w:r>
          </w:p>
        </w:tc>
      </w:tr>
      <w:tr w:rsidR="00161848" w:rsidRPr="00161848" w14:paraId="5FA6D051" w14:textId="77777777" w:rsidTr="007A7C0E">
        <w:trPr>
          <w:trHeight w:val="260"/>
        </w:trPr>
        <w:tc>
          <w:tcPr>
            <w:tcW w:w="4016" w:type="dxa"/>
            <w:tcBorders>
              <w:top w:val="single" w:sz="4" w:space="0" w:color="auto"/>
              <w:left w:val="nil"/>
              <w:right w:val="nil"/>
            </w:tcBorders>
            <w:shd w:val="clear" w:color="auto" w:fill="auto"/>
            <w:noWrap/>
          </w:tcPr>
          <w:p w14:paraId="52DB9A09" w14:textId="77777777" w:rsidR="007A7C0E" w:rsidRPr="000702DC" w:rsidRDefault="007A7C0E" w:rsidP="00575083">
            <w:pPr>
              <w:suppressAutoHyphens/>
              <w:snapToGrid w:val="0"/>
              <w:spacing w:after="0" w:line="240" w:lineRule="auto"/>
              <w:ind w:hanging="93"/>
              <w:rPr>
                <w:rFonts w:ascii="Arial Narrow" w:eastAsia="Times New Roman" w:hAnsi="Arial Narrow" w:cs="Arial"/>
                <w:bCs/>
                <w:sz w:val="18"/>
                <w:szCs w:val="18"/>
                <w:lang w:eastAsia="ar-SA"/>
              </w:rPr>
            </w:pPr>
            <w:r w:rsidRPr="000702DC">
              <w:rPr>
                <w:rFonts w:ascii="Arial Narrow" w:eastAsia="Times New Roman" w:hAnsi="Arial Narrow" w:cs="Arial"/>
                <w:bCs/>
                <w:sz w:val="18"/>
                <w:szCs w:val="18"/>
                <w:lang w:eastAsia="ar-SA"/>
              </w:rPr>
              <w:t>Net Income/(Loss)</w:t>
            </w:r>
          </w:p>
        </w:tc>
        <w:tc>
          <w:tcPr>
            <w:tcW w:w="1566" w:type="dxa"/>
            <w:tcBorders>
              <w:top w:val="single" w:sz="4" w:space="0" w:color="auto"/>
              <w:left w:val="nil"/>
              <w:right w:val="nil"/>
            </w:tcBorders>
            <w:shd w:val="clear" w:color="auto" w:fill="auto"/>
            <w:vAlign w:val="bottom"/>
          </w:tcPr>
          <w:p w14:paraId="4DB12F26" w14:textId="77777777" w:rsidR="007A7C0E" w:rsidRPr="000702DC" w:rsidRDefault="007A7C0E" w:rsidP="00575083">
            <w:pPr>
              <w:spacing w:after="0" w:line="240" w:lineRule="auto"/>
              <w:jc w:val="right"/>
              <w:rPr>
                <w:rFonts w:ascii="Arial Narrow" w:hAnsi="Arial Narrow" w:cs="Arial"/>
                <w:bCs/>
                <w:sz w:val="18"/>
                <w:szCs w:val="18"/>
              </w:rPr>
            </w:pPr>
            <w:r w:rsidRPr="000702DC">
              <w:rPr>
                <w:rFonts w:ascii="Arial Narrow" w:hAnsi="Arial Narrow" w:cs="Arial"/>
                <w:bCs/>
                <w:sz w:val="18"/>
                <w:szCs w:val="18"/>
              </w:rPr>
              <w:t>4,493,210,160</w:t>
            </w:r>
          </w:p>
        </w:tc>
        <w:tc>
          <w:tcPr>
            <w:tcW w:w="1566" w:type="dxa"/>
            <w:tcBorders>
              <w:top w:val="single" w:sz="4" w:space="0" w:color="auto"/>
              <w:left w:val="nil"/>
              <w:right w:val="nil"/>
            </w:tcBorders>
            <w:shd w:val="clear" w:color="auto" w:fill="auto"/>
            <w:vAlign w:val="bottom"/>
          </w:tcPr>
          <w:p w14:paraId="216AA384" w14:textId="77777777" w:rsidR="007A7C0E" w:rsidRPr="000702DC" w:rsidRDefault="007A7C0E" w:rsidP="00575083">
            <w:pPr>
              <w:spacing w:after="0" w:line="240" w:lineRule="auto"/>
              <w:jc w:val="right"/>
              <w:rPr>
                <w:rFonts w:ascii="Arial Narrow" w:hAnsi="Arial Narrow" w:cs="Arial"/>
                <w:bCs/>
                <w:sz w:val="18"/>
                <w:szCs w:val="18"/>
              </w:rPr>
            </w:pPr>
            <w:r w:rsidRPr="000702DC">
              <w:rPr>
                <w:rFonts w:ascii="Arial Narrow" w:hAnsi="Arial Narrow" w:cs="Arial"/>
                <w:bCs/>
                <w:sz w:val="18"/>
                <w:szCs w:val="18"/>
              </w:rPr>
              <w:t>1,012,515,721</w:t>
            </w:r>
          </w:p>
        </w:tc>
        <w:tc>
          <w:tcPr>
            <w:tcW w:w="1489" w:type="dxa"/>
            <w:tcBorders>
              <w:top w:val="single" w:sz="4" w:space="0" w:color="auto"/>
              <w:left w:val="nil"/>
              <w:right w:val="nil"/>
            </w:tcBorders>
            <w:shd w:val="clear" w:color="auto" w:fill="auto"/>
            <w:vAlign w:val="bottom"/>
          </w:tcPr>
          <w:p w14:paraId="130FC936" w14:textId="77777777" w:rsidR="007A7C0E" w:rsidRPr="000702DC" w:rsidRDefault="007A7C0E" w:rsidP="00575083">
            <w:pPr>
              <w:spacing w:after="0" w:line="240" w:lineRule="auto"/>
              <w:ind w:right="-49"/>
              <w:jc w:val="right"/>
              <w:rPr>
                <w:rFonts w:ascii="Arial Narrow" w:hAnsi="Arial Narrow" w:cs="Arial"/>
                <w:sz w:val="18"/>
                <w:szCs w:val="18"/>
              </w:rPr>
            </w:pPr>
            <w:r w:rsidRPr="000702DC">
              <w:rPr>
                <w:rFonts w:ascii="Arial Narrow" w:hAnsi="Arial Narrow" w:cs="Arial"/>
                <w:sz w:val="18"/>
                <w:szCs w:val="18"/>
              </w:rPr>
              <w:t>3,480,694,439</w:t>
            </w:r>
          </w:p>
        </w:tc>
      </w:tr>
      <w:tr w:rsidR="00161848" w:rsidRPr="00161848" w14:paraId="4D1F03F1" w14:textId="77777777" w:rsidTr="007A7C0E">
        <w:trPr>
          <w:trHeight w:val="263"/>
        </w:trPr>
        <w:tc>
          <w:tcPr>
            <w:tcW w:w="4016" w:type="dxa"/>
            <w:tcBorders>
              <w:left w:val="nil"/>
              <w:bottom w:val="single" w:sz="4" w:space="0" w:color="auto"/>
              <w:right w:val="nil"/>
            </w:tcBorders>
            <w:shd w:val="clear" w:color="auto" w:fill="auto"/>
            <w:noWrap/>
          </w:tcPr>
          <w:p w14:paraId="1D929A01" w14:textId="596C7902" w:rsidR="007A7C0E" w:rsidRPr="000702DC" w:rsidRDefault="007A7C0E" w:rsidP="00570E7E">
            <w:pPr>
              <w:suppressAutoHyphens/>
              <w:snapToGrid w:val="0"/>
              <w:spacing w:after="0" w:line="240" w:lineRule="auto"/>
              <w:ind w:hanging="93"/>
              <w:rPr>
                <w:rFonts w:ascii="Arial Narrow" w:eastAsia="Times New Roman" w:hAnsi="Arial Narrow" w:cs="Arial"/>
                <w:bCs/>
                <w:sz w:val="18"/>
                <w:szCs w:val="18"/>
                <w:lang w:eastAsia="ar-SA"/>
              </w:rPr>
            </w:pPr>
            <w:r w:rsidRPr="000702DC">
              <w:rPr>
                <w:rFonts w:ascii="Arial Narrow" w:eastAsia="Times New Roman" w:hAnsi="Arial Narrow" w:cs="Arial"/>
                <w:bCs/>
                <w:sz w:val="18"/>
                <w:szCs w:val="18"/>
                <w:lang w:eastAsia="ar-SA"/>
              </w:rPr>
              <w:t>Other Comprehensive</w:t>
            </w:r>
            <w:r w:rsidR="00570E7E" w:rsidRPr="000702DC">
              <w:rPr>
                <w:rFonts w:ascii="Arial Narrow" w:eastAsia="Times New Roman" w:hAnsi="Arial Narrow" w:cs="Arial"/>
                <w:bCs/>
                <w:sz w:val="18"/>
                <w:szCs w:val="18"/>
                <w:lang w:eastAsia="ar-SA"/>
              </w:rPr>
              <w:t xml:space="preserve"> Income (</w:t>
            </w:r>
            <w:r w:rsidRPr="000702DC">
              <w:rPr>
                <w:rFonts w:ascii="Arial Narrow" w:eastAsia="Times New Roman" w:hAnsi="Arial Narrow" w:cs="Arial"/>
                <w:bCs/>
                <w:sz w:val="18"/>
                <w:szCs w:val="18"/>
                <w:lang w:eastAsia="ar-SA"/>
              </w:rPr>
              <w:t>Loss</w:t>
            </w:r>
            <w:r w:rsidR="00570E7E" w:rsidRPr="000702DC">
              <w:rPr>
                <w:rFonts w:ascii="Arial Narrow" w:eastAsia="Times New Roman" w:hAnsi="Arial Narrow" w:cs="Arial"/>
                <w:bCs/>
                <w:sz w:val="18"/>
                <w:szCs w:val="18"/>
                <w:lang w:eastAsia="ar-SA"/>
              </w:rPr>
              <w:t>)</w:t>
            </w:r>
            <w:r w:rsidRPr="000702DC">
              <w:rPr>
                <w:rFonts w:ascii="Arial Narrow" w:eastAsia="Times New Roman" w:hAnsi="Arial Narrow" w:cs="Arial"/>
                <w:bCs/>
                <w:sz w:val="18"/>
                <w:szCs w:val="18"/>
                <w:lang w:eastAsia="ar-SA"/>
              </w:rPr>
              <w:t xml:space="preserve"> for the period</w:t>
            </w:r>
          </w:p>
        </w:tc>
        <w:tc>
          <w:tcPr>
            <w:tcW w:w="1566" w:type="dxa"/>
            <w:tcBorders>
              <w:left w:val="nil"/>
              <w:bottom w:val="single" w:sz="4" w:space="0" w:color="auto"/>
              <w:right w:val="nil"/>
            </w:tcBorders>
            <w:shd w:val="clear" w:color="auto" w:fill="auto"/>
            <w:vAlign w:val="bottom"/>
          </w:tcPr>
          <w:p w14:paraId="1C2AE564" w14:textId="77777777" w:rsidR="007A7C0E" w:rsidRPr="000702DC" w:rsidRDefault="007A7C0E" w:rsidP="00575083">
            <w:pPr>
              <w:spacing w:after="0" w:line="240" w:lineRule="auto"/>
              <w:jc w:val="right"/>
              <w:rPr>
                <w:rFonts w:ascii="Arial Narrow" w:hAnsi="Arial Narrow" w:cs="Arial"/>
                <w:sz w:val="18"/>
                <w:szCs w:val="18"/>
              </w:rPr>
            </w:pPr>
            <w:r w:rsidRPr="000702DC">
              <w:rPr>
                <w:rFonts w:ascii="Arial Narrow" w:hAnsi="Arial Narrow" w:cs="Arial"/>
                <w:sz w:val="18"/>
                <w:szCs w:val="18"/>
              </w:rPr>
              <w:t xml:space="preserve">95,547,933 </w:t>
            </w:r>
          </w:p>
        </w:tc>
        <w:tc>
          <w:tcPr>
            <w:tcW w:w="1566" w:type="dxa"/>
            <w:tcBorders>
              <w:left w:val="nil"/>
              <w:bottom w:val="single" w:sz="4" w:space="0" w:color="auto"/>
              <w:right w:val="nil"/>
            </w:tcBorders>
            <w:shd w:val="clear" w:color="auto" w:fill="auto"/>
            <w:vAlign w:val="bottom"/>
          </w:tcPr>
          <w:p w14:paraId="34AEFCAE" w14:textId="77777777" w:rsidR="007A7C0E" w:rsidRPr="000702DC" w:rsidRDefault="007A7C0E" w:rsidP="00575083">
            <w:pPr>
              <w:spacing w:after="0" w:line="240" w:lineRule="auto"/>
              <w:jc w:val="center"/>
              <w:rPr>
                <w:rFonts w:ascii="Arial Narrow" w:hAnsi="Arial Narrow" w:cs="Arial"/>
                <w:sz w:val="18"/>
                <w:szCs w:val="18"/>
              </w:rPr>
            </w:pPr>
            <w:r w:rsidRPr="000702DC">
              <w:rPr>
                <w:rFonts w:ascii="Arial Narrow" w:hAnsi="Arial Narrow" w:cs="Arial"/>
                <w:sz w:val="18"/>
                <w:szCs w:val="18"/>
              </w:rPr>
              <w:t xml:space="preserve">        (62,791,067)</w:t>
            </w:r>
          </w:p>
        </w:tc>
        <w:tc>
          <w:tcPr>
            <w:tcW w:w="1489" w:type="dxa"/>
            <w:tcBorders>
              <w:left w:val="nil"/>
              <w:bottom w:val="single" w:sz="4" w:space="0" w:color="auto"/>
              <w:right w:val="nil"/>
            </w:tcBorders>
            <w:shd w:val="clear" w:color="auto" w:fill="auto"/>
            <w:vAlign w:val="center"/>
          </w:tcPr>
          <w:p w14:paraId="38206066" w14:textId="1F869381" w:rsidR="007A7C0E" w:rsidRPr="000702DC" w:rsidRDefault="007A7C0E" w:rsidP="00575083">
            <w:pPr>
              <w:spacing w:after="0" w:line="240" w:lineRule="auto"/>
              <w:ind w:right="-49"/>
              <w:jc w:val="right"/>
              <w:rPr>
                <w:rFonts w:ascii="Arial Narrow" w:hAnsi="Arial Narrow"/>
                <w:sz w:val="18"/>
                <w:szCs w:val="18"/>
              </w:rPr>
            </w:pPr>
            <w:r w:rsidRPr="000702DC">
              <w:rPr>
                <w:rFonts w:ascii="Arial Narrow" w:hAnsi="Arial Narrow"/>
                <w:sz w:val="18"/>
                <w:szCs w:val="18"/>
              </w:rPr>
              <w:t>158,339,000</w:t>
            </w:r>
          </w:p>
        </w:tc>
      </w:tr>
      <w:tr w:rsidR="007A7C0E" w:rsidRPr="00161848" w14:paraId="1B753771" w14:textId="77777777" w:rsidTr="00CB173B">
        <w:trPr>
          <w:trHeight w:val="206"/>
        </w:trPr>
        <w:tc>
          <w:tcPr>
            <w:tcW w:w="4016" w:type="dxa"/>
            <w:tcBorders>
              <w:top w:val="single" w:sz="4" w:space="0" w:color="auto"/>
              <w:left w:val="nil"/>
              <w:bottom w:val="double" w:sz="4" w:space="0" w:color="auto"/>
              <w:right w:val="nil"/>
            </w:tcBorders>
            <w:shd w:val="clear" w:color="auto" w:fill="auto"/>
            <w:noWrap/>
          </w:tcPr>
          <w:p w14:paraId="39E71B0E" w14:textId="77777777" w:rsidR="007A7C0E" w:rsidRPr="000702DC" w:rsidRDefault="007A7C0E" w:rsidP="00575083">
            <w:pPr>
              <w:suppressAutoHyphens/>
              <w:snapToGrid w:val="0"/>
              <w:spacing w:after="0" w:line="240" w:lineRule="auto"/>
              <w:ind w:hanging="93"/>
              <w:rPr>
                <w:rFonts w:ascii="Arial Narrow" w:eastAsia="Times New Roman" w:hAnsi="Arial Narrow" w:cs="Arial"/>
                <w:b/>
                <w:bCs/>
                <w:sz w:val="18"/>
                <w:szCs w:val="18"/>
                <w:lang w:eastAsia="ar-SA"/>
              </w:rPr>
            </w:pPr>
            <w:r w:rsidRPr="000702DC">
              <w:rPr>
                <w:rFonts w:ascii="Arial Narrow" w:eastAsia="Times New Roman" w:hAnsi="Arial Narrow" w:cs="Arial"/>
                <w:b/>
                <w:bCs/>
                <w:sz w:val="18"/>
                <w:szCs w:val="18"/>
                <w:lang w:eastAsia="ar-SA"/>
              </w:rPr>
              <w:t>Total Comprehensive Income</w:t>
            </w:r>
          </w:p>
        </w:tc>
        <w:tc>
          <w:tcPr>
            <w:tcW w:w="1566" w:type="dxa"/>
            <w:tcBorders>
              <w:top w:val="single" w:sz="4" w:space="0" w:color="auto"/>
              <w:left w:val="nil"/>
              <w:bottom w:val="double" w:sz="4" w:space="0" w:color="auto"/>
              <w:right w:val="nil"/>
            </w:tcBorders>
            <w:shd w:val="clear" w:color="auto" w:fill="auto"/>
            <w:vAlign w:val="bottom"/>
          </w:tcPr>
          <w:p w14:paraId="7205AE24" w14:textId="77777777" w:rsidR="007A7C0E" w:rsidRPr="000702DC" w:rsidRDefault="007A7C0E" w:rsidP="00575083">
            <w:pPr>
              <w:spacing w:after="0" w:line="240" w:lineRule="auto"/>
              <w:jc w:val="right"/>
              <w:rPr>
                <w:rFonts w:ascii="Arial Narrow" w:hAnsi="Arial Narrow" w:cs="Arial"/>
                <w:b/>
                <w:sz w:val="18"/>
                <w:szCs w:val="18"/>
              </w:rPr>
            </w:pPr>
            <w:r w:rsidRPr="000702DC">
              <w:rPr>
                <w:rFonts w:ascii="Arial Narrow" w:hAnsi="Arial Narrow" w:cs="Arial"/>
                <w:b/>
                <w:sz w:val="18"/>
                <w:szCs w:val="18"/>
              </w:rPr>
              <w:t>4,588,758,093</w:t>
            </w:r>
          </w:p>
        </w:tc>
        <w:tc>
          <w:tcPr>
            <w:tcW w:w="1566" w:type="dxa"/>
            <w:tcBorders>
              <w:top w:val="single" w:sz="4" w:space="0" w:color="auto"/>
              <w:left w:val="nil"/>
              <w:bottom w:val="double" w:sz="4" w:space="0" w:color="auto"/>
              <w:right w:val="nil"/>
            </w:tcBorders>
            <w:shd w:val="clear" w:color="auto" w:fill="auto"/>
            <w:vAlign w:val="bottom"/>
          </w:tcPr>
          <w:p w14:paraId="5EF694E9" w14:textId="77777777" w:rsidR="007A7C0E" w:rsidRPr="000702DC" w:rsidRDefault="007A7C0E" w:rsidP="00575083">
            <w:pPr>
              <w:spacing w:after="0" w:line="240" w:lineRule="auto"/>
              <w:jc w:val="right"/>
              <w:rPr>
                <w:rFonts w:ascii="Arial Narrow" w:hAnsi="Arial Narrow" w:cs="Arial"/>
                <w:b/>
                <w:sz w:val="18"/>
                <w:szCs w:val="18"/>
              </w:rPr>
            </w:pPr>
            <w:r w:rsidRPr="000702DC">
              <w:rPr>
                <w:rFonts w:ascii="Arial Narrow" w:hAnsi="Arial Narrow" w:cs="Arial"/>
                <w:b/>
                <w:sz w:val="18"/>
                <w:szCs w:val="18"/>
              </w:rPr>
              <w:t>949,724,654</w:t>
            </w:r>
          </w:p>
        </w:tc>
        <w:tc>
          <w:tcPr>
            <w:tcW w:w="1489" w:type="dxa"/>
            <w:tcBorders>
              <w:top w:val="single" w:sz="4" w:space="0" w:color="auto"/>
              <w:left w:val="nil"/>
              <w:bottom w:val="double" w:sz="4" w:space="0" w:color="auto"/>
              <w:right w:val="nil"/>
            </w:tcBorders>
            <w:shd w:val="clear" w:color="auto" w:fill="auto"/>
            <w:vAlign w:val="bottom"/>
          </w:tcPr>
          <w:p w14:paraId="34BB95F9" w14:textId="01171785" w:rsidR="007A7C0E" w:rsidRPr="000702DC" w:rsidRDefault="007A7C0E" w:rsidP="00575083">
            <w:pPr>
              <w:spacing w:after="0" w:line="240" w:lineRule="auto"/>
              <w:ind w:right="-49"/>
              <w:jc w:val="right"/>
              <w:rPr>
                <w:rFonts w:ascii="Arial Narrow" w:hAnsi="Arial Narrow" w:cs="Arial"/>
                <w:b/>
                <w:sz w:val="18"/>
                <w:szCs w:val="18"/>
              </w:rPr>
            </w:pPr>
            <w:r w:rsidRPr="000702DC">
              <w:rPr>
                <w:rFonts w:ascii="Arial Narrow" w:hAnsi="Arial Narrow" w:cs="Arial"/>
                <w:b/>
                <w:sz w:val="18"/>
                <w:szCs w:val="18"/>
              </w:rPr>
              <w:t>3,639,033,439</w:t>
            </w:r>
          </w:p>
        </w:tc>
      </w:tr>
    </w:tbl>
    <w:p w14:paraId="0544B4CE" w14:textId="37D8F7A9" w:rsidR="007A7C0E" w:rsidRPr="000702DC" w:rsidRDefault="007A7C0E" w:rsidP="00575083">
      <w:pPr>
        <w:spacing w:after="0" w:line="240" w:lineRule="auto"/>
        <w:jc w:val="both"/>
        <w:rPr>
          <w:rFonts w:ascii="Arial" w:hAnsi="Arial" w:cs="Arial"/>
          <w:b/>
          <w:sz w:val="19"/>
          <w:szCs w:val="19"/>
        </w:rPr>
      </w:pPr>
    </w:p>
    <w:p w14:paraId="7AA469AE" w14:textId="77777777" w:rsidR="00491F60" w:rsidRPr="00161848" w:rsidRDefault="00491F60" w:rsidP="00C257B7">
      <w:pPr>
        <w:pStyle w:val="ListParagraph"/>
        <w:numPr>
          <w:ilvl w:val="0"/>
          <w:numId w:val="1"/>
        </w:numPr>
        <w:ind w:left="720"/>
        <w:jc w:val="both"/>
        <w:rPr>
          <w:rFonts w:ascii="Arial" w:hAnsi="Arial" w:cs="Arial"/>
          <w:b/>
          <w:sz w:val="20"/>
          <w:szCs w:val="20"/>
        </w:rPr>
      </w:pPr>
      <w:r w:rsidRPr="00161848">
        <w:rPr>
          <w:rFonts w:ascii="Arial" w:hAnsi="Arial" w:cs="Arial"/>
          <w:b/>
          <w:sz w:val="20"/>
          <w:szCs w:val="20"/>
        </w:rPr>
        <w:t>Comparison of 201</w:t>
      </w:r>
      <w:r w:rsidR="00876A2B" w:rsidRPr="00161848">
        <w:rPr>
          <w:rFonts w:ascii="Arial" w:hAnsi="Arial" w:cs="Arial"/>
          <w:b/>
          <w:sz w:val="20"/>
          <w:szCs w:val="20"/>
        </w:rPr>
        <w:t>9</w:t>
      </w:r>
      <w:r w:rsidRPr="00161848">
        <w:rPr>
          <w:rFonts w:ascii="Arial" w:hAnsi="Arial" w:cs="Arial"/>
          <w:b/>
          <w:sz w:val="20"/>
          <w:szCs w:val="20"/>
        </w:rPr>
        <w:t xml:space="preserve"> Budget and Actual Amounts on Comparable Basis</w:t>
      </w:r>
    </w:p>
    <w:p w14:paraId="10772649" w14:textId="6DEDFFF0" w:rsidR="00D7617B" w:rsidRPr="000702DC" w:rsidRDefault="00D7617B" w:rsidP="00575083">
      <w:pPr>
        <w:spacing w:after="0" w:line="240" w:lineRule="auto"/>
        <w:jc w:val="both"/>
        <w:rPr>
          <w:rFonts w:ascii="Arial" w:hAnsi="Arial" w:cs="Arial"/>
          <w:sz w:val="19"/>
          <w:szCs w:val="19"/>
        </w:rPr>
      </w:pPr>
    </w:p>
    <w:tbl>
      <w:tblPr>
        <w:tblW w:w="8748" w:type="dxa"/>
        <w:jc w:val="center"/>
        <w:tblLook w:val="04A0" w:firstRow="1" w:lastRow="0" w:firstColumn="1" w:lastColumn="0" w:noHBand="0" w:noVBand="1"/>
      </w:tblPr>
      <w:tblGrid>
        <w:gridCol w:w="257"/>
        <w:gridCol w:w="2811"/>
        <w:gridCol w:w="1886"/>
        <w:gridCol w:w="1886"/>
        <w:gridCol w:w="1908"/>
      </w:tblGrid>
      <w:tr w:rsidR="00161848" w:rsidRPr="00161848" w14:paraId="52BA4C2B" w14:textId="77777777" w:rsidTr="00570E7E">
        <w:trPr>
          <w:trHeight w:val="350"/>
          <w:jc w:val="center"/>
        </w:trPr>
        <w:tc>
          <w:tcPr>
            <w:tcW w:w="257" w:type="dxa"/>
            <w:tcBorders>
              <w:top w:val="single" w:sz="4" w:space="0" w:color="auto"/>
              <w:left w:val="nil"/>
              <w:bottom w:val="single" w:sz="4" w:space="0" w:color="auto"/>
              <w:right w:val="nil"/>
            </w:tcBorders>
            <w:shd w:val="clear" w:color="auto" w:fill="auto"/>
            <w:vAlign w:val="center"/>
            <w:hideMark/>
          </w:tcPr>
          <w:p w14:paraId="4992F794" w14:textId="77777777" w:rsidR="007A7C0E" w:rsidRPr="00161848" w:rsidRDefault="007A7C0E" w:rsidP="00575083">
            <w:pPr>
              <w:spacing w:after="0" w:line="240" w:lineRule="auto"/>
              <w:jc w:val="right"/>
              <w:rPr>
                <w:rFonts w:ascii="Arial Narrow" w:eastAsia="Times New Roman" w:hAnsi="Arial Narrow" w:cs="Arial"/>
                <w:b/>
                <w:bCs/>
                <w:sz w:val="20"/>
                <w:szCs w:val="20"/>
                <w:lang w:val="en-US"/>
              </w:rPr>
            </w:pPr>
          </w:p>
        </w:tc>
        <w:tc>
          <w:tcPr>
            <w:tcW w:w="2811" w:type="dxa"/>
            <w:tcBorders>
              <w:top w:val="single" w:sz="4" w:space="0" w:color="auto"/>
              <w:left w:val="nil"/>
              <w:bottom w:val="single" w:sz="4" w:space="0" w:color="auto"/>
              <w:right w:val="nil"/>
            </w:tcBorders>
            <w:vAlign w:val="center"/>
          </w:tcPr>
          <w:p w14:paraId="2630D4AA" w14:textId="77777777" w:rsidR="007A7C0E" w:rsidRPr="000702DC" w:rsidRDefault="007A7C0E" w:rsidP="00575083">
            <w:pPr>
              <w:spacing w:after="0" w:line="240" w:lineRule="auto"/>
              <w:ind w:left="-108" w:right="-108"/>
              <w:jc w:val="right"/>
              <w:rPr>
                <w:rFonts w:ascii="Arial Narrow" w:eastAsia="Times New Roman" w:hAnsi="Arial Narrow" w:cs="Arial"/>
                <w:b/>
                <w:bCs/>
                <w:sz w:val="18"/>
                <w:szCs w:val="18"/>
                <w:lang w:val="en-US"/>
              </w:rPr>
            </w:pPr>
          </w:p>
        </w:tc>
        <w:tc>
          <w:tcPr>
            <w:tcW w:w="1886" w:type="dxa"/>
            <w:tcBorders>
              <w:top w:val="single" w:sz="4" w:space="0" w:color="auto"/>
              <w:left w:val="nil"/>
              <w:bottom w:val="single" w:sz="4" w:space="0" w:color="auto"/>
              <w:right w:val="nil"/>
            </w:tcBorders>
            <w:shd w:val="clear" w:color="auto" w:fill="auto"/>
            <w:vAlign w:val="center"/>
            <w:hideMark/>
          </w:tcPr>
          <w:p w14:paraId="3A5B46D0" w14:textId="77777777" w:rsidR="007A7C0E" w:rsidRPr="000702DC" w:rsidRDefault="007A7C0E" w:rsidP="00575083">
            <w:pPr>
              <w:spacing w:after="0" w:line="240" w:lineRule="auto"/>
              <w:ind w:left="-110" w:right="-100"/>
              <w:jc w:val="right"/>
              <w:rPr>
                <w:rFonts w:ascii="Arial Narrow" w:eastAsia="Times New Roman" w:hAnsi="Arial Narrow" w:cs="Arial"/>
                <w:b/>
                <w:bCs/>
                <w:sz w:val="18"/>
                <w:szCs w:val="18"/>
                <w:lang w:val="en-US"/>
              </w:rPr>
            </w:pPr>
            <w:r w:rsidRPr="000702DC">
              <w:rPr>
                <w:rFonts w:ascii="Arial Narrow" w:eastAsia="Times New Roman" w:hAnsi="Arial Narrow" w:cs="Arial"/>
                <w:b/>
                <w:bCs/>
                <w:sz w:val="18"/>
                <w:szCs w:val="18"/>
                <w:lang w:val="en-US"/>
              </w:rPr>
              <w:t>Approved Corporate Operating Budget</w:t>
            </w:r>
          </w:p>
        </w:tc>
        <w:tc>
          <w:tcPr>
            <w:tcW w:w="1886" w:type="dxa"/>
            <w:tcBorders>
              <w:top w:val="single" w:sz="4" w:space="0" w:color="auto"/>
              <w:left w:val="nil"/>
              <w:bottom w:val="single" w:sz="4" w:space="0" w:color="auto"/>
              <w:right w:val="nil"/>
            </w:tcBorders>
            <w:shd w:val="clear" w:color="auto" w:fill="auto"/>
            <w:vAlign w:val="center"/>
            <w:hideMark/>
          </w:tcPr>
          <w:p w14:paraId="5AB87739" w14:textId="77777777" w:rsidR="007A7C0E" w:rsidRPr="000702DC" w:rsidRDefault="007A7C0E" w:rsidP="00575083">
            <w:pPr>
              <w:spacing w:after="0" w:line="240" w:lineRule="auto"/>
              <w:ind w:right="-100"/>
              <w:jc w:val="right"/>
              <w:rPr>
                <w:rFonts w:ascii="Arial Narrow" w:eastAsia="Times New Roman" w:hAnsi="Arial Narrow" w:cs="Arial"/>
                <w:b/>
                <w:bCs/>
                <w:sz w:val="18"/>
                <w:szCs w:val="18"/>
                <w:lang w:val="en-US"/>
              </w:rPr>
            </w:pPr>
            <w:r w:rsidRPr="000702DC">
              <w:rPr>
                <w:rFonts w:ascii="Arial Narrow" w:eastAsia="Times New Roman" w:hAnsi="Arial Narrow" w:cs="Arial"/>
                <w:b/>
                <w:bCs/>
                <w:sz w:val="18"/>
                <w:szCs w:val="18"/>
                <w:lang w:val="en-US"/>
              </w:rPr>
              <w:t>Actual Amounts on Comparable Basis</w:t>
            </w:r>
          </w:p>
        </w:tc>
        <w:tc>
          <w:tcPr>
            <w:tcW w:w="1908" w:type="dxa"/>
            <w:tcBorders>
              <w:top w:val="single" w:sz="4" w:space="0" w:color="auto"/>
              <w:left w:val="nil"/>
              <w:bottom w:val="single" w:sz="4" w:space="0" w:color="auto"/>
              <w:right w:val="nil"/>
            </w:tcBorders>
            <w:shd w:val="clear" w:color="auto" w:fill="auto"/>
            <w:vAlign w:val="bottom"/>
            <w:hideMark/>
          </w:tcPr>
          <w:p w14:paraId="71C2A17E" w14:textId="77777777" w:rsidR="007A7C0E" w:rsidRPr="000702DC" w:rsidRDefault="007A7C0E" w:rsidP="00575083">
            <w:pPr>
              <w:spacing w:after="0" w:line="240" w:lineRule="auto"/>
              <w:ind w:right="-108"/>
              <w:jc w:val="right"/>
              <w:rPr>
                <w:rFonts w:ascii="Arial Narrow" w:eastAsia="Times New Roman" w:hAnsi="Arial Narrow" w:cs="Arial"/>
                <w:b/>
                <w:bCs/>
                <w:sz w:val="18"/>
                <w:szCs w:val="18"/>
                <w:lang w:val="en-US"/>
              </w:rPr>
            </w:pPr>
            <w:r w:rsidRPr="000702DC">
              <w:rPr>
                <w:rFonts w:ascii="Arial Narrow" w:eastAsia="Times New Roman" w:hAnsi="Arial Narrow" w:cs="Arial"/>
                <w:b/>
                <w:bCs/>
                <w:sz w:val="18"/>
                <w:szCs w:val="18"/>
                <w:lang w:val="en-US"/>
              </w:rPr>
              <w:t>Variance</w:t>
            </w:r>
          </w:p>
        </w:tc>
      </w:tr>
      <w:tr w:rsidR="00161848" w:rsidRPr="00161848" w14:paraId="5D4DF7EF" w14:textId="77777777" w:rsidTr="000702DC">
        <w:trPr>
          <w:trHeight w:val="50"/>
          <w:jc w:val="center"/>
        </w:trPr>
        <w:tc>
          <w:tcPr>
            <w:tcW w:w="3068" w:type="dxa"/>
            <w:gridSpan w:val="2"/>
            <w:tcBorders>
              <w:top w:val="single" w:sz="4" w:space="0" w:color="auto"/>
              <w:left w:val="nil"/>
              <w:bottom w:val="nil"/>
              <w:right w:val="nil"/>
            </w:tcBorders>
            <w:shd w:val="clear" w:color="auto" w:fill="auto"/>
            <w:vAlign w:val="center"/>
          </w:tcPr>
          <w:p w14:paraId="5008EEF4" w14:textId="77777777" w:rsidR="007A7C0E" w:rsidRPr="000702DC" w:rsidRDefault="007A7C0E" w:rsidP="00575083">
            <w:pPr>
              <w:suppressAutoHyphens/>
              <w:snapToGrid w:val="0"/>
              <w:spacing w:after="0" w:line="240" w:lineRule="auto"/>
              <w:rPr>
                <w:rFonts w:ascii="Arial Narrow" w:eastAsia="Times New Roman" w:hAnsi="Arial Narrow" w:cs="Arial"/>
                <w:bCs/>
                <w:sz w:val="18"/>
                <w:szCs w:val="18"/>
                <w:lang w:eastAsia="ar-SA"/>
              </w:rPr>
            </w:pPr>
            <w:r w:rsidRPr="000702DC">
              <w:rPr>
                <w:rFonts w:ascii="Arial Narrow" w:eastAsia="Times New Roman" w:hAnsi="Arial Narrow" w:cs="Arial"/>
                <w:bCs/>
                <w:sz w:val="18"/>
                <w:szCs w:val="18"/>
                <w:lang w:eastAsia="ar-SA"/>
              </w:rPr>
              <w:t>Operating Fund</w:t>
            </w:r>
          </w:p>
        </w:tc>
        <w:tc>
          <w:tcPr>
            <w:tcW w:w="1886" w:type="dxa"/>
            <w:tcBorders>
              <w:top w:val="single" w:sz="4" w:space="0" w:color="auto"/>
              <w:left w:val="nil"/>
              <w:bottom w:val="nil"/>
              <w:right w:val="nil"/>
            </w:tcBorders>
            <w:shd w:val="clear" w:color="auto" w:fill="auto"/>
            <w:vAlign w:val="center"/>
          </w:tcPr>
          <w:p w14:paraId="01C3DE9C" w14:textId="77777777" w:rsidR="007A7C0E" w:rsidRPr="000702DC" w:rsidRDefault="007A7C0E" w:rsidP="00575083">
            <w:pPr>
              <w:suppressAutoHyphens/>
              <w:snapToGrid w:val="0"/>
              <w:spacing w:after="0" w:line="240" w:lineRule="auto"/>
              <w:ind w:left="-110" w:right="-100"/>
              <w:jc w:val="right"/>
              <w:rPr>
                <w:rFonts w:ascii="Arial Narrow" w:eastAsia="Times New Roman" w:hAnsi="Arial Narrow" w:cs="Arial"/>
                <w:bCs/>
                <w:sz w:val="18"/>
                <w:szCs w:val="18"/>
                <w:lang w:eastAsia="ar-SA"/>
              </w:rPr>
            </w:pPr>
          </w:p>
        </w:tc>
        <w:tc>
          <w:tcPr>
            <w:tcW w:w="1886" w:type="dxa"/>
            <w:tcBorders>
              <w:top w:val="single" w:sz="4" w:space="0" w:color="auto"/>
              <w:left w:val="nil"/>
              <w:bottom w:val="nil"/>
              <w:right w:val="nil"/>
            </w:tcBorders>
            <w:shd w:val="clear" w:color="auto" w:fill="auto"/>
            <w:vAlign w:val="center"/>
          </w:tcPr>
          <w:p w14:paraId="523FC396" w14:textId="77777777" w:rsidR="007A7C0E" w:rsidRPr="000702DC" w:rsidRDefault="007A7C0E" w:rsidP="00575083">
            <w:pPr>
              <w:suppressAutoHyphens/>
              <w:snapToGrid w:val="0"/>
              <w:spacing w:after="0" w:line="240" w:lineRule="auto"/>
              <w:ind w:right="-100"/>
              <w:jc w:val="right"/>
              <w:rPr>
                <w:rFonts w:ascii="Arial Narrow" w:eastAsia="Times New Roman" w:hAnsi="Arial Narrow" w:cs="Arial"/>
                <w:bCs/>
                <w:sz w:val="18"/>
                <w:szCs w:val="18"/>
                <w:lang w:eastAsia="ar-SA"/>
              </w:rPr>
            </w:pPr>
          </w:p>
        </w:tc>
        <w:tc>
          <w:tcPr>
            <w:tcW w:w="1908" w:type="dxa"/>
            <w:tcBorders>
              <w:top w:val="single" w:sz="4" w:space="0" w:color="auto"/>
              <w:left w:val="nil"/>
              <w:bottom w:val="nil"/>
              <w:right w:val="nil"/>
            </w:tcBorders>
            <w:shd w:val="clear" w:color="auto" w:fill="auto"/>
            <w:vAlign w:val="center"/>
          </w:tcPr>
          <w:p w14:paraId="733F452E" w14:textId="77777777" w:rsidR="007A7C0E" w:rsidRPr="000702DC" w:rsidRDefault="007A7C0E" w:rsidP="00575083">
            <w:pPr>
              <w:spacing w:after="0" w:line="240" w:lineRule="auto"/>
              <w:ind w:right="-108"/>
              <w:jc w:val="right"/>
              <w:rPr>
                <w:rFonts w:ascii="Arial Narrow" w:eastAsia="Times New Roman" w:hAnsi="Arial Narrow" w:cs="Arial"/>
                <w:sz w:val="18"/>
                <w:szCs w:val="18"/>
                <w:lang w:val="en-US"/>
              </w:rPr>
            </w:pPr>
          </w:p>
        </w:tc>
      </w:tr>
      <w:tr w:rsidR="00161848" w:rsidRPr="00161848" w14:paraId="66CCF614" w14:textId="77777777" w:rsidTr="000702DC">
        <w:trPr>
          <w:trHeight w:val="90"/>
          <w:jc w:val="center"/>
        </w:trPr>
        <w:tc>
          <w:tcPr>
            <w:tcW w:w="257" w:type="dxa"/>
            <w:tcBorders>
              <w:top w:val="nil"/>
              <w:left w:val="nil"/>
              <w:right w:val="nil"/>
            </w:tcBorders>
            <w:shd w:val="clear" w:color="auto" w:fill="auto"/>
            <w:vAlign w:val="center"/>
          </w:tcPr>
          <w:p w14:paraId="132D8057" w14:textId="77777777" w:rsidR="007A7C0E" w:rsidRPr="00161848" w:rsidRDefault="007A7C0E" w:rsidP="00575083">
            <w:pPr>
              <w:suppressAutoHyphens/>
              <w:snapToGrid w:val="0"/>
              <w:spacing w:after="0" w:line="240" w:lineRule="auto"/>
              <w:jc w:val="right"/>
              <w:rPr>
                <w:rFonts w:ascii="Arial Narrow" w:eastAsia="Times New Roman" w:hAnsi="Arial Narrow" w:cs="Arial"/>
                <w:bCs/>
                <w:sz w:val="20"/>
                <w:szCs w:val="20"/>
                <w:lang w:eastAsia="ar-SA"/>
              </w:rPr>
            </w:pPr>
          </w:p>
        </w:tc>
        <w:tc>
          <w:tcPr>
            <w:tcW w:w="2811" w:type="dxa"/>
            <w:tcBorders>
              <w:top w:val="nil"/>
              <w:left w:val="nil"/>
              <w:right w:val="nil"/>
            </w:tcBorders>
            <w:vAlign w:val="center"/>
          </w:tcPr>
          <w:p w14:paraId="53A14E64" w14:textId="77777777" w:rsidR="007A7C0E" w:rsidRPr="000702DC" w:rsidRDefault="007A7C0E" w:rsidP="00570E7E">
            <w:pPr>
              <w:suppressAutoHyphens/>
              <w:snapToGrid w:val="0"/>
              <w:spacing w:after="0" w:line="240" w:lineRule="auto"/>
              <w:ind w:left="202" w:hanging="202"/>
              <w:rPr>
                <w:rFonts w:ascii="Arial Narrow" w:eastAsia="Times New Roman" w:hAnsi="Arial Narrow" w:cs="Arial"/>
                <w:bCs/>
                <w:sz w:val="18"/>
                <w:szCs w:val="18"/>
                <w:lang w:eastAsia="ar-SA"/>
              </w:rPr>
            </w:pPr>
            <w:r w:rsidRPr="000702DC">
              <w:rPr>
                <w:rFonts w:ascii="Arial Narrow" w:eastAsia="Times New Roman" w:hAnsi="Arial Narrow" w:cs="Arial"/>
                <w:bCs/>
                <w:sz w:val="18"/>
                <w:szCs w:val="18"/>
                <w:lang w:eastAsia="ar-SA"/>
              </w:rPr>
              <w:t>Personnel Services</w:t>
            </w:r>
          </w:p>
        </w:tc>
        <w:tc>
          <w:tcPr>
            <w:tcW w:w="1886" w:type="dxa"/>
            <w:tcBorders>
              <w:top w:val="nil"/>
              <w:left w:val="nil"/>
              <w:right w:val="nil"/>
            </w:tcBorders>
            <w:shd w:val="clear" w:color="auto" w:fill="auto"/>
            <w:vAlign w:val="bottom"/>
          </w:tcPr>
          <w:p w14:paraId="6E49226D" w14:textId="64C4EC1B" w:rsidR="007A7C0E" w:rsidRPr="000702DC" w:rsidRDefault="007A7C0E" w:rsidP="00575083">
            <w:pPr>
              <w:spacing w:after="0"/>
              <w:ind w:left="-110" w:right="-100"/>
              <w:jc w:val="right"/>
              <w:rPr>
                <w:rFonts w:ascii="Arial Narrow" w:hAnsi="Arial Narrow"/>
                <w:sz w:val="18"/>
                <w:szCs w:val="18"/>
              </w:rPr>
            </w:pPr>
            <w:r w:rsidRPr="000702DC">
              <w:rPr>
                <w:rFonts w:ascii="Arial Narrow" w:hAnsi="Arial Narrow"/>
                <w:sz w:val="18"/>
                <w:szCs w:val="18"/>
              </w:rPr>
              <w:t xml:space="preserve">1,104,315,000 </w:t>
            </w:r>
          </w:p>
        </w:tc>
        <w:tc>
          <w:tcPr>
            <w:tcW w:w="1886" w:type="dxa"/>
            <w:tcBorders>
              <w:top w:val="nil"/>
              <w:left w:val="nil"/>
              <w:right w:val="nil"/>
            </w:tcBorders>
            <w:shd w:val="clear" w:color="auto" w:fill="auto"/>
            <w:vAlign w:val="bottom"/>
          </w:tcPr>
          <w:p w14:paraId="06BA901C" w14:textId="1CB230CC" w:rsidR="007A7C0E" w:rsidRPr="000702DC" w:rsidRDefault="007A7C0E" w:rsidP="00575083">
            <w:pPr>
              <w:spacing w:after="0"/>
              <w:ind w:right="-100"/>
              <w:jc w:val="right"/>
              <w:rPr>
                <w:rFonts w:ascii="Arial Narrow" w:hAnsi="Arial Narrow" w:cs="Arial"/>
                <w:sz w:val="18"/>
                <w:szCs w:val="18"/>
              </w:rPr>
            </w:pPr>
            <w:r w:rsidRPr="000702DC">
              <w:rPr>
                <w:rFonts w:ascii="Arial Narrow" w:hAnsi="Arial Narrow" w:cs="Arial"/>
                <w:sz w:val="18"/>
                <w:szCs w:val="18"/>
              </w:rPr>
              <w:t xml:space="preserve">853,504,168 </w:t>
            </w:r>
          </w:p>
        </w:tc>
        <w:tc>
          <w:tcPr>
            <w:tcW w:w="1908" w:type="dxa"/>
            <w:tcBorders>
              <w:top w:val="nil"/>
              <w:left w:val="nil"/>
              <w:right w:val="nil"/>
            </w:tcBorders>
            <w:shd w:val="clear" w:color="auto" w:fill="auto"/>
            <w:vAlign w:val="bottom"/>
          </w:tcPr>
          <w:p w14:paraId="3E3733DA" w14:textId="790F7AAD" w:rsidR="007A7C0E" w:rsidRPr="000702DC" w:rsidRDefault="007A7C0E" w:rsidP="00575083">
            <w:pPr>
              <w:spacing w:after="0"/>
              <w:ind w:right="-90"/>
              <w:jc w:val="right"/>
              <w:rPr>
                <w:rFonts w:ascii="Arial Narrow" w:hAnsi="Arial Narrow"/>
                <w:sz w:val="18"/>
                <w:szCs w:val="18"/>
              </w:rPr>
            </w:pPr>
            <w:r w:rsidRPr="000702DC">
              <w:rPr>
                <w:rFonts w:ascii="Arial Narrow" w:hAnsi="Arial Narrow"/>
                <w:sz w:val="18"/>
                <w:szCs w:val="18"/>
              </w:rPr>
              <w:t xml:space="preserve">   250,810,832 </w:t>
            </w:r>
          </w:p>
        </w:tc>
      </w:tr>
      <w:tr w:rsidR="00161848" w:rsidRPr="00161848" w14:paraId="5D8D97DE" w14:textId="77777777" w:rsidTr="00570E7E">
        <w:trPr>
          <w:trHeight w:val="378"/>
          <w:jc w:val="center"/>
        </w:trPr>
        <w:tc>
          <w:tcPr>
            <w:tcW w:w="257" w:type="dxa"/>
            <w:tcBorders>
              <w:top w:val="nil"/>
              <w:left w:val="nil"/>
              <w:right w:val="nil"/>
            </w:tcBorders>
            <w:shd w:val="clear" w:color="auto" w:fill="auto"/>
            <w:vAlign w:val="center"/>
          </w:tcPr>
          <w:p w14:paraId="60094CD5" w14:textId="77777777" w:rsidR="007A7C0E" w:rsidRPr="00161848" w:rsidRDefault="007A7C0E" w:rsidP="00575083">
            <w:pPr>
              <w:suppressAutoHyphens/>
              <w:snapToGrid w:val="0"/>
              <w:spacing w:after="0" w:line="240" w:lineRule="auto"/>
              <w:rPr>
                <w:rFonts w:ascii="Arial Narrow" w:eastAsia="Times New Roman" w:hAnsi="Arial Narrow" w:cs="Arial"/>
                <w:bCs/>
                <w:sz w:val="20"/>
                <w:szCs w:val="20"/>
                <w:lang w:eastAsia="ar-SA"/>
              </w:rPr>
            </w:pPr>
          </w:p>
        </w:tc>
        <w:tc>
          <w:tcPr>
            <w:tcW w:w="2811" w:type="dxa"/>
            <w:tcBorders>
              <w:top w:val="nil"/>
              <w:left w:val="nil"/>
              <w:right w:val="nil"/>
            </w:tcBorders>
            <w:vAlign w:val="center"/>
          </w:tcPr>
          <w:p w14:paraId="5FD572F9" w14:textId="77777777" w:rsidR="007A7C0E" w:rsidRPr="000702DC" w:rsidRDefault="007A7C0E" w:rsidP="00570E7E">
            <w:pPr>
              <w:suppressAutoHyphens/>
              <w:snapToGrid w:val="0"/>
              <w:spacing w:after="0" w:line="240" w:lineRule="auto"/>
              <w:ind w:left="202" w:hanging="202"/>
              <w:rPr>
                <w:rFonts w:ascii="Arial Narrow" w:eastAsia="Times New Roman" w:hAnsi="Arial Narrow" w:cs="Arial"/>
                <w:bCs/>
                <w:sz w:val="18"/>
                <w:szCs w:val="18"/>
                <w:lang w:eastAsia="ar-SA"/>
              </w:rPr>
            </w:pPr>
            <w:r w:rsidRPr="000702DC">
              <w:rPr>
                <w:rFonts w:ascii="Arial Narrow" w:eastAsia="Times New Roman" w:hAnsi="Arial Narrow" w:cs="Arial"/>
                <w:bCs/>
                <w:sz w:val="18"/>
                <w:szCs w:val="18"/>
                <w:lang w:eastAsia="ar-SA"/>
              </w:rPr>
              <w:t>Maintenance and Other Operating Expenses</w:t>
            </w:r>
          </w:p>
        </w:tc>
        <w:tc>
          <w:tcPr>
            <w:tcW w:w="1886" w:type="dxa"/>
            <w:tcBorders>
              <w:top w:val="nil"/>
              <w:left w:val="nil"/>
              <w:right w:val="nil"/>
            </w:tcBorders>
            <w:shd w:val="clear" w:color="auto" w:fill="auto"/>
            <w:vAlign w:val="bottom"/>
          </w:tcPr>
          <w:p w14:paraId="1AA8B45E" w14:textId="71A2B6C6" w:rsidR="007A7C0E" w:rsidRPr="000702DC" w:rsidRDefault="007A7C0E" w:rsidP="00575083">
            <w:pPr>
              <w:spacing w:after="0"/>
              <w:ind w:left="-110" w:right="-100"/>
              <w:jc w:val="right"/>
              <w:rPr>
                <w:rFonts w:ascii="Arial Narrow" w:hAnsi="Arial Narrow"/>
                <w:sz w:val="18"/>
                <w:szCs w:val="18"/>
              </w:rPr>
            </w:pPr>
            <w:r w:rsidRPr="000702DC">
              <w:rPr>
                <w:rFonts w:ascii="Arial Narrow" w:hAnsi="Arial Narrow"/>
                <w:sz w:val="18"/>
                <w:szCs w:val="18"/>
              </w:rPr>
              <w:t xml:space="preserve">10,559,671,000 </w:t>
            </w:r>
          </w:p>
        </w:tc>
        <w:tc>
          <w:tcPr>
            <w:tcW w:w="1886" w:type="dxa"/>
            <w:tcBorders>
              <w:top w:val="nil"/>
              <w:left w:val="nil"/>
              <w:right w:val="nil"/>
            </w:tcBorders>
            <w:shd w:val="clear" w:color="auto" w:fill="auto"/>
            <w:vAlign w:val="bottom"/>
          </w:tcPr>
          <w:p w14:paraId="551C41EE" w14:textId="1346040B" w:rsidR="007A7C0E" w:rsidRPr="000702DC" w:rsidRDefault="007A7C0E" w:rsidP="00575083">
            <w:pPr>
              <w:spacing w:after="0"/>
              <w:ind w:right="-100"/>
              <w:jc w:val="right"/>
              <w:rPr>
                <w:rFonts w:ascii="Arial Narrow" w:hAnsi="Arial Narrow" w:cs="Arial"/>
                <w:sz w:val="18"/>
                <w:szCs w:val="18"/>
              </w:rPr>
            </w:pPr>
            <w:r w:rsidRPr="000702DC">
              <w:rPr>
                <w:rFonts w:ascii="Arial Narrow" w:hAnsi="Arial Narrow" w:cs="Arial"/>
                <w:sz w:val="18"/>
                <w:szCs w:val="18"/>
              </w:rPr>
              <w:t>6,618,621,58</w:t>
            </w:r>
            <w:r w:rsidR="006A421D" w:rsidRPr="000702DC">
              <w:rPr>
                <w:rFonts w:ascii="Arial Narrow" w:hAnsi="Arial Narrow" w:cs="Arial"/>
                <w:sz w:val="18"/>
                <w:szCs w:val="18"/>
              </w:rPr>
              <w:t>9</w:t>
            </w:r>
          </w:p>
        </w:tc>
        <w:tc>
          <w:tcPr>
            <w:tcW w:w="1908" w:type="dxa"/>
            <w:tcBorders>
              <w:top w:val="nil"/>
              <w:left w:val="nil"/>
              <w:right w:val="nil"/>
            </w:tcBorders>
            <w:shd w:val="clear" w:color="auto" w:fill="auto"/>
            <w:vAlign w:val="bottom"/>
          </w:tcPr>
          <w:p w14:paraId="381A21C0" w14:textId="6D14ACE9" w:rsidR="007A7C0E" w:rsidRPr="000702DC" w:rsidRDefault="007A7C0E" w:rsidP="00575083">
            <w:pPr>
              <w:spacing w:after="0"/>
              <w:ind w:right="-90"/>
              <w:jc w:val="right"/>
              <w:rPr>
                <w:rFonts w:ascii="Arial Narrow" w:hAnsi="Arial Narrow"/>
                <w:sz w:val="18"/>
                <w:szCs w:val="18"/>
              </w:rPr>
            </w:pPr>
            <w:r w:rsidRPr="000702DC">
              <w:rPr>
                <w:rFonts w:ascii="Arial Narrow" w:hAnsi="Arial Narrow"/>
                <w:sz w:val="18"/>
                <w:szCs w:val="18"/>
              </w:rPr>
              <w:t>3,941,049,41</w:t>
            </w:r>
            <w:r w:rsidR="006A421D" w:rsidRPr="000702DC">
              <w:rPr>
                <w:rFonts w:ascii="Arial Narrow" w:hAnsi="Arial Narrow"/>
                <w:sz w:val="18"/>
                <w:szCs w:val="18"/>
              </w:rPr>
              <w:t>1</w:t>
            </w:r>
            <w:r w:rsidRPr="000702DC">
              <w:rPr>
                <w:rFonts w:ascii="Arial Narrow" w:hAnsi="Arial Narrow"/>
                <w:sz w:val="18"/>
                <w:szCs w:val="18"/>
              </w:rPr>
              <w:t xml:space="preserve"> </w:t>
            </w:r>
          </w:p>
        </w:tc>
      </w:tr>
      <w:tr w:rsidR="00161848" w:rsidRPr="00161848" w14:paraId="30802327" w14:textId="77777777" w:rsidTr="000702DC">
        <w:trPr>
          <w:trHeight w:val="207"/>
          <w:jc w:val="center"/>
        </w:trPr>
        <w:tc>
          <w:tcPr>
            <w:tcW w:w="257" w:type="dxa"/>
            <w:tcBorders>
              <w:top w:val="nil"/>
              <w:left w:val="nil"/>
              <w:right w:val="nil"/>
            </w:tcBorders>
            <w:shd w:val="clear" w:color="auto" w:fill="auto"/>
            <w:vAlign w:val="center"/>
          </w:tcPr>
          <w:p w14:paraId="1C0806AD" w14:textId="77777777" w:rsidR="007A7C0E" w:rsidRPr="00161848" w:rsidRDefault="007A7C0E" w:rsidP="00575083">
            <w:pPr>
              <w:suppressAutoHyphens/>
              <w:snapToGrid w:val="0"/>
              <w:spacing w:after="0" w:line="240" w:lineRule="auto"/>
              <w:rPr>
                <w:rFonts w:ascii="Arial Narrow" w:eastAsia="Times New Roman" w:hAnsi="Arial Narrow" w:cs="Arial"/>
                <w:bCs/>
                <w:sz w:val="20"/>
                <w:szCs w:val="20"/>
                <w:lang w:eastAsia="ar-SA"/>
              </w:rPr>
            </w:pPr>
          </w:p>
        </w:tc>
        <w:tc>
          <w:tcPr>
            <w:tcW w:w="2811" w:type="dxa"/>
            <w:tcBorders>
              <w:top w:val="nil"/>
              <w:left w:val="nil"/>
              <w:right w:val="nil"/>
            </w:tcBorders>
            <w:vAlign w:val="center"/>
          </w:tcPr>
          <w:p w14:paraId="7AF4EB51" w14:textId="77777777" w:rsidR="007A7C0E" w:rsidRPr="000702DC" w:rsidRDefault="007A7C0E" w:rsidP="00570E7E">
            <w:pPr>
              <w:suppressAutoHyphens/>
              <w:snapToGrid w:val="0"/>
              <w:spacing w:after="0" w:line="240" w:lineRule="auto"/>
              <w:ind w:left="202" w:hanging="202"/>
              <w:rPr>
                <w:rFonts w:ascii="Arial Narrow" w:eastAsia="Times New Roman" w:hAnsi="Arial Narrow" w:cs="Arial"/>
                <w:bCs/>
                <w:sz w:val="18"/>
                <w:szCs w:val="18"/>
                <w:lang w:eastAsia="ar-SA"/>
              </w:rPr>
            </w:pPr>
            <w:r w:rsidRPr="000702DC">
              <w:rPr>
                <w:rFonts w:ascii="Arial Narrow" w:eastAsia="Times New Roman" w:hAnsi="Arial Narrow" w:cs="Arial"/>
                <w:bCs/>
                <w:sz w:val="18"/>
                <w:szCs w:val="18"/>
                <w:lang w:eastAsia="ar-SA"/>
              </w:rPr>
              <w:t>Capital Outlays</w:t>
            </w:r>
          </w:p>
        </w:tc>
        <w:tc>
          <w:tcPr>
            <w:tcW w:w="1886" w:type="dxa"/>
            <w:tcBorders>
              <w:top w:val="nil"/>
              <w:left w:val="nil"/>
              <w:right w:val="nil"/>
            </w:tcBorders>
            <w:shd w:val="clear" w:color="auto" w:fill="auto"/>
            <w:vAlign w:val="bottom"/>
          </w:tcPr>
          <w:p w14:paraId="20F485C7" w14:textId="0A4ACA83" w:rsidR="007A7C0E" w:rsidRPr="000702DC" w:rsidRDefault="007A7C0E" w:rsidP="00575083">
            <w:pPr>
              <w:spacing w:after="0"/>
              <w:ind w:left="-110" w:right="-100"/>
              <w:jc w:val="right"/>
              <w:rPr>
                <w:rFonts w:ascii="Arial Narrow" w:hAnsi="Arial Narrow"/>
                <w:sz w:val="18"/>
                <w:szCs w:val="18"/>
              </w:rPr>
            </w:pPr>
            <w:r w:rsidRPr="000702DC">
              <w:rPr>
                <w:rFonts w:ascii="Arial Narrow" w:hAnsi="Arial Narrow"/>
                <w:sz w:val="18"/>
                <w:szCs w:val="18"/>
              </w:rPr>
              <w:t xml:space="preserve">3,309,846,000 </w:t>
            </w:r>
          </w:p>
        </w:tc>
        <w:tc>
          <w:tcPr>
            <w:tcW w:w="1886" w:type="dxa"/>
            <w:tcBorders>
              <w:top w:val="nil"/>
              <w:left w:val="nil"/>
              <w:right w:val="nil"/>
            </w:tcBorders>
            <w:shd w:val="clear" w:color="auto" w:fill="auto"/>
            <w:vAlign w:val="bottom"/>
          </w:tcPr>
          <w:p w14:paraId="5FBCE6CD" w14:textId="09A7C207" w:rsidR="007A7C0E" w:rsidRPr="000702DC" w:rsidRDefault="007A7C0E" w:rsidP="00575083">
            <w:pPr>
              <w:spacing w:after="0"/>
              <w:ind w:right="-100"/>
              <w:jc w:val="right"/>
              <w:rPr>
                <w:rFonts w:ascii="Arial Narrow" w:hAnsi="Arial Narrow" w:cs="Arial"/>
                <w:sz w:val="18"/>
                <w:szCs w:val="18"/>
              </w:rPr>
            </w:pPr>
            <w:r w:rsidRPr="000702DC">
              <w:rPr>
                <w:rFonts w:ascii="Arial Narrow" w:hAnsi="Arial Narrow" w:cs="Arial"/>
                <w:sz w:val="18"/>
                <w:szCs w:val="18"/>
              </w:rPr>
              <w:t xml:space="preserve"> 80,995,770</w:t>
            </w:r>
          </w:p>
        </w:tc>
        <w:tc>
          <w:tcPr>
            <w:tcW w:w="1908" w:type="dxa"/>
            <w:tcBorders>
              <w:top w:val="nil"/>
              <w:left w:val="nil"/>
              <w:right w:val="nil"/>
            </w:tcBorders>
            <w:shd w:val="clear" w:color="auto" w:fill="auto"/>
            <w:vAlign w:val="bottom"/>
          </w:tcPr>
          <w:p w14:paraId="6CEF398F" w14:textId="4032008A" w:rsidR="007A7C0E" w:rsidRPr="000702DC" w:rsidRDefault="007A7C0E" w:rsidP="00575083">
            <w:pPr>
              <w:spacing w:after="0"/>
              <w:ind w:right="-90"/>
              <w:jc w:val="right"/>
              <w:rPr>
                <w:rFonts w:ascii="Arial Narrow" w:hAnsi="Arial Narrow" w:cs="Arial"/>
                <w:sz w:val="18"/>
                <w:szCs w:val="18"/>
              </w:rPr>
            </w:pPr>
            <w:r w:rsidRPr="000702DC">
              <w:rPr>
                <w:rFonts w:ascii="Arial Narrow" w:hAnsi="Arial Narrow" w:cs="Arial"/>
                <w:sz w:val="18"/>
                <w:szCs w:val="18"/>
              </w:rPr>
              <w:t>3,228,850,230</w:t>
            </w:r>
          </w:p>
        </w:tc>
      </w:tr>
      <w:tr w:rsidR="00161848" w:rsidRPr="00161848" w14:paraId="2FF006FB" w14:textId="77777777" w:rsidTr="00570E7E">
        <w:trPr>
          <w:trHeight w:val="180"/>
          <w:jc w:val="center"/>
        </w:trPr>
        <w:tc>
          <w:tcPr>
            <w:tcW w:w="3068" w:type="dxa"/>
            <w:gridSpan w:val="2"/>
            <w:tcBorders>
              <w:top w:val="nil"/>
              <w:left w:val="nil"/>
              <w:right w:val="nil"/>
            </w:tcBorders>
            <w:shd w:val="clear" w:color="auto" w:fill="auto"/>
            <w:vAlign w:val="center"/>
          </w:tcPr>
          <w:p w14:paraId="3ED160EA" w14:textId="77777777" w:rsidR="007A7C0E" w:rsidRPr="000702DC" w:rsidRDefault="007A7C0E" w:rsidP="00575083">
            <w:pPr>
              <w:suppressAutoHyphens/>
              <w:snapToGrid w:val="0"/>
              <w:spacing w:after="0" w:line="240" w:lineRule="auto"/>
              <w:rPr>
                <w:rFonts w:ascii="Arial Narrow" w:eastAsia="Times New Roman" w:hAnsi="Arial Narrow" w:cs="Arial"/>
                <w:bCs/>
                <w:sz w:val="18"/>
                <w:szCs w:val="18"/>
                <w:lang w:eastAsia="ar-SA"/>
              </w:rPr>
            </w:pPr>
            <w:r w:rsidRPr="000702DC">
              <w:rPr>
                <w:rFonts w:ascii="Arial Narrow" w:eastAsia="Times New Roman" w:hAnsi="Arial Narrow" w:cs="Arial"/>
                <w:bCs/>
                <w:sz w:val="18"/>
                <w:szCs w:val="18"/>
                <w:lang w:eastAsia="ar-SA"/>
              </w:rPr>
              <w:t>Charity Fund</w:t>
            </w:r>
          </w:p>
        </w:tc>
        <w:tc>
          <w:tcPr>
            <w:tcW w:w="1886" w:type="dxa"/>
            <w:tcBorders>
              <w:top w:val="nil"/>
              <w:left w:val="nil"/>
              <w:right w:val="nil"/>
            </w:tcBorders>
            <w:shd w:val="clear" w:color="auto" w:fill="auto"/>
            <w:vAlign w:val="bottom"/>
          </w:tcPr>
          <w:p w14:paraId="017FD15F" w14:textId="77777777" w:rsidR="007A7C0E" w:rsidRPr="000702DC" w:rsidRDefault="007A7C0E" w:rsidP="00575083">
            <w:pPr>
              <w:suppressAutoHyphens/>
              <w:snapToGrid w:val="0"/>
              <w:spacing w:after="0" w:line="240" w:lineRule="auto"/>
              <w:ind w:left="-110" w:right="-100"/>
              <w:jc w:val="right"/>
              <w:rPr>
                <w:rFonts w:ascii="Arial Narrow" w:eastAsia="Times New Roman" w:hAnsi="Arial Narrow" w:cs="Arial"/>
                <w:bCs/>
                <w:sz w:val="18"/>
                <w:szCs w:val="18"/>
                <w:lang w:eastAsia="ar-SA"/>
              </w:rPr>
            </w:pPr>
          </w:p>
        </w:tc>
        <w:tc>
          <w:tcPr>
            <w:tcW w:w="1886" w:type="dxa"/>
            <w:tcBorders>
              <w:top w:val="nil"/>
              <w:left w:val="nil"/>
              <w:right w:val="nil"/>
            </w:tcBorders>
            <w:shd w:val="clear" w:color="auto" w:fill="auto"/>
            <w:vAlign w:val="bottom"/>
          </w:tcPr>
          <w:p w14:paraId="1F8FCD41" w14:textId="77777777" w:rsidR="007A7C0E" w:rsidRPr="000702DC" w:rsidRDefault="007A7C0E" w:rsidP="00575083">
            <w:pPr>
              <w:suppressAutoHyphens/>
              <w:snapToGrid w:val="0"/>
              <w:spacing w:after="0" w:line="240" w:lineRule="auto"/>
              <w:ind w:right="-100"/>
              <w:jc w:val="right"/>
              <w:rPr>
                <w:rFonts w:ascii="Arial Narrow" w:eastAsia="Times New Roman" w:hAnsi="Arial Narrow" w:cs="Arial"/>
                <w:bCs/>
                <w:sz w:val="18"/>
                <w:szCs w:val="18"/>
                <w:lang w:eastAsia="ar-SA"/>
              </w:rPr>
            </w:pPr>
          </w:p>
        </w:tc>
        <w:tc>
          <w:tcPr>
            <w:tcW w:w="1908" w:type="dxa"/>
            <w:tcBorders>
              <w:top w:val="nil"/>
              <w:left w:val="nil"/>
              <w:right w:val="nil"/>
            </w:tcBorders>
            <w:shd w:val="clear" w:color="auto" w:fill="auto"/>
            <w:vAlign w:val="bottom"/>
          </w:tcPr>
          <w:p w14:paraId="6AC202BD" w14:textId="77777777" w:rsidR="007A7C0E" w:rsidRPr="000702DC" w:rsidRDefault="007A7C0E" w:rsidP="00575083">
            <w:pPr>
              <w:spacing w:after="0" w:line="240" w:lineRule="auto"/>
              <w:ind w:right="-90"/>
              <w:jc w:val="right"/>
              <w:rPr>
                <w:rFonts w:ascii="Arial Narrow" w:hAnsi="Arial Narrow" w:cs="Arial"/>
                <w:sz w:val="18"/>
                <w:szCs w:val="18"/>
              </w:rPr>
            </w:pPr>
          </w:p>
        </w:tc>
      </w:tr>
      <w:tr w:rsidR="00161848" w:rsidRPr="00161848" w14:paraId="15DF0F29" w14:textId="77777777" w:rsidTr="00570E7E">
        <w:trPr>
          <w:trHeight w:val="153"/>
          <w:jc w:val="center"/>
        </w:trPr>
        <w:tc>
          <w:tcPr>
            <w:tcW w:w="257" w:type="dxa"/>
            <w:tcBorders>
              <w:top w:val="nil"/>
              <w:left w:val="nil"/>
              <w:right w:val="nil"/>
            </w:tcBorders>
            <w:shd w:val="clear" w:color="auto" w:fill="auto"/>
            <w:vAlign w:val="center"/>
          </w:tcPr>
          <w:p w14:paraId="2648A626" w14:textId="77777777" w:rsidR="007A7C0E" w:rsidRPr="00161848" w:rsidRDefault="007A7C0E" w:rsidP="00575083">
            <w:pPr>
              <w:suppressAutoHyphens/>
              <w:snapToGrid w:val="0"/>
              <w:spacing w:after="0" w:line="240" w:lineRule="auto"/>
              <w:rPr>
                <w:rFonts w:ascii="Arial Narrow" w:eastAsia="Times New Roman" w:hAnsi="Arial Narrow" w:cs="Arial"/>
                <w:bCs/>
                <w:sz w:val="20"/>
                <w:szCs w:val="20"/>
                <w:lang w:eastAsia="ar-SA"/>
              </w:rPr>
            </w:pPr>
          </w:p>
        </w:tc>
        <w:tc>
          <w:tcPr>
            <w:tcW w:w="2811" w:type="dxa"/>
            <w:tcBorders>
              <w:top w:val="nil"/>
              <w:left w:val="nil"/>
              <w:right w:val="nil"/>
            </w:tcBorders>
            <w:vAlign w:val="center"/>
          </w:tcPr>
          <w:p w14:paraId="4C1AC6E9" w14:textId="77777777" w:rsidR="007A7C0E" w:rsidRPr="000702DC" w:rsidRDefault="007A7C0E" w:rsidP="00570E7E">
            <w:pPr>
              <w:suppressAutoHyphens/>
              <w:snapToGrid w:val="0"/>
              <w:spacing w:after="0" w:line="240" w:lineRule="auto"/>
              <w:ind w:left="202" w:hanging="202"/>
              <w:rPr>
                <w:rFonts w:ascii="Arial Narrow" w:eastAsia="Times New Roman" w:hAnsi="Arial Narrow" w:cs="Arial"/>
                <w:bCs/>
                <w:sz w:val="18"/>
                <w:szCs w:val="18"/>
                <w:lang w:eastAsia="ar-SA"/>
              </w:rPr>
            </w:pPr>
            <w:r w:rsidRPr="000702DC">
              <w:rPr>
                <w:rFonts w:ascii="Arial Narrow" w:eastAsia="Times New Roman" w:hAnsi="Arial Narrow" w:cs="Arial"/>
                <w:bCs/>
                <w:sz w:val="18"/>
                <w:szCs w:val="18"/>
                <w:lang w:eastAsia="ar-SA"/>
              </w:rPr>
              <w:t>Maintenance and Other Operating Expenses</w:t>
            </w:r>
          </w:p>
        </w:tc>
        <w:tc>
          <w:tcPr>
            <w:tcW w:w="1886" w:type="dxa"/>
            <w:tcBorders>
              <w:top w:val="nil"/>
              <w:left w:val="nil"/>
              <w:right w:val="nil"/>
            </w:tcBorders>
            <w:shd w:val="clear" w:color="auto" w:fill="auto"/>
            <w:vAlign w:val="bottom"/>
          </w:tcPr>
          <w:p w14:paraId="3A4DC0F2" w14:textId="7247AB60" w:rsidR="007A7C0E" w:rsidRPr="000702DC" w:rsidRDefault="007A7C0E" w:rsidP="00575083">
            <w:pPr>
              <w:spacing w:after="0"/>
              <w:ind w:left="-110" w:right="-100"/>
              <w:jc w:val="right"/>
              <w:rPr>
                <w:rFonts w:ascii="Arial Narrow" w:hAnsi="Arial Narrow"/>
                <w:sz w:val="18"/>
                <w:szCs w:val="18"/>
              </w:rPr>
            </w:pPr>
            <w:r w:rsidRPr="000702DC">
              <w:rPr>
                <w:rFonts w:ascii="Arial Narrow" w:hAnsi="Arial Narrow"/>
                <w:sz w:val="18"/>
                <w:szCs w:val="18"/>
              </w:rPr>
              <w:t xml:space="preserve">  102,689,000 </w:t>
            </w:r>
          </w:p>
        </w:tc>
        <w:tc>
          <w:tcPr>
            <w:tcW w:w="1886" w:type="dxa"/>
            <w:tcBorders>
              <w:top w:val="nil"/>
              <w:left w:val="nil"/>
              <w:right w:val="nil"/>
            </w:tcBorders>
            <w:shd w:val="clear" w:color="auto" w:fill="auto"/>
            <w:vAlign w:val="bottom"/>
          </w:tcPr>
          <w:p w14:paraId="53EFD7C2" w14:textId="6FFD6FD9" w:rsidR="007A7C0E" w:rsidRPr="000702DC" w:rsidRDefault="007A7C0E" w:rsidP="00575083">
            <w:pPr>
              <w:spacing w:after="0"/>
              <w:ind w:right="-100"/>
              <w:jc w:val="right"/>
              <w:rPr>
                <w:rFonts w:ascii="Arial Narrow" w:hAnsi="Arial Narrow"/>
                <w:sz w:val="18"/>
                <w:szCs w:val="18"/>
              </w:rPr>
            </w:pPr>
            <w:r w:rsidRPr="000702DC">
              <w:rPr>
                <w:rFonts w:ascii="Arial Narrow" w:hAnsi="Arial Narrow"/>
                <w:sz w:val="18"/>
                <w:szCs w:val="18"/>
              </w:rPr>
              <w:t xml:space="preserve">2,030,727,549 </w:t>
            </w:r>
          </w:p>
        </w:tc>
        <w:tc>
          <w:tcPr>
            <w:tcW w:w="1908" w:type="dxa"/>
            <w:tcBorders>
              <w:top w:val="nil"/>
              <w:left w:val="nil"/>
              <w:right w:val="nil"/>
            </w:tcBorders>
            <w:shd w:val="clear" w:color="auto" w:fill="auto"/>
            <w:vAlign w:val="bottom"/>
          </w:tcPr>
          <w:p w14:paraId="33351122" w14:textId="594B9349" w:rsidR="007A7C0E" w:rsidRPr="000702DC" w:rsidRDefault="007A7C0E" w:rsidP="00575083">
            <w:pPr>
              <w:spacing w:after="0"/>
              <w:ind w:right="-90"/>
              <w:jc w:val="right"/>
              <w:rPr>
                <w:rFonts w:ascii="Arial Narrow" w:hAnsi="Arial Narrow"/>
                <w:sz w:val="18"/>
                <w:szCs w:val="18"/>
              </w:rPr>
            </w:pPr>
            <w:r w:rsidRPr="000702DC">
              <w:rPr>
                <w:rFonts w:ascii="Arial Narrow" w:hAnsi="Arial Narrow"/>
                <w:sz w:val="18"/>
                <w:szCs w:val="18"/>
              </w:rPr>
              <w:t>(1,928,038,549)</w:t>
            </w:r>
          </w:p>
        </w:tc>
      </w:tr>
      <w:tr w:rsidR="00161848" w:rsidRPr="00161848" w14:paraId="751142F9" w14:textId="77777777" w:rsidTr="00570E7E">
        <w:trPr>
          <w:trHeight w:val="180"/>
          <w:jc w:val="center"/>
        </w:trPr>
        <w:tc>
          <w:tcPr>
            <w:tcW w:w="257" w:type="dxa"/>
            <w:tcBorders>
              <w:top w:val="nil"/>
              <w:left w:val="nil"/>
              <w:right w:val="nil"/>
            </w:tcBorders>
            <w:shd w:val="clear" w:color="auto" w:fill="auto"/>
            <w:vAlign w:val="center"/>
          </w:tcPr>
          <w:p w14:paraId="29554826" w14:textId="77777777" w:rsidR="007A7C0E" w:rsidRPr="00161848" w:rsidRDefault="007A7C0E" w:rsidP="00575083">
            <w:pPr>
              <w:suppressAutoHyphens/>
              <w:snapToGrid w:val="0"/>
              <w:spacing w:after="0" w:line="240" w:lineRule="auto"/>
              <w:rPr>
                <w:rFonts w:ascii="Arial Narrow" w:eastAsia="Times New Roman" w:hAnsi="Arial Narrow" w:cs="Arial"/>
                <w:bCs/>
                <w:sz w:val="20"/>
                <w:szCs w:val="20"/>
                <w:lang w:eastAsia="ar-SA"/>
              </w:rPr>
            </w:pPr>
          </w:p>
        </w:tc>
        <w:tc>
          <w:tcPr>
            <w:tcW w:w="2811" w:type="dxa"/>
            <w:tcBorders>
              <w:top w:val="nil"/>
              <w:left w:val="nil"/>
              <w:right w:val="nil"/>
            </w:tcBorders>
            <w:vAlign w:val="center"/>
          </w:tcPr>
          <w:p w14:paraId="47BDB2BF" w14:textId="77777777" w:rsidR="007A7C0E" w:rsidRPr="000702DC" w:rsidRDefault="007A7C0E" w:rsidP="00570E7E">
            <w:pPr>
              <w:suppressAutoHyphens/>
              <w:snapToGrid w:val="0"/>
              <w:spacing w:after="0" w:line="240" w:lineRule="auto"/>
              <w:ind w:left="202" w:hanging="202"/>
              <w:rPr>
                <w:rFonts w:ascii="Arial Narrow" w:eastAsia="Times New Roman" w:hAnsi="Arial Narrow" w:cs="Arial"/>
                <w:bCs/>
                <w:sz w:val="18"/>
                <w:szCs w:val="18"/>
                <w:lang w:eastAsia="ar-SA"/>
              </w:rPr>
            </w:pPr>
            <w:r w:rsidRPr="000702DC">
              <w:rPr>
                <w:rFonts w:ascii="Arial Narrow" w:eastAsia="Times New Roman" w:hAnsi="Arial Narrow" w:cs="Arial"/>
                <w:bCs/>
                <w:sz w:val="18"/>
                <w:szCs w:val="18"/>
                <w:lang w:eastAsia="ar-SA"/>
              </w:rPr>
              <w:t>Others</w:t>
            </w:r>
          </w:p>
        </w:tc>
        <w:tc>
          <w:tcPr>
            <w:tcW w:w="1886" w:type="dxa"/>
            <w:tcBorders>
              <w:top w:val="nil"/>
              <w:left w:val="nil"/>
              <w:right w:val="nil"/>
            </w:tcBorders>
            <w:shd w:val="clear" w:color="auto" w:fill="auto"/>
            <w:vAlign w:val="bottom"/>
          </w:tcPr>
          <w:p w14:paraId="537F142A" w14:textId="42866D06" w:rsidR="007A7C0E" w:rsidRPr="000702DC" w:rsidRDefault="007A7C0E" w:rsidP="00575083">
            <w:pPr>
              <w:spacing w:after="0"/>
              <w:ind w:left="-110" w:right="-100"/>
              <w:jc w:val="right"/>
              <w:rPr>
                <w:rFonts w:ascii="Arial Narrow" w:hAnsi="Arial Narrow"/>
                <w:sz w:val="18"/>
                <w:szCs w:val="18"/>
              </w:rPr>
            </w:pPr>
            <w:r w:rsidRPr="000702DC">
              <w:rPr>
                <w:rFonts w:ascii="Arial Narrow" w:hAnsi="Arial Narrow"/>
                <w:sz w:val="18"/>
                <w:szCs w:val="18"/>
              </w:rPr>
              <w:t xml:space="preserve">19,759,829,000 </w:t>
            </w:r>
          </w:p>
        </w:tc>
        <w:tc>
          <w:tcPr>
            <w:tcW w:w="1886" w:type="dxa"/>
            <w:tcBorders>
              <w:top w:val="nil"/>
              <w:left w:val="nil"/>
              <w:right w:val="nil"/>
            </w:tcBorders>
            <w:shd w:val="clear" w:color="auto" w:fill="auto"/>
            <w:vAlign w:val="bottom"/>
          </w:tcPr>
          <w:p w14:paraId="4D3573BC" w14:textId="68B8C826" w:rsidR="007A7C0E" w:rsidRPr="000702DC" w:rsidRDefault="007A7C0E" w:rsidP="00575083">
            <w:pPr>
              <w:spacing w:after="0"/>
              <w:ind w:right="-100"/>
              <w:jc w:val="right"/>
              <w:rPr>
                <w:rFonts w:ascii="Arial Narrow" w:hAnsi="Arial Narrow"/>
                <w:sz w:val="18"/>
                <w:szCs w:val="18"/>
              </w:rPr>
            </w:pPr>
            <w:r w:rsidRPr="000702DC">
              <w:rPr>
                <w:rFonts w:ascii="Arial Narrow" w:hAnsi="Arial Narrow"/>
                <w:sz w:val="18"/>
                <w:szCs w:val="18"/>
              </w:rPr>
              <w:t xml:space="preserve">8,274,995,414 </w:t>
            </w:r>
          </w:p>
        </w:tc>
        <w:tc>
          <w:tcPr>
            <w:tcW w:w="1908" w:type="dxa"/>
            <w:tcBorders>
              <w:top w:val="nil"/>
              <w:left w:val="nil"/>
              <w:right w:val="nil"/>
            </w:tcBorders>
            <w:shd w:val="clear" w:color="auto" w:fill="auto"/>
            <w:vAlign w:val="bottom"/>
          </w:tcPr>
          <w:p w14:paraId="16A5E364" w14:textId="435E399A" w:rsidR="007A7C0E" w:rsidRPr="000702DC" w:rsidRDefault="007A7C0E" w:rsidP="00575083">
            <w:pPr>
              <w:spacing w:after="0"/>
              <w:ind w:right="-90"/>
              <w:jc w:val="right"/>
              <w:rPr>
                <w:rFonts w:ascii="Arial Narrow" w:hAnsi="Arial Narrow"/>
                <w:sz w:val="18"/>
                <w:szCs w:val="18"/>
              </w:rPr>
            </w:pPr>
            <w:r w:rsidRPr="000702DC">
              <w:rPr>
                <w:rFonts w:ascii="Arial Narrow" w:hAnsi="Arial Narrow"/>
                <w:sz w:val="18"/>
                <w:szCs w:val="18"/>
              </w:rPr>
              <w:t xml:space="preserve">11,484,833,586 </w:t>
            </w:r>
          </w:p>
        </w:tc>
      </w:tr>
      <w:tr w:rsidR="00161848" w:rsidRPr="00161848" w14:paraId="618B0EF2" w14:textId="77777777" w:rsidTr="00CB173B">
        <w:trPr>
          <w:trHeight w:val="162"/>
          <w:jc w:val="center"/>
        </w:trPr>
        <w:tc>
          <w:tcPr>
            <w:tcW w:w="3068" w:type="dxa"/>
            <w:gridSpan w:val="2"/>
            <w:tcBorders>
              <w:top w:val="nil"/>
              <w:left w:val="nil"/>
              <w:right w:val="nil"/>
            </w:tcBorders>
            <w:shd w:val="clear" w:color="auto" w:fill="auto"/>
            <w:vAlign w:val="center"/>
          </w:tcPr>
          <w:p w14:paraId="32434DE2" w14:textId="77777777" w:rsidR="007A7C0E" w:rsidRPr="000702DC" w:rsidRDefault="007A7C0E" w:rsidP="00575083">
            <w:pPr>
              <w:suppressAutoHyphens/>
              <w:snapToGrid w:val="0"/>
              <w:spacing w:after="0" w:line="240" w:lineRule="auto"/>
              <w:rPr>
                <w:rFonts w:ascii="Arial Narrow" w:eastAsia="Times New Roman" w:hAnsi="Arial Narrow" w:cs="Arial"/>
                <w:bCs/>
                <w:sz w:val="18"/>
                <w:szCs w:val="18"/>
                <w:lang w:eastAsia="ar-SA"/>
              </w:rPr>
            </w:pPr>
            <w:r w:rsidRPr="000702DC">
              <w:rPr>
                <w:rFonts w:ascii="Arial Narrow" w:eastAsia="Times New Roman" w:hAnsi="Arial Narrow" w:cs="Arial"/>
                <w:bCs/>
                <w:sz w:val="18"/>
                <w:szCs w:val="18"/>
                <w:lang w:eastAsia="ar-SA"/>
              </w:rPr>
              <w:t>Prize Fund</w:t>
            </w:r>
          </w:p>
        </w:tc>
        <w:tc>
          <w:tcPr>
            <w:tcW w:w="1886" w:type="dxa"/>
            <w:tcBorders>
              <w:top w:val="nil"/>
              <w:left w:val="nil"/>
              <w:right w:val="nil"/>
            </w:tcBorders>
            <w:shd w:val="clear" w:color="auto" w:fill="auto"/>
            <w:vAlign w:val="bottom"/>
          </w:tcPr>
          <w:p w14:paraId="5B0FA1A7" w14:textId="77777777" w:rsidR="007A7C0E" w:rsidRPr="000702DC" w:rsidRDefault="007A7C0E" w:rsidP="00575083">
            <w:pPr>
              <w:suppressAutoHyphens/>
              <w:snapToGrid w:val="0"/>
              <w:spacing w:after="0" w:line="240" w:lineRule="auto"/>
              <w:ind w:left="-110" w:right="-100"/>
              <w:jc w:val="right"/>
              <w:rPr>
                <w:rFonts w:ascii="Arial Narrow" w:eastAsia="Times New Roman" w:hAnsi="Arial Narrow" w:cs="Arial"/>
                <w:bCs/>
                <w:sz w:val="18"/>
                <w:szCs w:val="18"/>
                <w:lang w:eastAsia="ar-SA"/>
              </w:rPr>
            </w:pPr>
          </w:p>
        </w:tc>
        <w:tc>
          <w:tcPr>
            <w:tcW w:w="1886" w:type="dxa"/>
            <w:tcBorders>
              <w:top w:val="nil"/>
              <w:left w:val="nil"/>
              <w:right w:val="nil"/>
            </w:tcBorders>
            <w:shd w:val="clear" w:color="auto" w:fill="auto"/>
            <w:vAlign w:val="bottom"/>
          </w:tcPr>
          <w:p w14:paraId="01B9799C" w14:textId="77777777" w:rsidR="007A7C0E" w:rsidRPr="000702DC" w:rsidRDefault="007A7C0E" w:rsidP="00575083">
            <w:pPr>
              <w:suppressAutoHyphens/>
              <w:snapToGrid w:val="0"/>
              <w:spacing w:after="0" w:line="240" w:lineRule="auto"/>
              <w:ind w:right="-100"/>
              <w:jc w:val="right"/>
              <w:rPr>
                <w:rFonts w:ascii="Arial Narrow" w:eastAsia="Times New Roman" w:hAnsi="Arial Narrow" w:cs="Arial"/>
                <w:bCs/>
                <w:sz w:val="18"/>
                <w:szCs w:val="18"/>
                <w:lang w:eastAsia="ar-SA"/>
              </w:rPr>
            </w:pPr>
          </w:p>
        </w:tc>
        <w:tc>
          <w:tcPr>
            <w:tcW w:w="1908" w:type="dxa"/>
            <w:tcBorders>
              <w:top w:val="nil"/>
              <w:left w:val="nil"/>
              <w:right w:val="nil"/>
            </w:tcBorders>
            <w:shd w:val="clear" w:color="auto" w:fill="auto"/>
            <w:vAlign w:val="bottom"/>
          </w:tcPr>
          <w:p w14:paraId="437B0567" w14:textId="77777777" w:rsidR="007A7C0E" w:rsidRPr="000702DC" w:rsidRDefault="007A7C0E" w:rsidP="00575083">
            <w:pPr>
              <w:spacing w:after="0" w:line="240" w:lineRule="auto"/>
              <w:ind w:right="-90"/>
              <w:jc w:val="right"/>
              <w:rPr>
                <w:rFonts w:ascii="Arial Narrow" w:hAnsi="Arial Narrow" w:cs="Arial"/>
                <w:sz w:val="18"/>
                <w:szCs w:val="18"/>
              </w:rPr>
            </w:pPr>
          </w:p>
        </w:tc>
      </w:tr>
      <w:tr w:rsidR="00161848" w:rsidRPr="00161848" w14:paraId="2D6FFD84" w14:textId="77777777" w:rsidTr="00570E7E">
        <w:trPr>
          <w:trHeight w:val="99"/>
          <w:jc w:val="center"/>
        </w:trPr>
        <w:tc>
          <w:tcPr>
            <w:tcW w:w="257" w:type="dxa"/>
            <w:tcBorders>
              <w:top w:val="nil"/>
              <w:left w:val="nil"/>
              <w:right w:val="nil"/>
            </w:tcBorders>
            <w:shd w:val="clear" w:color="auto" w:fill="auto"/>
            <w:vAlign w:val="center"/>
          </w:tcPr>
          <w:p w14:paraId="2EC9322E" w14:textId="77777777" w:rsidR="007A7C0E" w:rsidRPr="00161848" w:rsidRDefault="007A7C0E" w:rsidP="00575083">
            <w:pPr>
              <w:suppressAutoHyphens/>
              <w:snapToGrid w:val="0"/>
              <w:spacing w:after="0" w:line="240" w:lineRule="auto"/>
              <w:rPr>
                <w:rFonts w:ascii="Arial Narrow" w:eastAsia="Times New Roman" w:hAnsi="Arial Narrow" w:cs="Arial"/>
                <w:bCs/>
                <w:sz w:val="20"/>
                <w:szCs w:val="20"/>
                <w:lang w:eastAsia="ar-SA"/>
              </w:rPr>
            </w:pPr>
          </w:p>
        </w:tc>
        <w:tc>
          <w:tcPr>
            <w:tcW w:w="2811" w:type="dxa"/>
            <w:tcBorders>
              <w:top w:val="nil"/>
              <w:left w:val="nil"/>
              <w:right w:val="nil"/>
            </w:tcBorders>
            <w:vAlign w:val="center"/>
          </w:tcPr>
          <w:p w14:paraId="7796E77F" w14:textId="77777777" w:rsidR="007A7C0E" w:rsidRPr="000702DC" w:rsidRDefault="007A7C0E" w:rsidP="00570E7E">
            <w:pPr>
              <w:suppressAutoHyphens/>
              <w:snapToGrid w:val="0"/>
              <w:spacing w:after="0" w:line="240" w:lineRule="auto"/>
              <w:ind w:left="202" w:hanging="202"/>
              <w:rPr>
                <w:rFonts w:ascii="Arial Narrow" w:eastAsia="Times New Roman" w:hAnsi="Arial Narrow" w:cs="Arial"/>
                <w:bCs/>
                <w:sz w:val="18"/>
                <w:szCs w:val="18"/>
                <w:lang w:eastAsia="ar-SA"/>
              </w:rPr>
            </w:pPr>
            <w:r w:rsidRPr="000702DC">
              <w:rPr>
                <w:rFonts w:ascii="Arial Narrow" w:eastAsia="Times New Roman" w:hAnsi="Arial Narrow" w:cs="Arial"/>
                <w:bCs/>
                <w:sz w:val="18"/>
                <w:szCs w:val="18"/>
                <w:lang w:eastAsia="ar-SA"/>
              </w:rPr>
              <w:t>Maintenance and Other Operating Expenses</w:t>
            </w:r>
          </w:p>
        </w:tc>
        <w:tc>
          <w:tcPr>
            <w:tcW w:w="1886" w:type="dxa"/>
            <w:tcBorders>
              <w:top w:val="nil"/>
              <w:left w:val="nil"/>
              <w:right w:val="nil"/>
            </w:tcBorders>
            <w:shd w:val="clear" w:color="auto" w:fill="auto"/>
            <w:vAlign w:val="bottom"/>
          </w:tcPr>
          <w:p w14:paraId="733BFCB4" w14:textId="3A114F6E" w:rsidR="007A7C0E" w:rsidRPr="000702DC" w:rsidRDefault="007A7C0E" w:rsidP="00575083">
            <w:pPr>
              <w:spacing w:after="0"/>
              <w:ind w:left="-110" w:right="-100"/>
              <w:jc w:val="right"/>
              <w:rPr>
                <w:rFonts w:ascii="Arial Narrow" w:hAnsi="Arial Narrow"/>
                <w:sz w:val="18"/>
                <w:szCs w:val="18"/>
              </w:rPr>
            </w:pPr>
            <w:r w:rsidRPr="000702DC">
              <w:rPr>
                <w:rFonts w:ascii="Arial Narrow" w:hAnsi="Arial Narrow"/>
                <w:sz w:val="18"/>
                <w:szCs w:val="18"/>
              </w:rPr>
              <w:t xml:space="preserve">34,482,159,000 </w:t>
            </w:r>
          </w:p>
        </w:tc>
        <w:tc>
          <w:tcPr>
            <w:tcW w:w="1886" w:type="dxa"/>
            <w:tcBorders>
              <w:top w:val="nil"/>
              <w:left w:val="nil"/>
              <w:right w:val="nil"/>
            </w:tcBorders>
            <w:shd w:val="clear" w:color="auto" w:fill="auto"/>
            <w:vAlign w:val="bottom"/>
          </w:tcPr>
          <w:p w14:paraId="5F5A721C" w14:textId="13E33E70" w:rsidR="007A7C0E" w:rsidRPr="000702DC" w:rsidRDefault="007A7C0E" w:rsidP="00575083">
            <w:pPr>
              <w:spacing w:after="0"/>
              <w:ind w:right="-100"/>
              <w:jc w:val="right"/>
              <w:rPr>
                <w:rFonts w:ascii="Arial Narrow" w:hAnsi="Arial Narrow"/>
                <w:sz w:val="18"/>
                <w:szCs w:val="18"/>
              </w:rPr>
            </w:pPr>
            <w:r w:rsidRPr="000702DC">
              <w:rPr>
                <w:rFonts w:ascii="Arial Narrow" w:hAnsi="Arial Narrow"/>
                <w:sz w:val="18"/>
                <w:szCs w:val="18"/>
              </w:rPr>
              <w:t xml:space="preserve">21,871,178,113 </w:t>
            </w:r>
          </w:p>
        </w:tc>
        <w:tc>
          <w:tcPr>
            <w:tcW w:w="1908" w:type="dxa"/>
            <w:tcBorders>
              <w:top w:val="nil"/>
              <w:left w:val="nil"/>
              <w:right w:val="nil"/>
            </w:tcBorders>
            <w:shd w:val="clear" w:color="auto" w:fill="auto"/>
            <w:vAlign w:val="bottom"/>
          </w:tcPr>
          <w:p w14:paraId="2BD88B98" w14:textId="10D499DF" w:rsidR="007A7C0E" w:rsidRPr="000702DC" w:rsidRDefault="007A7C0E" w:rsidP="00575083">
            <w:pPr>
              <w:spacing w:after="0"/>
              <w:ind w:right="-90"/>
              <w:jc w:val="right"/>
              <w:rPr>
                <w:rFonts w:ascii="Arial Narrow" w:hAnsi="Arial Narrow"/>
                <w:sz w:val="18"/>
                <w:szCs w:val="18"/>
              </w:rPr>
            </w:pPr>
            <w:r w:rsidRPr="000702DC">
              <w:rPr>
                <w:rFonts w:ascii="Arial Narrow" w:hAnsi="Arial Narrow"/>
                <w:sz w:val="18"/>
                <w:szCs w:val="18"/>
              </w:rPr>
              <w:t xml:space="preserve">12,610,980,887 </w:t>
            </w:r>
          </w:p>
        </w:tc>
      </w:tr>
      <w:tr w:rsidR="00161848" w:rsidRPr="00161848" w14:paraId="7EC30AE4" w14:textId="77777777" w:rsidTr="00CB173B">
        <w:trPr>
          <w:trHeight w:val="71"/>
          <w:jc w:val="center"/>
        </w:trPr>
        <w:tc>
          <w:tcPr>
            <w:tcW w:w="3068" w:type="dxa"/>
            <w:gridSpan w:val="2"/>
            <w:tcBorders>
              <w:top w:val="single" w:sz="4" w:space="0" w:color="auto"/>
              <w:left w:val="nil"/>
              <w:bottom w:val="double" w:sz="4" w:space="0" w:color="auto"/>
              <w:right w:val="nil"/>
            </w:tcBorders>
            <w:shd w:val="clear" w:color="auto" w:fill="auto"/>
            <w:vAlign w:val="center"/>
            <w:hideMark/>
          </w:tcPr>
          <w:p w14:paraId="3C5D8CBE" w14:textId="77777777" w:rsidR="007A7C0E" w:rsidRPr="000702DC" w:rsidRDefault="007A7C0E" w:rsidP="00575083">
            <w:pPr>
              <w:spacing w:after="0" w:line="240" w:lineRule="auto"/>
              <w:rPr>
                <w:rFonts w:ascii="Arial Narrow" w:eastAsia="Times New Roman" w:hAnsi="Arial Narrow" w:cs="Arial"/>
                <w:b/>
                <w:sz w:val="18"/>
                <w:szCs w:val="18"/>
                <w:lang w:val="en-US"/>
              </w:rPr>
            </w:pPr>
            <w:r w:rsidRPr="000702DC">
              <w:rPr>
                <w:rFonts w:ascii="Arial Narrow" w:eastAsia="Times New Roman" w:hAnsi="Arial Narrow" w:cs="Arial"/>
                <w:b/>
                <w:sz w:val="18"/>
                <w:szCs w:val="18"/>
                <w:lang w:val="en-US"/>
              </w:rPr>
              <w:t>TOTAL</w:t>
            </w:r>
          </w:p>
        </w:tc>
        <w:tc>
          <w:tcPr>
            <w:tcW w:w="1886" w:type="dxa"/>
            <w:tcBorders>
              <w:top w:val="single" w:sz="4" w:space="0" w:color="auto"/>
              <w:left w:val="nil"/>
              <w:bottom w:val="double" w:sz="4" w:space="0" w:color="auto"/>
              <w:right w:val="nil"/>
            </w:tcBorders>
            <w:shd w:val="clear" w:color="auto" w:fill="auto"/>
            <w:vAlign w:val="center"/>
          </w:tcPr>
          <w:p w14:paraId="6BED1C0E" w14:textId="4520F70B" w:rsidR="007A7C0E" w:rsidRPr="000702DC" w:rsidRDefault="007A7C0E" w:rsidP="00575083">
            <w:pPr>
              <w:spacing w:after="0"/>
              <w:ind w:left="-110" w:right="-100"/>
              <w:jc w:val="right"/>
              <w:rPr>
                <w:rFonts w:ascii="Arial Narrow" w:hAnsi="Arial Narrow"/>
                <w:b/>
                <w:bCs/>
                <w:sz w:val="18"/>
                <w:szCs w:val="18"/>
              </w:rPr>
            </w:pPr>
            <w:r w:rsidRPr="000702DC">
              <w:rPr>
                <w:rFonts w:ascii="Arial Narrow" w:hAnsi="Arial Narrow"/>
                <w:b/>
                <w:bCs/>
                <w:sz w:val="18"/>
                <w:szCs w:val="18"/>
              </w:rPr>
              <w:t xml:space="preserve">69,318,509,000 </w:t>
            </w:r>
          </w:p>
        </w:tc>
        <w:tc>
          <w:tcPr>
            <w:tcW w:w="1886" w:type="dxa"/>
            <w:tcBorders>
              <w:top w:val="single" w:sz="4" w:space="0" w:color="auto"/>
              <w:left w:val="nil"/>
              <w:bottom w:val="double" w:sz="4" w:space="0" w:color="auto"/>
              <w:right w:val="nil"/>
            </w:tcBorders>
            <w:shd w:val="clear" w:color="auto" w:fill="auto"/>
            <w:vAlign w:val="center"/>
          </w:tcPr>
          <w:p w14:paraId="025A266C" w14:textId="5FEE4753" w:rsidR="007A7C0E" w:rsidRPr="000702DC" w:rsidRDefault="007A7C0E" w:rsidP="00575083">
            <w:pPr>
              <w:spacing w:after="0"/>
              <w:ind w:right="-100"/>
              <w:jc w:val="right"/>
              <w:rPr>
                <w:rFonts w:ascii="Arial Narrow" w:hAnsi="Arial Narrow"/>
                <w:b/>
                <w:bCs/>
                <w:sz w:val="18"/>
                <w:szCs w:val="18"/>
              </w:rPr>
            </w:pPr>
            <w:r w:rsidRPr="000702DC">
              <w:rPr>
                <w:rFonts w:ascii="Arial Narrow" w:hAnsi="Arial Narrow"/>
                <w:b/>
                <w:bCs/>
                <w:sz w:val="18"/>
                <w:szCs w:val="18"/>
              </w:rPr>
              <w:t>39,730,022,60</w:t>
            </w:r>
            <w:r w:rsidR="006A421D" w:rsidRPr="000702DC">
              <w:rPr>
                <w:rFonts w:ascii="Arial Narrow" w:hAnsi="Arial Narrow"/>
                <w:b/>
                <w:bCs/>
                <w:sz w:val="18"/>
                <w:szCs w:val="18"/>
              </w:rPr>
              <w:t>3</w:t>
            </w:r>
          </w:p>
        </w:tc>
        <w:tc>
          <w:tcPr>
            <w:tcW w:w="1908" w:type="dxa"/>
            <w:tcBorders>
              <w:top w:val="single" w:sz="4" w:space="0" w:color="auto"/>
              <w:left w:val="nil"/>
              <w:bottom w:val="double" w:sz="4" w:space="0" w:color="auto"/>
              <w:right w:val="nil"/>
            </w:tcBorders>
            <w:shd w:val="clear" w:color="auto" w:fill="auto"/>
            <w:vAlign w:val="center"/>
          </w:tcPr>
          <w:p w14:paraId="5780AEE9" w14:textId="541E0970" w:rsidR="007A7C0E" w:rsidRPr="000702DC" w:rsidRDefault="007A7C0E" w:rsidP="00575083">
            <w:pPr>
              <w:spacing w:after="0"/>
              <w:ind w:right="-90"/>
              <w:jc w:val="right"/>
              <w:rPr>
                <w:rFonts w:ascii="Arial Narrow" w:hAnsi="Arial Narrow"/>
                <w:b/>
                <w:bCs/>
                <w:sz w:val="18"/>
                <w:szCs w:val="18"/>
              </w:rPr>
            </w:pPr>
            <w:r w:rsidRPr="000702DC">
              <w:rPr>
                <w:rFonts w:ascii="Arial Narrow" w:hAnsi="Arial Narrow"/>
                <w:b/>
                <w:bCs/>
                <w:sz w:val="18"/>
                <w:szCs w:val="18"/>
              </w:rPr>
              <w:t>29,588,486,39</w:t>
            </w:r>
            <w:r w:rsidR="006A421D" w:rsidRPr="000702DC">
              <w:rPr>
                <w:rFonts w:ascii="Arial Narrow" w:hAnsi="Arial Narrow"/>
                <w:b/>
                <w:bCs/>
                <w:sz w:val="18"/>
                <w:szCs w:val="18"/>
              </w:rPr>
              <w:t>7</w:t>
            </w:r>
          </w:p>
        </w:tc>
      </w:tr>
    </w:tbl>
    <w:p w14:paraId="595C6689" w14:textId="77777777" w:rsidR="00CB173B" w:rsidRPr="00CB173B" w:rsidRDefault="00CB173B" w:rsidP="00575083">
      <w:pPr>
        <w:spacing w:after="0" w:line="240" w:lineRule="auto"/>
        <w:jc w:val="both"/>
        <w:rPr>
          <w:rFonts w:ascii="Arial" w:hAnsi="Arial" w:cs="Arial"/>
          <w:b/>
          <w:sz w:val="19"/>
          <w:szCs w:val="19"/>
        </w:rPr>
      </w:pPr>
    </w:p>
    <w:p w14:paraId="65454830" w14:textId="77777777" w:rsidR="00CB173B" w:rsidRPr="00CB173B" w:rsidRDefault="00CB173B" w:rsidP="00575083">
      <w:pPr>
        <w:spacing w:after="0" w:line="240" w:lineRule="auto"/>
        <w:jc w:val="both"/>
        <w:rPr>
          <w:rFonts w:ascii="Arial" w:hAnsi="Arial" w:cs="Arial"/>
          <w:b/>
          <w:sz w:val="19"/>
          <w:szCs w:val="19"/>
        </w:rPr>
      </w:pPr>
    </w:p>
    <w:p w14:paraId="4BCE500B" w14:textId="48D66DF6" w:rsidR="00E2721B" w:rsidRPr="00161848" w:rsidRDefault="009F5D8E" w:rsidP="00575083">
      <w:pPr>
        <w:spacing w:after="0" w:line="240" w:lineRule="auto"/>
        <w:jc w:val="both"/>
        <w:rPr>
          <w:rFonts w:ascii="Arial" w:hAnsi="Arial" w:cs="Arial"/>
          <w:b/>
        </w:rPr>
      </w:pPr>
      <w:r w:rsidRPr="00161848">
        <w:rPr>
          <w:rFonts w:ascii="Arial" w:hAnsi="Arial" w:cs="Arial"/>
          <w:b/>
        </w:rPr>
        <w:t>SCOPE OF AUDIT</w:t>
      </w:r>
    </w:p>
    <w:p w14:paraId="44E18592" w14:textId="77777777" w:rsidR="00E2721B" w:rsidRPr="00CB173B" w:rsidRDefault="00E2721B" w:rsidP="00575083">
      <w:pPr>
        <w:spacing w:after="0" w:line="240" w:lineRule="auto"/>
        <w:ind w:left="360"/>
        <w:jc w:val="both"/>
        <w:rPr>
          <w:rFonts w:ascii="Arial" w:hAnsi="Arial" w:cs="Arial"/>
          <w:sz w:val="20"/>
          <w:szCs w:val="20"/>
        </w:rPr>
      </w:pPr>
    </w:p>
    <w:p w14:paraId="1ACE0822" w14:textId="77777777" w:rsidR="00E2721B" w:rsidRPr="00161848" w:rsidRDefault="00E2721B" w:rsidP="00575083">
      <w:pPr>
        <w:spacing w:after="0" w:line="240" w:lineRule="auto"/>
        <w:jc w:val="both"/>
        <w:rPr>
          <w:rFonts w:ascii="Arial" w:eastAsia="Times New Roman" w:hAnsi="Arial" w:cs="Arial"/>
          <w:lang w:val="en-US"/>
        </w:rPr>
      </w:pPr>
      <w:r w:rsidRPr="00161848">
        <w:rPr>
          <w:rFonts w:ascii="Arial" w:eastAsia="Times New Roman" w:hAnsi="Arial" w:cs="Arial"/>
          <w:lang w:val="en-US"/>
        </w:rPr>
        <w:t xml:space="preserve">The audit covered the examination, on a test basis, of the accounts, transactions and operations of </w:t>
      </w:r>
      <w:r w:rsidR="000371BA" w:rsidRPr="00161848">
        <w:rPr>
          <w:rFonts w:ascii="Arial" w:eastAsia="Times New Roman" w:hAnsi="Arial" w:cs="Arial"/>
          <w:lang w:val="en-US"/>
        </w:rPr>
        <w:t xml:space="preserve">the </w:t>
      </w:r>
      <w:r w:rsidRPr="00161848">
        <w:rPr>
          <w:rFonts w:ascii="Arial" w:eastAsia="Times New Roman" w:hAnsi="Arial" w:cs="Arial"/>
          <w:lang w:val="en-US"/>
        </w:rPr>
        <w:t>P</w:t>
      </w:r>
      <w:r w:rsidR="00931C6F" w:rsidRPr="00161848">
        <w:rPr>
          <w:rFonts w:ascii="Arial" w:eastAsia="Times New Roman" w:hAnsi="Arial" w:cs="Arial"/>
          <w:lang w:val="en-US"/>
        </w:rPr>
        <w:t>CSO</w:t>
      </w:r>
      <w:r w:rsidRPr="00161848">
        <w:rPr>
          <w:rFonts w:ascii="Arial" w:eastAsia="Times New Roman" w:hAnsi="Arial" w:cs="Arial"/>
          <w:lang w:val="en-US"/>
        </w:rPr>
        <w:t xml:space="preserve"> </w:t>
      </w:r>
      <w:r w:rsidR="000371BA" w:rsidRPr="00161848">
        <w:rPr>
          <w:rFonts w:ascii="Arial" w:eastAsia="Times New Roman" w:hAnsi="Arial" w:cs="Arial"/>
          <w:lang w:val="en-US"/>
        </w:rPr>
        <w:t>to enable us to express an opinion on the financial statements for the years ended December 31,</w:t>
      </w:r>
      <w:r w:rsidR="004E5226" w:rsidRPr="00161848">
        <w:rPr>
          <w:rFonts w:ascii="Arial" w:eastAsia="Times New Roman" w:hAnsi="Arial" w:cs="Arial"/>
          <w:lang w:val="en-US"/>
        </w:rPr>
        <w:t xml:space="preserve"> </w:t>
      </w:r>
      <w:r w:rsidRPr="00161848">
        <w:rPr>
          <w:rFonts w:ascii="Arial" w:eastAsia="Times New Roman" w:hAnsi="Arial" w:cs="Arial"/>
          <w:lang w:val="en-US"/>
        </w:rPr>
        <w:t>201</w:t>
      </w:r>
      <w:r w:rsidR="00C257E1" w:rsidRPr="00161848">
        <w:rPr>
          <w:rFonts w:ascii="Arial" w:eastAsia="Times New Roman" w:hAnsi="Arial" w:cs="Arial"/>
          <w:lang w:val="en-US"/>
        </w:rPr>
        <w:t>9</w:t>
      </w:r>
      <w:r w:rsidR="000371BA" w:rsidRPr="00161848">
        <w:rPr>
          <w:rFonts w:ascii="Arial" w:eastAsia="Times New Roman" w:hAnsi="Arial" w:cs="Arial"/>
          <w:lang w:val="en-US"/>
        </w:rPr>
        <w:t xml:space="preserve"> and 201</w:t>
      </w:r>
      <w:r w:rsidR="00C257E1" w:rsidRPr="00161848">
        <w:rPr>
          <w:rFonts w:ascii="Arial" w:eastAsia="Times New Roman" w:hAnsi="Arial" w:cs="Arial"/>
          <w:lang w:val="en-US"/>
        </w:rPr>
        <w:t>8</w:t>
      </w:r>
      <w:r w:rsidRPr="00161848">
        <w:rPr>
          <w:rFonts w:ascii="Arial" w:eastAsia="Times New Roman" w:hAnsi="Arial" w:cs="Arial"/>
          <w:lang w:val="en-US"/>
        </w:rPr>
        <w:t xml:space="preserve"> in accordance with </w:t>
      </w:r>
      <w:r w:rsidR="000371BA" w:rsidRPr="00161848">
        <w:rPr>
          <w:rFonts w:ascii="Arial" w:eastAsia="Times New Roman" w:hAnsi="Arial" w:cs="Arial"/>
          <w:lang w:val="en-US"/>
        </w:rPr>
        <w:t>International</w:t>
      </w:r>
      <w:r w:rsidR="00696694" w:rsidRPr="00161848">
        <w:rPr>
          <w:rFonts w:ascii="Arial" w:eastAsia="Times New Roman" w:hAnsi="Arial" w:cs="Arial"/>
          <w:lang w:val="en-US"/>
        </w:rPr>
        <w:t xml:space="preserve"> </w:t>
      </w:r>
      <w:r w:rsidR="000371BA" w:rsidRPr="00161848">
        <w:rPr>
          <w:rFonts w:ascii="Arial" w:eastAsia="Times New Roman" w:hAnsi="Arial" w:cs="Arial"/>
          <w:lang w:val="en-US"/>
        </w:rPr>
        <w:t>Standards of Supreme Audit Institutions (ISSAIs)</w:t>
      </w:r>
      <w:r w:rsidRPr="00161848">
        <w:rPr>
          <w:rFonts w:ascii="Arial" w:eastAsia="Times New Roman" w:hAnsi="Arial" w:cs="Arial"/>
          <w:lang w:val="en-US"/>
        </w:rPr>
        <w:t xml:space="preserve">.  It was </w:t>
      </w:r>
      <w:r w:rsidR="000371BA" w:rsidRPr="00161848">
        <w:rPr>
          <w:rFonts w:ascii="Arial" w:eastAsia="Times New Roman" w:hAnsi="Arial" w:cs="Arial"/>
          <w:lang w:val="en-US"/>
        </w:rPr>
        <w:t xml:space="preserve">also conducted at </w:t>
      </w:r>
      <w:r w:rsidRPr="00161848">
        <w:rPr>
          <w:rFonts w:ascii="Arial" w:eastAsia="Times New Roman" w:hAnsi="Arial" w:cs="Arial"/>
          <w:lang w:val="en-US"/>
        </w:rPr>
        <w:t xml:space="preserve">determining </w:t>
      </w:r>
      <w:r w:rsidR="000371BA" w:rsidRPr="00161848">
        <w:rPr>
          <w:rFonts w:ascii="Arial" w:eastAsia="Times New Roman" w:hAnsi="Arial" w:cs="Arial"/>
          <w:lang w:val="en-US"/>
        </w:rPr>
        <w:t xml:space="preserve">the </w:t>
      </w:r>
      <w:r w:rsidR="00F81595" w:rsidRPr="00161848">
        <w:rPr>
          <w:rFonts w:ascii="Arial" w:eastAsia="Times New Roman" w:hAnsi="Arial" w:cs="Arial"/>
          <w:lang w:val="en-US"/>
        </w:rPr>
        <w:t>P</w:t>
      </w:r>
      <w:r w:rsidR="00931C6F" w:rsidRPr="00161848">
        <w:rPr>
          <w:rFonts w:ascii="Arial" w:eastAsia="Times New Roman" w:hAnsi="Arial" w:cs="Arial"/>
          <w:lang w:val="en-US"/>
        </w:rPr>
        <w:t>CSO</w:t>
      </w:r>
      <w:r w:rsidR="000371BA" w:rsidRPr="00161848">
        <w:rPr>
          <w:rFonts w:ascii="Arial" w:eastAsia="Times New Roman" w:hAnsi="Arial" w:cs="Arial"/>
          <w:lang w:val="en-US"/>
        </w:rPr>
        <w:t xml:space="preserve">’s </w:t>
      </w:r>
      <w:r w:rsidRPr="00161848">
        <w:rPr>
          <w:rFonts w:ascii="Arial" w:eastAsia="Times New Roman" w:hAnsi="Arial" w:cs="Arial"/>
          <w:lang w:val="en-US"/>
        </w:rPr>
        <w:t>compliance with</w:t>
      </w:r>
      <w:r w:rsidR="000371BA" w:rsidRPr="00161848">
        <w:rPr>
          <w:rFonts w:ascii="Arial" w:eastAsia="Times New Roman" w:hAnsi="Arial" w:cs="Arial"/>
          <w:lang w:val="en-US"/>
        </w:rPr>
        <w:t xml:space="preserve"> pertinent</w:t>
      </w:r>
      <w:r w:rsidRPr="00161848">
        <w:rPr>
          <w:rFonts w:ascii="Arial" w:eastAsia="Times New Roman" w:hAnsi="Arial" w:cs="Arial"/>
          <w:lang w:val="en-US"/>
        </w:rPr>
        <w:t xml:space="preserve"> laws, rules and regulations</w:t>
      </w:r>
      <w:r w:rsidR="000371BA" w:rsidRPr="00161848">
        <w:rPr>
          <w:rFonts w:ascii="Arial" w:eastAsia="Times New Roman" w:hAnsi="Arial" w:cs="Arial"/>
          <w:lang w:val="en-US"/>
        </w:rPr>
        <w:t xml:space="preserve"> and adherence to prescribed policies and procedures</w:t>
      </w:r>
      <w:r w:rsidR="00F7441E" w:rsidRPr="00161848">
        <w:rPr>
          <w:rFonts w:ascii="Arial" w:eastAsia="Times New Roman" w:hAnsi="Arial" w:cs="Arial"/>
          <w:lang w:val="en-US"/>
        </w:rPr>
        <w:t xml:space="preserve">. </w:t>
      </w:r>
    </w:p>
    <w:p w14:paraId="6D1ACEE0" w14:textId="77777777" w:rsidR="00E2721B" w:rsidRPr="00CB0533" w:rsidRDefault="00E2721B" w:rsidP="00575083">
      <w:pPr>
        <w:spacing w:after="0" w:line="240" w:lineRule="auto"/>
        <w:ind w:left="360"/>
        <w:jc w:val="both"/>
        <w:rPr>
          <w:rFonts w:ascii="Arial" w:hAnsi="Arial" w:cs="Arial"/>
          <w:sz w:val="18"/>
          <w:szCs w:val="18"/>
        </w:rPr>
      </w:pPr>
    </w:p>
    <w:p w14:paraId="387F4F00" w14:textId="77777777" w:rsidR="004E5226" w:rsidRPr="00CB0533" w:rsidRDefault="004E5226" w:rsidP="00575083">
      <w:pPr>
        <w:spacing w:after="0" w:line="240" w:lineRule="auto"/>
        <w:ind w:left="360"/>
        <w:jc w:val="both"/>
        <w:rPr>
          <w:rFonts w:ascii="Arial" w:hAnsi="Arial" w:cs="Arial"/>
          <w:sz w:val="18"/>
          <w:szCs w:val="18"/>
        </w:rPr>
      </w:pPr>
    </w:p>
    <w:p w14:paraId="070694EF" w14:textId="77777777" w:rsidR="00071571" w:rsidRPr="00161848" w:rsidRDefault="000371BA" w:rsidP="00575083">
      <w:pPr>
        <w:spacing w:after="0" w:line="240" w:lineRule="auto"/>
        <w:jc w:val="both"/>
        <w:rPr>
          <w:rFonts w:ascii="Arial" w:hAnsi="Arial" w:cs="Arial"/>
          <w:b/>
        </w:rPr>
      </w:pPr>
      <w:r w:rsidRPr="00161848">
        <w:rPr>
          <w:rFonts w:ascii="Arial" w:hAnsi="Arial" w:cs="Arial"/>
          <w:b/>
        </w:rPr>
        <w:t>INDEPENDENT AUDITOR’S REPORT ON THE FINANCIAL STATEMENTS</w:t>
      </w:r>
    </w:p>
    <w:p w14:paraId="228C57D0" w14:textId="77777777" w:rsidR="00E2721B" w:rsidRPr="00CB0533" w:rsidRDefault="00E2721B" w:rsidP="00575083">
      <w:pPr>
        <w:spacing w:after="0" w:line="240" w:lineRule="auto"/>
        <w:jc w:val="both"/>
        <w:rPr>
          <w:rFonts w:ascii="Arial" w:hAnsi="Arial" w:cs="Arial"/>
          <w:sz w:val="18"/>
          <w:szCs w:val="18"/>
        </w:rPr>
      </w:pPr>
    </w:p>
    <w:p w14:paraId="7D1188DF" w14:textId="77777777" w:rsidR="002F26E0" w:rsidRPr="00161848" w:rsidRDefault="002F26E0" w:rsidP="00575083">
      <w:pPr>
        <w:spacing w:after="0" w:line="240" w:lineRule="auto"/>
        <w:jc w:val="both"/>
        <w:rPr>
          <w:rFonts w:ascii="Arial" w:eastAsia="Arial" w:hAnsi="Arial" w:cs="Arial"/>
        </w:rPr>
      </w:pPr>
      <w:r w:rsidRPr="00161848">
        <w:rPr>
          <w:rFonts w:ascii="Arial" w:eastAsia="Arial" w:hAnsi="Arial" w:cs="Arial"/>
        </w:rPr>
        <w:t>We rendered a</w:t>
      </w:r>
      <w:r w:rsidR="004D0C94" w:rsidRPr="00161848">
        <w:rPr>
          <w:rFonts w:ascii="Arial" w:eastAsia="Arial" w:hAnsi="Arial" w:cs="Arial"/>
        </w:rPr>
        <w:t>n</w:t>
      </w:r>
      <w:r w:rsidRPr="00161848">
        <w:rPr>
          <w:rFonts w:ascii="Arial" w:eastAsia="Arial" w:hAnsi="Arial" w:cs="Arial"/>
        </w:rPr>
        <w:t xml:space="preserve"> adverse opinion on the fairness of presentation of the financial statements of the PCSO in view of the following:</w:t>
      </w:r>
    </w:p>
    <w:p w14:paraId="24BCC9B3" w14:textId="77777777" w:rsidR="002F26E0" w:rsidRPr="00CB0533" w:rsidRDefault="002F26E0" w:rsidP="00575083">
      <w:pPr>
        <w:spacing w:after="0" w:line="240" w:lineRule="auto"/>
        <w:ind w:right="-288"/>
        <w:jc w:val="both"/>
        <w:rPr>
          <w:rFonts w:ascii="Arial" w:eastAsia="Arial" w:hAnsi="Arial" w:cs="Arial"/>
          <w:sz w:val="18"/>
          <w:szCs w:val="18"/>
        </w:rPr>
      </w:pPr>
    </w:p>
    <w:p w14:paraId="7992A713" w14:textId="0D535A37" w:rsidR="0031565A" w:rsidRPr="00161848" w:rsidRDefault="00FF50A1" w:rsidP="00C257B7">
      <w:pPr>
        <w:pStyle w:val="ListParagraph"/>
        <w:numPr>
          <w:ilvl w:val="0"/>
          <w:numId w:val="2"/>
        </w:numPr>
        <w:ind w:left="720" w:hanging="720"/>
        <w:jc w:val="both"/>
        <w:rPr>
          <w:rFonts w:ascii="Arial" w:hAnsi="Arial" w:cs="Arial"/>
          <w:bCs/>
          <w:sz w:val="22"/>
          <w:szCs w:val="22"/>
        </w:rPr>
      </w:pPr>
      <w:r w:rsidRPr="00161848">
        <w:rPr>
          <w:rFonts w:ascii="Arial" w:hAnsi="Arial" w:cs="Arial"/>
          <w:bCs/>
          <w:sz w:val="22"/>
          <w:szCs w:val="22"/>
        </w:rPr>
        <w:t xml:space="preserve">The </w:t>
      </w:r>
      <w:r w:rsidRPr="00161848">
        <w:rPr>
          <w:rFonts w:ascii="Arial" w:hAnsi="Arial" w:cs="Arial"/>
          <w:bCs/>
          <w:sz w:val="22"/>
          <w:szCs w:val="22"/>
          <w:shd w:val="clear" w:color="auto" w:fill="FFFFFF"/>
        </w:rPr>
        <w:t>Guaranteed Minimum Monthly Retail Receipts (GMMRR) Shortfalls for calendar years (CYs) 2017-2018 and 2019 in the total amounts  of P13.905 billion and P6.305 billion and the corresponding amounts of Shortfalls due to PCSO (receivables) totaling P5.617 billion and P3.081 billion, respectively, were not recognized in the books of PCSO despite being valid revenues and receivables from the Authorized Agent Corporations (AACs), as defined under the Philippine Accounting Standard (PAS) 1 and the Conceptual Framework for Financial Reporting (CFFR), resulting in the understatement of Income from Gaming Operations-Small Town Lottery (STL), Receivables – STL, Retained Earnings, Expenses and Payables accounts by P6.305 billion, P6.980 billion, P2.331 billion, P4.696 billion and P4.757 billion, respectively, and overstatement of Other Business Income and Miscellaneous Income accounts in the amounts of P1.055 billion and P663.001 million, respectively</w:t>
      </w:r>
      <w:r w:rsidR="00575083" w:rsidRPr="00161848">
        <w:rPr>
          <w:rFonts w:ascii="Arial" w:eastAsia="Calibri" w:hAnsi="Arial" w:cs="Arial"/>
          <w:bCs/>
          <w:sz w:val="22"/>
          <w:szCs w:val="22"/>
          <w:lang w:val="en-PH"/>
        </w:rPr>
        <w:t>.</w:t>
      </w:r>
    </w:p>
    <w:p w14:paraId="0A2075F2" w14:textId="77777777" w:rsidR="004D0C94" w:rsidRPr="00CB0533" w:rsidRDefault="004D0C94" w:rsidP="00575083">
      <w:pPr>
        <w:spacing w:after="0" w:line="240" w:lineRule="auto"/>
        <w:ind w:right="-288"/>
        <w:jc w:val="both"/>
        <w:rPr>
          <w:rFonts w:ascii="Arial" w:eastAsia="Arial" w:hAnsi="Arial" w:cs="Arial"/>
          <w:sz w:val="18"/>
          <w:szCs w:val="18"/>
        </w:rPr>
      </w:pPr>
    </w:p>
    <w:p w14:paraId="1A598A13" w14:textId="77777777" w:rsidR="0031565A" w:rsidRPr="00161848" w:rsidRDefault="0031565A" w:rsidP="00C257B7">
      <w:pPr>
        <w:pStyle w:val="ListParagraph"/>
        <w:numPr>
          <w:ilvl w:val="0"/>
          <w:numId w:val="3"/>
        </w:numPr>
        <w:ind w:hanging="720"/>
        <w:jc w:val="both"/>
        <w:rPr>
          <w:rFonts w:ascii="Arial" w:hAnsi="Arial" w:cs="Arial"/>
          <w:vanish/>
          <w:sz w:val="22"/>
          <w:szCs w:val="22"/>
        </w:rPr>
      </w:pPr>
    </w:p>
    <w:p w14:paraId="7812C77A" w14:textId="455BEB7C" w:rsidR="0031565A" w:rsidRPr="00161848" w:rsidRDefault="0080332D" w:rsidP="00C257B7">
      <w:pPr>
        <w:pStyle w:val="ListParagraph"/>
        <w:numPr>
          <w:ilvl w:val="0"/>
          <w:numId w:val="2"/>
        </w:numPr>
        <w:ind w:left="720" w:hanging="720"/>
        <w:contextualSpacing/>
        <w:jc w:val="both"/>
        <w:rPr>
          <w:rFonts w:ascii="Arial" w:hAnsi="Arial" w:cs="Arial"/>
          <w:sz w:val="22"/>
          <w:szCs w:val="22"/>
          <w:lang w:val="en-PH"/>
        </w:rPr>
      </w:pPr>
      <w:r w:rsidRPr="0080332D">
        <w:rPr>
          <w:rFonts w:ascii="Arial" w:hAnsi="Arial" w:cs="Arial"/>
          <w:bCs/>
          <w:iCs/>
          <w:sz w:val="22"/>
          <w:szCs w:val="22"/>
        </w:rPr>
        <w:t xml:space="preserve">The full amount of P961.013 million retail receipts generated from the Instant Sweepstakes Program (ISP), representing </w:t>
      </w:r>
      <w:r w:rsidRPr="0080332D">
        <w:rPr>
          <w:rFonts w:ascii="Arial" w:hAnsi="Arial" w:cs="Arial"/>
          <w:sz w:val="22"/>
          <w:szCs w:val="22"/>
        </w:rPr>
        <w:t>the CY 2019 guaranteed sales of P833.333 million plus the P127.680 million from the CY 2018 sales</w:t>
      </w:r>
      <w:r w:rsidRPr="0080332D">
        <w:rPr>
          <w:rFonts w:ascii="Arial" w:hAnsi="Arial" w:cs="Arial"/>
          <w:bCs/>
          <w:iCs/>
          <w:sz w:val="22"/>
          <w:szCs w:val="22"/>
        </w:rPr>
        <w:t xml:space="preserve">, were  recognized in the books despite that only thirteen (13) per cent thereof, or P124.932 million accrue to the PCSO as its guaranteed share, which  was tantamount to misrepresentation of the actual revenues derived from the ISP, contrary to </w:t>
      </w:r>
      <w:r w:rsidRPr="0080332D">
        <w:rPr>
          <w:rFonts w:ascii="Arial" w:hAnsi="Arial" w:cs="Arial"/>
          <w:sz w:val="22"/>
          <w:szCs w:val="22"/>
        </w:rPr>
        <w:t>Section 4 (i) of the RIRR for the ISP</w:t>
      </w:r>
      <w:r w:rsidRPr="0080332D">
        <w:rPr>
          <w:rFonts w:ascii="Arial" w:hAnsi="Arial" w:cs="Arial"/>
          <w:bCs/>
          <w:iCs/>
          <w:sz w:val="22"/>
          <w:szCs w:val="22"/>
        </w:rPr>
        <w:t>, Paragraph 15 of PAS 1 and Paragraph 4.47 of the Conceptual Framework for Financial Reporting (CFFR)</w:t>
      </w:r>
      <w:r w:rsidR="00575083" w:rsidRPr="0080332D">
        <w:rPr>
          <w:rFonts w:ascii="Arial" w:eastAsia="Calibri" w:hAnsi="Arial" w:cs="Arial"/>
          <w:iCs/>
          <w:sz w:val="22"/>
          <w:szCs w:val="22"/>
          <w:lang w:val="en-PH"/>
        </w:rPr>
        <w:t>.</w:t>
      </w:r>
    </w:p>
    <w:p w14:paraId="037B8597" w14:textId="77777777" w:rsidR="00FE1746" w:rsidRPr="00CB0533" w:rsidRDefault="00FE1746" w:rsidP="00575083">
      <w:pPr>
        <w:spacing w:after="0" w:line="240" w:lineRule="auto"/>
        <w:ind w:left="720"/>
        <w:jc w:val="both"/>
        <w:rPr>
          <w:rFonts w:ascii="Arial" w:hAnsi="Arial" w:cs="Arial"/>
          <w:bCs/>
          <w:sz w:val="18"/>
          <w:szCs w:val="18"/>
        </w:rPr>
      </w:pPr>
    </w:p>
    <w:p w14:paraId="34C0A57B" w14:textId="2D8C9996" w:rsidR="006B6806" w:rsidRPr="00161848" w:rsidRDefault="008D3FA7" w:rsidP="00C257B7">
      <w:pPr>
        <w:pStyle w:val="ListParagraph"/>
        <w:numPr>
          <w:ilvl w:val="0"/>
          <w:numId w:val="2"/>
        </w:numPr>
        <w:ind w:left="720" w:hanging="720"/>
        <w:jc w:val="both"/>
        <w:rPr>
          <w:rFonts w:ascii="Arial" w:hAnsi="Arial" w:cs="Arial"/>
          <w:bCs/>
          <w:sz w:val="22"/>
          <w:szCs w:val="22"/>
        </w:rPr>
      </w:pPr>
      <w:r w:rsidRPr="00161848">
        <w:rPr>
          <w:rFonts w:ascii="Arial" w:hAnsi="Arial" w:cs="Arial"/>
          <w:bCs/>
          <w:sz w:val="22"/>
          <w:szCs w:val="22"/>
        </w:rPr>
        <w:t>The faithful representation in the financial statements of the balance of the Cash and Cash Equivalents account of P14.840 billion as of December 31, 2019 was not established due to various deficiencies enumerated below, contrary to Paragraph 15 of PAS 1 and QC12 of the CFFR</w:t>
      </w:r>
      <w:r w:rsidR="006E1C1C" w:rsidRPr="00161848">
        <w:rPr>
          <w:rFonts w:ascii="Arial" w:hAnsi="Arial" w:cs="Arial"/>
          <w:bCs/>
          <w:sz w:val="22"/>
          <w:szCs w:val="22"/>
        </w:rPr>
        <w:t>:</w:t>
      </w:r>
    </w:p>
    <w:p w14:paraId="65D5E9C4" w14:textId="77777777" w:rsidR="006E1C1C" w:rsidRPr="00CB0533" w:rsidRDefault="006E1C1C" w:rsidP="006E1C1C">
      <w:pPr>
        <w:pStyle w:val="ListParagraph"/>
        <w:rPr>
          <w:rFonts w:ascii="Arial" w:hAnsi="Arial" w:cs="Arial"/>
          <w:bCs/>
          <w:sz w:val="18"/>
          <w:szCs w:val="18"/>
        </w:rPr>
      </w:pPr>
    </w:p>
    <w:p w14:paraId="4F5AB4C6" w14:textId="223D84F2" w:rsidR="006E1C1C" w:rsidRPr="00CB0533" w:rsidRDefault="008D3FA7" w:rsidP="00C257B7">
      <w:pPr>
        <w:pStyle w:val="ListParagraph"/>
        <w:numPr>
          <w:ilvl w:val="0"/>
          <w:numId w:val="6"/>
        </w:numPr>
        <w:ind w:hanging="720"/>
        <w:jc w:val="both"/>
        <w:rPr>
          <w:rFonts w:ascii="Arial" w:hAnsi="Arial" w:cs="Arial"/>
          <w:bCs/>
          <w:sz w:val="21"/>
          <w:szCs w:val="21"/>
        </w:rPr>
      </w:pPr>
      <w:r w:rsidRPr="00CB0533">
        <w:rPr>
          <w:rFonts w:ascii="Arial" w:hAnsi="Arial" w:cs="Arial"/>
          <w:bCs/>
          <w:sz w:val="22"/>
          <w:szCs w:val="22"/>
        </w:rPr>
        <w:t>Variance between the balances per books and the confirmed bank balances of the Operating Fund (OF) accounts and Main account in the total amount of P46.138 million</w:t>
      </w:r>
      <w:r w:rsidR="006E1C1C" w:rsidRPr="00CB0533">
        <w:rPr>
          <w:rFonts w:ascii="Arial" w:hAnsi="Arial" w:cs="Arial"/>
          <w:bCs/>
          <w:sz w:val="21"/>
          <w:szCs w:val="21"/>
        </w:rPr>
        <w:t>;</w:t>
      </w:r>
    </w:p>
    <w:p w14:paraId="68F6C912" w14:textId="77777777" w:rsidR="006E1C1C" w:rsidRPr="00CB0533" w:rsidRDefault="006E1C1C" w:rsidP="006E1C1C">
      <w:pPr>
        <w:pStyle w:val="ListParagraph"/>
        <w:ind w:left="1440"/>
        <w:jc w:val="both"/>
        <w:rPr>
          <w:rFonts w:ascii="Arial" w:hAnsi="Arial" w:cs="Arial"/>
          <w:bCs/>
          <w:sz w:val="18"/>
          <w:szCs w:val="18"/>
        </w:rPr>
      </w:pPr>
    </w:p>
    <w:p w14:paraId="42CDDFA7" w14:textId="23B9C49C" w:rsidR="006E1C1C" w:rsidRPr="00CB0533" w:rsidRDefault="008D3FA7" w:rsidP="00C257B7">
      <w:pPr>
        <w:pStyle w:val="ListParagraph"/>
        <w:numPr>
          <w:ilvl w:val="0"/>
          <w:numId w:val="6"/>
        </w:numPr>
        <w:ind w:hanging="720"/>
        <w:jc w:val="both"/>
        <w:rPr>
          <w:rFonts w:ascii="Arial" w:hAnsi="Arial" w:cs="Arial"/>
          <w:bCs/>
          <w:sz w:val="21"/>
          <w:szCs w:val="21"/>
        </w:rPr>
      </w:pPr>
      <w:r w:rsidRPr="00CB0533">
        <w:rPr>
          <w:rFonts w:ascii="Arial" w:hAnsi="Arial" w:cs="Arial"/>
          <w:bCs/>
          <w:sz w:val="22"/>
          <w:szCs w:val="22"/>
        </w:rPr>
        <w:t>Variance of P61.861 million between the balances per books and the confirmed bank balances of the Charity Fund (CF), Prize Fund (PF) and Small Town Lottery (STL) remittances accounts</w:t>
      </w:r>
      <w:r w:rsidR="006E1C1C" w:rsidRPr="00CB0533">
        <w:rPr>
          <w:rFonts w:ascii="Arial" w:hAnsi="Arial" w:cs="Arial"/>
          <w:bCs/>
          <w:sz w:val="21"/>
          <w:szCs w:val="21"/>
        </w:rPr>
        <w:t>;</w:t>
      </w:r>
    </w:p>
    <w:p w14:paraId="5E8CC460" w14:textId="77777777" w:rsidR="006E1C1C" w:rsidRPr="00CB0533" w:rsidRDefault="006E1C1C" w:rsidP="006E1C1C">
      <w:pPr>
        <w:pStyle w:val="ListParagraph"/>
        <w:rPr>
          <w:rFonts w:ascii="Arial" w:hAnsi="Arial" w:cs="Arial"/>
          <w:bCs/>
          <w:sz w:val="18"/>
          <w:szCs w:val="18"/>
        </w:rPr>
      </w:pPr>
    </w:p>
    <w:p w14:paraId="1AE5020F" w14:textId="6E413339" w:rsidR="006E1C1C" w:rsidRPr="00CB0533" w:rsidRDefault="008D3FA7" w:rsidP="00C257B7">
      <w:pPr>
        <w:pStyle w:val="ListParagraph"/>
        <w:numPr>
          <w:ilvl w:val="0"/>
          <w:numId w:val="6"/>
        </w:numPr>
        <w:ind w:hanging="720"/>
        <w:jc w:val="both"/>
        <w:rPr>
          <w:rFonts w:ascii="Arial" w:hAnsi="Arial" w:cs="Arial"/>
          <w:bCs/>
          <w:sz w:val="21"/>
          <w:szCs w:val="21"/>
        </w:rPr>
      </w:pPr>
      <w:r w:rsidRPr="00CB0533">
        <w:rPr>
          <w:rFonts w:ascii="Arial" w:hAnsi="Arial" w:cs="Arial"/>
          <w:bCs/>
          <w:sz w:val="22"/>
          <w:szCs w:val="22"/>
        </w:rPr>
        <w:t>Closed accounts still having outstanding balances in the books amounting to P12.020 million and P39.280 million (negative)</w:t>
      </w:r>
      <w:r w:rsidR="006E1C1C" w:rsidRPr="00CB0533">
        <w:rPr>
          <w:rFonts w:ascii="Arial" w:hAnsi="Arial" w:cs="Arial"/>
          <w:bCs/>
          <w:sz w:val="21"/>
          <w:szCs w:val="21"/>
        </w:rPr>
        <w:t>;</w:t>
      </w:r>
    </w:p>
    <w:p w14:paraId="6449637A" w14:textId="77777777" w:rsidR="006E1C1C" w:rsidRPr="00CB0533" w:rsidRDefault="006E1C1C" w:rsidP="006E1C1C">
      <w:pPr>
        <w:pStyle w:val="ListParagraph"/>
        <w:rPr>
          <w:rFonts w:ascii="Arial" w:hAnsi="Arial" w:cs="Arial"/>
          <w:bCs/>
          <w:sz w:val="18"/>
          <w:szCs w:val="18"/>
        </w:rPr>
      </w:pPr>
    </w:p>
    <w:p w14:paraId="030EA7D6" w14:textId="15F7055C" w:rsidR="006E1C1C" w:rsidRPr="00CB0533" w:rsidRDefault="008D3FA7" w:rsidP="00C257B7">
      <w:pPr>
        <w:pStyle w:val="ListParagraph"/>
        <w:numPr>
          <w:ilvl w:val="0"/>
          <w:numId w:val="6"/>
        </w:numPr>
        <w:ind w:hanging="720"/>
        <w:jc w:val="both"/>
        <w:rPr>
          <w:rFonts w:ascii="Arial" w:hAnsi="Arial" w:cs="Arial"/>
          <w:bCs/>
          <w:sz w:val="22"/>
          <w:szCs w:val="22"/>
        </w:rPr>
      </w:pPr>
      <w:r w:rsidRPr="00CB0533">
        <w:rPr>
          <w:rFonts w:ascii="Arial" w:hAnsi="Arial" w:cs="Arial"/>
          <w:bCs/>
          <w:sz w:val="22"/>
          <w:szCs w:val="22"/>
        </w:rPr>
        <w:t>Variance of P3.377 million between the balances per books and the confirmed bank balances of the bank accounts maintained with the Land</w:t>
      </w:r>
      <w:r w:rsidR="00CB0533" w:rsidRPr="00CB0533">
        <w:rPr>
          <w:rFonts w:ascii="Arial" w:hAnsi="Arial" w:cs="Arial"/>
          <w:bCs/>
          <w:sz w:val="22"/>
          <w:szCs w:val="22"/>
        </w:rPr>
        <w:t xml:space="preserve"> </w:t>
      </w:r>
      <w:r w:rsidRPr="00CB0533">
        <w:rPr>
          <w:rFonts w:ascii="Arial" w:hAnsi="Arial" w:cs="Arial"/>
          <w:bCs/>
          <w:sz w:val="22"/>
          <w:szCs w:val="22"/>
        </w:rPr>
        <w:t>Bank of the Philippines (LBP) that was not reconciled due to non-preparation of the monthly Bank Reconciliation Statements (BRSs)</w:t>
      </w:r>
      <w:r w:rsidR="006E1C1C" w:rsidRPr="00CB0533">
        <w:rPr>
          <w:rFonts w:ascii="Arial" w:hAnsi="Arial" w:cs="Arial"/>
          <w:bCs/>
          <w:sz w:val="22"/>
          <w:szCs w:val="22"/>
        </w:rPr>
        <w:t>; and</w:t>
      </w:r>
    </w:p>
    <w:p w14:paraId="50951923" w14:textId="77777777" w:rsidR="008D3FA7" w:rsidRPr="00CB0533" w:rsidRDefault="008D3FA7" w:rsidP="00C3427C">
      <w:pPr>
        <w:pStyle w:val="ListParagraph"/>
        <w:numPr>
          <w:ilvl w:val="0"/>
          <w:numId w:val="6"/>
        </w:numPr>
        <w:ind w:hanging="720"/>
        <w:jc w:val="both"/>
        <w:rPr>
          <w:rFonts w:ascii="Arial" w:hAnsi="Arial" w:cs="Arial"/>
          <w:bCs/>
          <w:vanish/>
          <w:sz w:val="22"/>
          <w:szCs w:val="22"/>
        </w:rPr>
      </w:pPr>
      <w:r w:rsidRPr="00CB0533">
        <w:rPr>
          <w:rFonts w:ascii="Arial" w:hAnsi="Arial" w:cs="Arial"/>
          <w:bCs/>
          <w:sz w:val="22"/>
          <w:szCs w:val="22"/>
        </w:rPr>
        <w:t>Checks totaling P1.550 million already presented to and cleared by the bank were erroneously included as unreleased checks that were reverted back to cash</w:t>
      </w:r>
    </w:p>
    <w:p w14:paraId="02F24323" w14:textId="77777777" w:rsidR="008D3FA7" w:rsidRPr="00CB0533" w:rsidRDefault="008D3FA7" w:rsidP="008D3FA7">
      <w:pPr>
        <w:spacing w:after="0" w:line="240" w:lineRule="auto"/>
        <w:ind w:left="1418" w:hanging="709"/>
        <w:jc w:val="both"/>
        <w:rPr>
          <w:rFonts w:ascii="Arial" w:hAnsi="Arial" w:cs="Arial"/>
          <w:bCs/>
          <w:vanish/>
        </w:rPr>
      </w:pPr>
    </w:p>
    <w:p w14:paraId="486E333F" w14:textId="23064D04" w:rsidR="006E1C1C" w:rsidRPr="00CB0533" w:rsidRDefault="008D3FA7" w:rsidP="008D3FA7">
      <w:pPr>
        <w:spacing w:after="0" w:line="240" w:lineRule="auto"/>
        <w:ind w:left="1080" w:hanging="360"/>
        <w:jc w:val="both"/>
        <w:rPr>
          <w:rFonts w:ascii="Arial" w:hAnsi="Arial" w:cs="Arial"/>
          <w:bCs/>
          <w:vanish/>
          <w:sz w:val="21"/>
          <w:szCs w:val="21"/>
        </w:rPr>
      </w:pPr>
      <w:r w:rsidRPr="00CB0533">
        <w:rPr>
          <w:rFonts w:ascii="Arial" w:hAnsi="Arial" w:cs="Arial"/>
          <w:bCs/>
        </w:rPr>
        <w:t xml:space="preserve"> at year-end</w:t>
      </w:r>
    </w:p>
    <w:p w14:paraId="32AE3BA5" w14:textId="46B0D4F3" w:rsidR="006E1C1C" w:rsidRPr="00161848" w:rsidRDefault="006E1C1C" w:rsidP="00C257B7">
      <w:pPr>
        <w:pStyle w:val="ListParagraph"/>
        <w:numPr>
          <w:ilvl w:val="0"/>
          <w:numId w:val="6"/>
        </w:numPr>
        <w:ind w:hanging="720"/>
        <w:jc w:val="both"/>
        <w:rPr>
          <w:rFonts w:ascii="Arial" w:hAnsi="Arial" w:cs="Arial"/>
          <w:bCs/>
          <w:sz w:val="22"/>
          <w:szCs w:val="22"/>
        </w:rPr>
      </w:pPr>
      <w:r w:rsidRPr="00CB0533">
        <w:rPr>
          <w:rFonts w:ascii="Arial" w:hAnsi="Arial" w:cs="Arial"/>
          <w:bCs/>
          <w:sz w:val="21"/>
          <w:szCs w:val="21"/>
        </w:rPr>
        <w:t>.</w:t>
      </w:r>
    </w:p>
    <w:p w14:paraId="40A3784D" w14:textId="77777777" w:rsidR="006E1C1C" w:rsidRPr="00CB0533" w:rsidRDefault="006E1C1C" w:rsidP="006E1C1C">
      <w:pPr>
        <w:pStyle w:val="ListParagraph"/>
        <w:rPr>
          <w:rFonts w:ascii="Arial" w:hAnsi="Arial" w:cs="Arial"/>
          <w:bCs/>
          <w:sz w:val="20"/>
          <w:szCs w:val="20"/>
        </w:rPr>
      </w:pPr>
    </w:p>
    <w:p w14:paraId="48D57983" w14:textId="19D76001" w:rsidR="006E1C1C" w:rsidRPr="00161848" w:rsidRDefault="008D3FA7" w:rsidP="00C257B7">
      <w:pPr>
        <w:pStyle w:val="ListParagraph"/>
        <w:numPr>
          <w:ilvl w:val="0"/>
          <w:numId w:val="2"/>
        </w:numPr>
        <w:ind w:left="720" w:hanging="720"/>
        <w:jc w:val="both"/>
        <w:rPr>
          <w:rFonts w:ascii="Arial" w:hAnsi="Arial" w:cs="Arial"/>
        </w:rPr>
      </w:pPr>
      <w:r w:rsidRPr="00161848">
        <w:rPr>
          <w:rFonts w:ascii="Arial" w:hAnsi="Arial" w:cs="Arial"/>
          <w:sz w:val="22"/>
          <w:szCs w:val="22"/>
        </w:rPr>
        <w:t xml:space="preserve">The measurement of right-of-use asset and lease liability was not in accordance with the Philippine Financial Reporting Standard (PFRS) 16 – </w:t>
      </w:r>
      <w:r w:rsidRPr="00161848">
        <w:rPr>
          <w:rFonts w:ascii="Arial" w:hAnsi="Arial" w:cs="Arial"/>
          <w:i/>
          <w:sz w:val="22"/>
          <w:szCs w:val="22"/>
        </w:rPr>
        <w:t>Leases</w:t>
      </w:r>
      <w:r w:rsidRPr="00161848">
        <w:rPr>
          <w:rFonts w:ascii="Arial" w:hAnsi="Arial" w:cs="Arial"/>
          <w:sz w:val="22"/>
          <w:szCs w:val="22"/>
        </w:rPr>
        <w:t>, resulting in the overstatement of the Finance Lease Payable, Prepaid Rent and Depreciation Expense accounts by P26.508 million, P24.631 million and P1.473 million, respectively, and the corresponding understatement of Leased Assets, Accumulated Depreciation, Interest Expense, Rent Expense and Retained Earnings accounts by P97.512 million, P98.985 million, P1.063 million, P0.874 million and P0.868 million, respectively</w:t>
      </w:r>
      <w:r w:rsidR="00790990" w:rsidRPr="00161848">
        <w:rPr>
          <w:rFonts w:ascii="Arial" w:hAnsi="Arial" w:cs="Arial"/>
          <w:sz w:val="22"/>
          <w:szCs w:val="22"/>
        </w:rPr>
        <w:t>.</w:t>
      </w:r>
    </w:p>
    <w:p w14:paraId="26641B8E" w14:textId="77777777" w:rsidR="00790990" w:rsidRPr="00CB0533" w:rsidRDefault="00790990" w:rsidP="00790990">
      <w:pPr>
        <w:pStyle w:val="ListParagraph"/>
        <w:jc w:val="both"/>
        <w:rPr>
          <w:rFonts w:ascii="Arial" w:hAnsi="Arial" w:cs="Arial"/>
          <w:sz w:val="20"/>
          <w:szCs w:val="20"/>
        </w:rPr>
      </w:pPr>
    </w:p>
    <w:p w14:paraId="41732551" w14:textId="0FDF723B" w:rsidR="00790990" w:rsidRPr="00161848" w:rsidRDefault="008D3FA7" w:rsidP="00C257B7">
      <w:pPr>
        <w:pStyle w:val="ListParagraph"/>
        <w:numPr>
          <w:ilvl w:val="0"/>
          <w:numId w:val="2"/>
        </w:numPr>
        <w:ind w:left="720" w:hanging="720"/>
        <w:jc w:val="both"/>
        <w:rPr>
          <w:rFonts w:ascii="Arial" w:hAnsi="Arial" w:cs="Arial"/>
          <w:bCs/>
        </w:rPr>
      </w:pPr>
      <w:r w:rsidRPr="00161848">
        <w:rPr>
          <w:rFonts w:ascii="Arial" w:hAnsi="Arial" w:cs="Arial"/>
          <w:bCs/>
          <w:sz w:val="22"/>
          <w:szCs w:val="22"/>
          <w:lang w:val="en-PH"/>
        </w:rPr>
        <w:t xml:space="preserve">The faithful representation of the effects of the transactions relating to the Accounts Receivable (AR) account having a balance of P1.096 billion, net of Allowance for Impairment of P163.864 million, </w:t>
      </w:r>
      <w:r w:rsidRPr="00161848">
        <w:rPr>
          <w:rFonts w:ascii="Arial" w:hAnsi="Arial" w:cs="Arial"/>
          <w:bCs/>
          <w:sz w:val="22"/>
          <w:szCs w:val="22"/>
        </w:rPr>
        <w:t>as of December 31, 2019 was not established due to various deficiencies enumerated below, contrary to Paragraph 15 of the PAS 1 and QC12 of the CFFR</w:t>
      </w:r>
      <w:r w:rsidR="00790990" w:rsidRPr="00161848">
        <w:rPr>
          <w:rFonts w:ascii="Arial" w:hAnsi="Arial" w:cs="Arial"/>
          <w:bCs/>
          <w:sz w:val="22"/>
          <w:szCs w:val="22"/>
        </w:rPr>
        <w:t>:</w:t>
      </w:r>
    </w:p>
    <w:p w14:paraId="4D6E7277" w14:textId="77777777" w:rsidR="00790990" w:rsidRPr="00CB0533" w:rsidRDefault="00790990" w:rsidP="00790990">
      <w:pPr>
        <w:pStyle w:val="ListParagraph"/>
        <w:rPr>
          <w:rFonts w:ascii="Arial" w:hAnsi="Arial" w:cs="Arial"/>
          <w:bCs/>
          <w:sz w:val="20"/>
          <w:szCs w:val="20"/>
        </w:rPr>
      </w:pPr>
    </w:p>
    <w:p w14:paraId="29CD8B87" w14:textId="6046699E" w:rsidR="00790990" w:rsidRPr="00161848" w:rsidRDefault="008D3FA7" w:rsidP="00C257B7">
      <w:pPr>
        <w:pStyle w:val="ListParagraph"/>
        <w:numPr>
          <w:ilvl w:val="0"/>
          <w:numId w:val="8"/>
        </w:numPr>
        <w:ind w:hanging="720"/>
        <w:jc w:val="both"/>
        <w:rPr>
          <w:rFonts w:ascii="Arial" w:hAnsi="Arial" w:cs="Arial"/>
          <w:bCs/>
        </w:rPr>
      </w:pPr>
      <w:r w:rsidRPr="00161848">
        <w:rPr>
          <w:rFonts w:ascii="Arial" w:hAnsi="Arial" w:cs="Arial"/>
          <w:bCs/>
          <w:sz w:val="22"/>
          <w:szCs w:val="22"/>
        </w:rPr>
        <w:t>Abnormal (credit) balances of four (4) AR sub-accounts totaling P681.735 million</w:t>
      </w:r>
      <w:r w:rsidR="00790990" w:rsidRPr="00161848">
        <w:rPr>
          <w:rFonts w:ascii="Arial" w:hAnsi="Arial" w:cs="Arial"/>
          <w:bCs/>
          <w:sz w:val="22"/>
          <w:szCs w:val="22"/>
        </w:rPr>
        <w:t>;</w:t>
      </w:r>
    </w:p>
    <w:p w14:paraId="566EE93E" w14:textId="77777777" w:rsidR="00790990" w:rsidRPr="00CB0533" w:rsidRDefault="00790990" w:rsidP="00790990">
      <w:pPr>
        <w:pStyle w:val="ListParagraph"/>
        <w:ind w:left="1440"/>
        <w:jc w:val="both"/>
        <w:rPr>
          <w:rFonts w:ascii="Arial" w:hAnsi="Arial" w:cs="Arial"/>
          <w:bCs/>
          <w:sz w:val="20"/>
          <w:szCs w:val="20"/>
        </w:rPr>
      </w:pPr>
    </w:p>
    <w:p w14:paraId="1843DA4D" w14:textId="5A6664BE" w:rsidR="00790990" w:rsidRPr="00161848" w:rsidRDefault="00CE1337" w:rsidP="00C257B7">
      <w:pPr>
        <w:pStyle w:val="ListParagraph"/>
        <w:numPr>
          <w:ilvl w:val="0"/>
          <w:numId w:val="8"/>
        </w:numPr>
        <w:ind w:hanging="720"/>
        <w:jc w:val="both"/>
        <w:rPr>
          <w:rFonts w:ascii="Arial" w:hAnsi="Arial" w:cs="Arial"/>
          <w:bCs/>
        </w:rPr>
      </w:pPr>
      <w:r w:rsidRPr="00CE1337">
        <w:rPr>
          <w:rFonts w:ascii="Arial" w:hAnsi="Arial" w:cs="Arial"/>
          <w:bCs/>
          <w:sz w:val="22"/>
          <w:szCs w:val="22"/>
        </w:rPr>
        <w:t>Variance in the total amount of P466.230 million between the account balances per General Ledger (GL) and the Aging Schedule resulting from prior period errors in posting of transactions</w:t>
      </w:r>
      <w:r w:rsidR="00790990" w:rsidRPr="00161848">
        <w:rPr>
          <w:rFonts w:ascii="Arial" w:hAnsi="Arial" w:cs="Arial"/>
          <w:bCs/>
          <w:sz w:val="22"/>
          <w:szCs w:val="22"/>
        </w:rPr>
        <w:t>; and</w:t>
      </w:r>
    </w:p>
    <w:p w14:paraId="0EED972A" w14:textId="77777777" w:rsidR="00790990" w:rsidRPr="00CB0533" w:rsidRDefault="00790990" w:rsidP="00790990">
      <w:pPr>
        <w:pStyle w:val="ListParagraph"/>
        <w:rPr>
          <w:rFonts w:ascii="Arial" w:hAnsi="Arial" w:cs="Arial"/>
          <w:bCs/>
          <w:sz w:val="20"/>
          <w:szCs w:val="20"/>
        </w:rPr>
      </w:pPr>
    </w:p>
    <w:p w14:paraId="416D088B" w14:textId="7166E3B5" w:rsidR="00790990" w:rsidRPr="00161848" w:rsidRDefault="00CE1337" w:rsidP="00C257B7">
      <w:pPr>
        <w:pStyle w:val="ListParagraph"/>
        <w:numPr>
          <w:ilvl w:val="0"/>
          <w:numId w:val="8"/>
        </w:numPr>
        <w:ind w:hanging="720"/>
        <w:jc w:val="both"/>
        <w:rPr>
          <w:rFonts w:ascii="Arial" w:hAnsi="Arial" w:cs="Arial"/>
          <w:bCs/>
        </w:rPr>
      </w:pPr>
      <w:r w:rsidRPr="00CE1337">
        <w:rPr>
          <w:rFonts w:ascii="Arial" w:hAnsi="Arial" w:cs="Arial"/>
          <w:bCs/>
          <w:iCs/>
          <w:sz w:val="22"/>
          <w:szCs w:val="22"/>
          <w:lang w:val="en-PH" w:eastAsia="ar-SA"/>
        </w:rPr>
        <w:t>Twelve (12) AR sub-accounts totaling P72.089 million cannot be validated due to absence of complete supporting subsidiary ledgers, schedules and the corresponding aging schedule</w:t>
      </w:r>
      <w:r w:rsidR="00790990" w:rsidRPr="00161848">
        <w:rPr>
          <w:rFonts w:ascii="Arial" w:hAnsi="Arial" w:cs="Arial"/>
          <w:bCs/>
          <w:iCs/>
          <w:sz w:val="22"/>
          <w:szCs w:val="22"/>
          <w:lang w:val="en-PH" w:eastAsia="ar-SA"/>
        </w:rPr>
        <w:t>.</w:t>
      </w:r>
    </w:p>
    <w:p w14:paraId="5D993F4A" w14:textId="77777777" w:rsidR="006B6806" w:rsidRPr="00CB0533" w:rsidRDefault="006B6806" w:rsidP="00575083">
      <w:pPr>
        <w:pStyle w:val="ListParagraph"/>
        <w:contextualSpacing/>
        <w:jc w:val="both"/>
        <w:rPr>
          <w:rFonts w:ascii="Arial" w:hAnsi="Arial" w:cs="Arial"/>
          <w:bCs/>
          <w:sz w:val="20"/>
          <w:szCs w:val="20"/>
        </w:rPr>
      </w:pPr>
    </w:p>
    <w:p w14:paraId="5B1DF164" w14:textId="77777777" w:rsidR="002F26E0" w:rsidRPr="00161848" w:rsidRDefault="002F26E0" w:rsidP="00575083">
      <w:pPr>
        <w:pStyle w:val="NoSpacing"/>
        <w:jc w:val="both"/>
        <w:rPr>
          <w:rFonts w:ascii="Arial" w:hAnsi="Arial" w:cs="Arial"/>
          <w:sz w:val="22"/>
          <w:szCs w:val="22"/>
        </w:rPr>
      </w:pPr>
      <w:r w:rsidRPr="00161848">
        <w:rPr>
          <w:rFonts w:ascii="Arial" w:hAnsi="Arial" w:cs="Arial"/>
          <w:sz w:val="22"/>
          <w:szCs w:val="22"/>
          <w:lang w:val="en-PH"/>
        </w:rPr>
        <w:t>For the afore-cited observations, which caused the issuance of a</w:t>
      </w:r>
      <w:r w:rsidR="00CE79C3" w:rsidRPr="00161848">
        <w:rPr>
          <w:rFonts w:ascii="Arial" w:hAnsi="Arial" w:cs="Arial"/>
          <w:sz w:val="22"/>
          <w:szCs w:val="22"/>
          <w:lang w:val="en-PH"/>
        </w:rPr>
        <w:t>n adverse</w:t>
      </w:r>
      <w:r w:rsidRPr="00161848">
        <w:rPr>
          <w:rFonts w:ascii="Arial" w:hAnsi="Arial" w:cs="Arial"/>
          <w:sz w:val="22"/>
          <w:szCs w:val="22"/>
          <w:lang w:val="en-PH"/>
        </w:rPr>
        <w:t xml:space="preserve"> opinion, we recommended that Management:</w:t>
      </w:r>
    </w:p>
    <w:p w14:paraId="26C27EAB" w14:textId="77777777" w:rsidR="002F26E0" w:rsidRPr="00CB0533" w:rsidRDefault="002F26E0" w:rsidP="00575083">
      <w:pPr>
        <w:spacing w:after="0" w:line="240" w:lineRule="auto"/>
        <w:jc w:val="both"/>
        <w:rPr>
          <w:rFonts w:ascii="Arial" w:hAnsi="Arial" w:cs="Arial"/>
          <w:sz w:val="20"/>
          <w:szCs w:val="20"/>
        </w:rPr>
      </w:pPr>
    </w:p>
    <w:p w14:paraId="0E822AD5" w14:textId="053F62AA" w:rsidR="0031565A" w:rsidRPr="00161848" w:rsidRDefault="00575083" w:rsidP="00C257B7">
      <w:pPr>
        <w:pStyle w:val="ListParagraph"/>
        <w:numPr>
          <w:ilvl w:val="1"/>
          <w:numId w:val="4"/>
        </w:numPr>
        <w:contextualSpacing/>
        <w:jc w:val="both"/>
        <w:rPr>
          <w:rFonts w:ascii="Arial" w:hAnsi="Arial" w:cs="Arial"/>
          <w:bCs/>
          <w:sz w:val="22"/>
          <w:szCs w:val="22"/>
        </w:rPr>
      </w:pPr>
      <w:r w:rsidRPr="00161848">
        <w:rPr>
          <w:rFonts w:ascii="Arial" w:hAnsi="Arial" w:cs="Arial"/>
          <w:bCs/>
          <w:sz w:val="22"/>
          <w:szCs w:val="22"/>
        </w:rPr>
        <w:t>Direct the concerned accounting personnel to:</w:t>
      </w:r>
    </w:p>
    <w:p w14:paraId="6BB8C2F6" w14:textId="2A1C41D8" w:rsidR="00575083" w:rsidRPr="00CB0533" w:rsidRDefault="00575083" w:rsidP="00575083">
      <w:pPr>
        <w:pStyle w:val="ListParagraph"/>
        <w:contextualSpacing/>
        <w:jc w:val="both"/>
        <w:rPr>
          <w:rFonts w:ascii="Arial" w:hAnsi="Arial" w:cs="Arial"/>
          <w:bCs/>
          <w:sz w:val="20"/>
          <w:szCs w:val="20"/>
        </w:rPr>
      </w:pPr>
    </w:p>
    <w:p w14:paraId="1916B34B" w14:textId="33D0C4C6" w:rsidR="00575083" w:rsidRPr="00161848" w:rsidRDefault="0040200D" w:rsidP="00C257B7">
      <w:pPr>
        <w:pStyle w:val="ListParagraph"/>
        <w:numPr>
          <w:ilvl w:val="0"/>
          <w:numId w:val="5"/>
        </w:numPr>
        <w:ind w:hanging="720"/>
        <w:contextualSpacing/>
        <w:jc w:val="both"/>
        <w:rPr>
          <w:rFonts w:ascii="Arial" w:hAnsi="Arial" w:cs="Arial"/>
          <w:sz w:val="22"/>
          <w:szCs w:val="22"/>
        </w:rPr>
      </w:pPr>
      <w:r w:rsidRPr="00161848">
        <w:rPr>
          <w:rFonts w:ascii="Arial" w:hAnsi="Arial" w:cs="Arial"/>
          <w:sz w:val="22"/>
          <w:szCs w:val="22"/>
        </w:rPr>
        <w:t>Recognize as part of the PCSO’s revenues the GMMRR shortfalls incurred by the concerned AACs during CYs 2017-2019 totaling P20.210 billion and recognize as receivables the amount of P6.980 billion, representing unsettled GMMRR shortfalls due to PCSO for CYs 2017-2019</w:t>
      </w:r>
      <w:r w:rsidR="00575083" w:rsidRPr="00161848">
        <w:rPr>
          <w:rFonts w:ascii="Arial" w:eastAsia="Calibri" w:hAnsi="Arial" w:cs="Arial"/>
          <w:sz w:val="22"/>
          <w:szCs w:val="22"/>
          <w:lang w:val="en-PH"/>
        </w:rPr>
        <w:t>.</w:t>
      </w:r>
    </w:p>
    <w:p w14:paraId="33AFF35C" w14:textId="77777777" w:rsidR="00575083" w:rsidRPr="00CB0533" w:rsidRDefault="00575083" w:rsidP="00790990">
      <w:pPr>
        <w:pStyle w:val="ListParagraph"/>
        <w:ind w:left="1440" w:hanging="720"/>
        <w:contextualSpacing/>
        <w:jc w:val="both"/>
        <w:rPr>
          <w:rFonts w:ascii="Arial" w:hAnsi="Arial" w:cs="Arial"/>
          <w:sz w:val="20"/>
          <w:szCs w:val="20"/>
        </w:rPr>
      </w:pPr>
    </w:p>
    <w:p w14:paraId="21F0AD6E" w14:textId="30B460D1" w:rsidR="00575083" w:rsidRPr="00161848" w:rsidRDefault="0040200D" w:rsidP="00C257B7">
      <w:pPr>
        <w:pStyle w:val="ListParagraph"/>
        <w:numPr>
          <w:ilvl w:val="0"/>
          <w:numId w:val="5"/>
        </w:numPr>
        <w:ind w:hanging="720"/>
        <w:contextualSpacing/>
        <w:jc w:val="both"/>
        <w:rPr>
          <w:rFonts w:ascii="Arial" w:hAnsi="Arial" w:cs="Arial"/>
          <w:sz w:val="22"/>
          <w:szCs w:val="22"/>
        </w:rPr>
      </w:pPr>
      <w:r w:rsidRPr="00161848">
        <w:rPr>
          <w:rFonts w:ascii="Arial" w:hAnsi="Arial" w:cs="Arial"/>
          <w:sz w:val="22"/>
          <w:szCs w:val="22"/>
        </w:rPr>
        <w:t>Record the STL transactions on accrual basis to ensure that the same are recognized in the period in which they were earned and not when cash was collected, pursuant to Paragraphs 27 and 28 of PAS 1 and the CFFR</w:t>
      </w:r>
      <w:r w:rsidR="00575083" w:rsidRPr="00161848">
        <w:rPr>
          <w:rFonts w:ascii="Arial" w:hAnsi="Arial" w:cs="Arial"/>
          <w:sz w:val="22"/>
          <w:szCs w:val="22"/>
        </w:rPr>
        <w:t>.</w:t>
      </w:r>
    </w:p>
    <w:p w14:paraId="709A39DB" w14:textId="77777777" w:rsidR="00575083" w:rsidRPr="00CB0533" w:rsidRDefault="00575083" w:rsidP="00790990">
      <w:pPr>
        <w:pStyle w:val="ListParagraph"/>
        <w:ind w:left="1440" w:hanging="720"/>
        <w:rPr>
          <w:rFonts w:ascii="Arial" w:hAnsi="Arial" w:cs="Arial"/>
          <w:sz w:val="20"/>
          <w:szCs w:val="20"/>
        </w:rPr>
      </w:pPr>
    </w:p>
    <w:p w14:paraId="7987FA4C" w14:textId="33B1D054" w:rsidR="00575083" w:rsidRDefault="0040200D" w:rsidP="00C257B7">
      <w:pPr>
        <w:pStyle w:val="ListParagraph"/>
        <w:numPr>
          <w:ilvl w:val="0"/>
          <w:numId w:val="5"/>
        </w:numPr>
        <w:ind w:hanging="720"/>
        <w:contextualSpacing/>
        <w:jc w:val="both"/>
        <w:rPr>
          <w:rFonts w:ascii="Arial" w:hAnsi="Arial" w:cs="Arial"/>
          <w:bCs/>
          <w:sz w:val="22"/>
          <w:szCs w:val="22"/>
        </w:rPr>
      </w:pPr>
      <w:r w:rsidRPr="00161848">
        <w:rPr>
          <w:rFonts w:ascii="Arial" w:hAnsi="Arial" w:cs="Arial"/>
          <w:sz w:val="22"/>
          <w:szCs w:val="22"/>
        </w:rPr>
        <w:t>Effect the necessary adjusting entries to correct the misstatements of</w:t>
      </w:r>
      <w:r w:rsidRPr="00161848">
        <w:rPr>
          <w:rFonts w:ascii="Arial" w:hAnsi="Arial" w:cs="Arial"/>
          <w:sz w:val="22"/>
          <w:szCs w:val="22"/>
          <w:shd w:val="clear" w:color="auto" w:fill="FFFFFF"/>
        </w:rPr>
        <w:t xml:space="preserve"> Retained Earnings, Expenses, Payables, Other Business Income and Miscellaneous Income accounts,</w:t>
      </w:r>
      <w:r w:rsidRPr="00161848">
        <w:rPr>
          <w:rFonts w:ascii="Arial" w:hAnsi="Arial" w:cs="Arial"/>
          <w:sz w:val="22"/>
          <w:szCs w:val="22"/>
        </w:rPr>
        <w:t xml:space="preserve"> resulting from the inconsistent treatment of transactions relating to the settlements of GMMRR shortfalls as well as the unrecorded allocation of expenses relating to the unrecorded GMMRR shortfalls</w:t>
      </w:r>
      <w:r w:rsidR="00575083" w:rsidRPr="00161848">
        <w:rPr>
          <w:rFonts w:ascii="Arial" w:hAnsi="Arial" w:cs="Arial"/>
          <w:bCs/>
          <w:sz w:val="22"/>
          <w:szCs w:val="22"/>
        </w:rPr>
        <w:t>.</w:t>
      </w:r>
    </w:p>
    <w:p w14:paraId="43E899FA" w14:textId="77777777" w:rsidR="001D27E4" w:rsidRPr="001D27E4" w:rsidRDefault="001D27E4" w:rsidP="001D27E4">
      <w:pPr>
        <w:pStyle w:val="ListParagraph"/>
        <w:rPr>
          <w:rFonts w:ascii="Arial" w:hAnsi="Arial" w:cs="Arial"/>
          <w:bCs/>
          <w:sz w:val="22"/>
          <w:szCs w:val="22"/>
        </w:rPr>
      </w:pPr>
    </w:p>
    <w:p w14:paraId="4791EAC6" w14:textId="77777777" w:rsidR="001D27E4" w:rsidRPr="00161848" w:rsidRDefault="001D27E4" w:rsidP="001D27E4">
      <w:pPr>
        <w:pStyle w:val="ListParagraph"/>
        <w:ind w:left="1440"/>
        <w:contextualSpacing/>
        <w:jc w:val="both"/>
        <w:rPr>
          <w:rFonts w:ascii="Arial" w:hAnsi="Arial" w:cs="Arial"/>
          <w:bCs/>
          <w:sz w:val="22"/>
          <w:szCs w:val="22"/>
        </w:rPr>
      </w:pPr>
    </w:p>
    <w:p w14:paraId="23B27EBF" w14:textId="77BB13C5" w:rsidR="00656B80" w:rsidRPr="00161848" w:rsidRDefault="00FE1746" w:rsidP="00570E7E">
      <w:pPr>
        <w:spacing w:after="0" w:line="240" w:lineRule="auto"/>
        <w:ind w:left="720" w:hanging="720"/>
        <w:contextualSpacing/>
        <w:jc w:val="both"/>
        <w:rPr>
          <w:rFonts w:ascii="Arial" w:hAnsi="Arial" w:cs="Arial"/>
          <w:bCs/>
        </w:rPr>
      </w:pPr>
      <w:r w:rsidRPr="00161848">
        <w:rPr>
          <w:rFonts w:ascii="Arial" w:hAnsi="Arial" w:cs="Arial"/>
        </w:rPr>
        <w:t xml:space="preserve">2.1 </w:t>
      </w:r>
      <w:r w:rsidRPr="00161848">
        <w:rPr>
          <w:rFonts w:ascii="Arial" w:hAnsi="Arial" w:cs="Arial"/>
        </w:rPr>
        <w:tab/>
      </w:r>
      <w:r w:rsidR="00ED7618" w:rsidRPr="00161848">
        <w:rPr>
          <w:rFonts w:ascii="Arial" w:hAnsi="Arial" w:cs="Arial"/>
          <w:bCs/>
        </w:rPr>
        <w:t>D</w:t>
      </w:r>
      <w:r w:rsidR="0040200D" w:rsidRPr="00161848">
        <w:rPr>
          <w:rFonts w:ascii="Arial" w:hAnsi="Arial" w:cs="Arial"/>
          <w:bCs/>
        </w:rPr>
        <w:t>irect the concerned Accounting personnel to effect the necessary adjusting entries in order to reflect the correct amount of retail receipts from the ISP accruing to the PCSO pursuant to Section 4</w:t>
      </w:r>
      <w:r w:rsidR="00CE1337">
        <w:rPr>
          <w:rFonts w:ascii="Arial" w:hAnsi="Arial" w:cs="Arial"/>
          <w:bCs/>
        </w:rPr>
        <w:t xml:space="preserve"> (i)</w:t>
      </w:r>
      <w:r w:rsidR="0040200D" w:rsidRPr="00161848">
        <w:rPr>
          <w:rFonts w:ascii="Arial" w:hAnsi="Arial" w:cs="Arial"/>
          <w:bCs/>
        </w:rPr>
        <w:t xml:space="preserve"> of the RIRR for the ISP, in accordance with Paragraphs 15 and 4.47 of PAS 1 and CFFR, respectively</w:t>
      </w:r>
      <w:r w:rsidR="006E1C1C" w:rsidRPr="00161848">
        <w:rPr>
          <w:rFonts w:ascii="Arial" w:hAnsi="Arial" w:cs="Arial"/>
          <w:bCs/>
        </w:rPr>
        <w:t xml:space="preserve">.  </w:t>
      </w:r>
    </w:p>
    <w:p w14:paraId="5D4A3FE1" w14:textId="15987622" w:rsidR="001D27E4" w:rsidRPr="001D27E4" w:rsidRDefault="001D27E4" w:rsidP="00EC38EC">
      <w:pPr>
        <w:spacing w:after="0" w:line="240" w:lineRule="auto"/>
        <w:contextualSpacing/>
        <w:jc w:val="both"/>
        <w:rPr>
          <w:rFonts w:ascii="Arial" w:eastAsia="Times New Roman" w:hAnsi="Arial" w:cs="Arial"/>
          <w:sz w:val="32"/>
          <w:szCs w:val="32"/>
        </w:rPr>
      </w:pPr>
    </w:p>
    <w:p w14:paraId="1CF942A1" w14:textId="3C741E7E" w:rsidR="00FE1746" w:rsidRDefault="006E1C1C" w:rsidP="00CB0533">
      <w:pPr>
        <w:spacing w:after="0" w:line="240" w:lineRule="auto"/>
        <w:ind w:left="720" w:hanging="720"/>
        <w:contextualSpacing/>
        <w:jc w:val="both"/>
        <w:rPr>
          <w:rFonts w:ascii="Arial" w:hAnsi="Arial" w:cs="Arial"/>
          <w:bCs/>
        </w:rPr>
      </w:pPr>
      <w:r w:rsidRPr="00161848">
        <w:rPr>
          <w:rFonts w:ascii="Arial" w:hAnsi="Arial" w:cs="Arial"/>
          <w:bCs/>
        </w:rPr>
        <w:t xml:space="preserve">3.1 </w:t>
      </w:r>
      <w:r w:rsidRPr="00161848">
        <w:rPr>
          <w:rFonts w:ascii="Arial" w:hAnsi="Arial" w:cs="Arial"/>
          <w:bCs/>
        </w:rPr>
        <w:tab/>
      </w:r>
      <w:r w:rsidR="00ED7618" w:rsidRPr="00161848">
        <w:rPr>
          <w:rFonts w:ascii="Arial" w:hAnsi="Arial" w:cs="Arial"/>
          <w:bCs/>
        </w:rPr>
        <w:t>Direct the concerned Accounting personnel to</w:t>
      </w:r>
      <w:r w:rsidRPr="00161848">
        <w:rPr>
          <w:rFonts w:ascii="Arial" w:hAnsi="Arial" w:cs="Arial"/>
          <w:bCs/>
        </w:rPr>
        <w:t>:</w:t>
      </w:r>
    </w:p>
    <w:p w14:paraId="4DC2AEB9" w14:textId="77777777" w:rsidR="00CB0533" w:rsidRPr="001D27E4" w:rsidRDefault="00CB0533" w:rsidP="00CB0533">
      <w:pPr>
        <w:spacing w:after="0" w:line="240" w:lineRule="auto"/>
        <w:ind w:left="720" w:hanging="720"/>
        <w:contextualSpacing/>
        <w:jc w:val="both"/>
        <w:rPr>
          <w:rFonts w:ascii="Arial" w:hAnsi="Arial" w:cs="Arial"/>
          <w:bCs/>
          <w:sz w:val="24"/>
          <w:szCs w:val="24"/>
        </w:rPr>
      </w:pPr>
    </w:p>
    <w:p w14:paraId="357C7BBD" w14:textId="19AAF085" w:rsidR="006E1C1C" w:rsidRPr="00161848" w:rsidRDefault="00ED7618" w:rsidP="00CB0533">
      <w:pPr>
        <w:pStyle w:val="ListParagraph"/>
        <w:numPr>
          <w:ilvl w:val="0"/>
          <w:numId w:val="7"/>
        </w:numPr>
        <w:ind w:hanging="720"/>
        <w:contextualSpacing/>
        <w:jc w:val="both"/>
        <w:rPr>
          <w:rFonts w:ascii="Arial" w:hAnsi="Arial" w:cs="Arial"/>
          <w:bCs/>
        </w:rPr>
      </w:pPr>
      <w:r w:rsidRPr="00161848">
        <w:rPr>
          <w:rFonts w:ascii="Arial" w:hAnsi="Arial" w:cs="Arial"/>
          <w:bCs/>
          <w:sz w:val="22"/>
          <w:szCs w:val="22"/>
        </w:rPr>
        <w:t>Effect the necessary adjustments, after a thorough verification of the book reconciling items for each of the subject bank accounts, in order to present fairly the balance of the Cash in Bank account in the financial statements</w:t>
      </w:r>
      <w:r w:rsidR="006E1C1C" w:rsidRPr="00161848">
        <w:rPr>
          <w:rFonts w:ascii="Arial" w:hAnsi="Arial" w:cs="Arial"/>
          <w:bCs/>
          <w:sz w:val="22"/>
          <w:szCs w:val="22"/>
        </w:rPr>
        <w:t>;</w:t>
      </w:r>
    </w:p>
    <w:p w14:paraId="38D13B18" w14:textId="77777777" w:rsidR="006E1C1C" w:rsidRPr="001D27E4" w:rsidRDefault="006E1C1C" w:rsidP="00790990">
      <w:pPr>
        <w:pStyle w:val="ListParagraph"/>
        <w:ind w:left="1440" w:hanging="720"/>
        <w:contextualSpacing/>
        <w:jc w:val="both"/>
        <w:rPr>
          <w:rFonts w:ascii="Arial" w:hAnsi="Arial" w:cs="Arial"/>
          <w:bCs/>
        </w:rPr>
      </w:pPr>
    </w:p>
    <w:p w14:paraId="3780CEF6" w14:textId="7D4989FD" w:rsidR="006E1C1C" w:rsidRPr="00161848" w:rsidRDefault="00ED7618" w:rsidP="00C257B7">
      <w:pPr>
        <w:pStyle w:val="ListParagraph"/>
        <w:numPr>
          <w:ilvl w:val="0"/>
          <w:numId w:val="7"/>
        </w:numPr>
        <w:ind w:hanging="720"/>
        <w:contextualSpacing/>
        <w:jc w:val="both"/>
        <w:rPr>
          <w:rFonts w:ascii="Arial" w:hAnsi="Arial" w:cs="Arial"/>
          <w:bCs/>
        </w:rPr>
      </w:pPr>
      <w:r w:rsidRPr="00161848">
        <w:rPr>
          <w:rFonts w:ascii="Arial" w:hAnsi="Arial" w:cs="Arial"/>
          <w:bCs/>
          <w:sz w:val="22"/>
          <w:szCs w:val="22"/>
        </w:rPr>
        <w:t xml:space="preserve">Intensify the efforts in coordinating with the corresponding depository banks to thresh out the details of the bank reconciling items and investigate the cause/s of the alleged unposted deposits totaling P32.733 million under the Operating Fund accounts </w:t>
      </w:r>
      <w:r w:rsidRPr="00161848">
        <w:rPr>
          <w:rFonts w:ascii="Arial" w:hAnsi="Arial" w:cs="Arial"/>
          <w:bCs/>
          <w:sz w:val="22"/>
          <w:szCs w:val="22"/>
          <w:lang w:val="en-PH" w:eastAsia="en-PH"/>
        </w:rPr>
        <w:t>so that appropriate action may be taken thereafter</w:t>
      </w:r>
      <w:r w:rsidR="006E1C1C" w:rsidRPr="00161848">
        <w:rPr>
          <w:rFonts w:ascii="Arial" w:hAnsi="Arial" w:cs="Arial"/>
          <w:bCs/>
          <w:sz w:val="22"/>
          <w:szCs w:val="22"/>
          <w:lang w:val="en-PH" w:eastAsia="en-PH"/>
        </w:rPr>
        <w:t>;</w:t>
      </w:r>
    </w:p>
    <w:p w14:paraId="0D74C381" w14:textId="77777777" w:rsidR="006E1C1C" w:rsidRPr="001D27E4" w:rsidRDefault="006E1C1C" w:rsidP="00790990">
      <w:pPr>
        <w:pStyle w:val="ListParagraph"/>
        <w:ind w:left="1440" w:hanging="720"/>
        <w:rPr>
          <w:rFonts w:ascii="Arial" w:hAnsi="Arial" w:cs="Arial"/>
          <w:bCs/>
        </w:rPr>
      </w:pPr>
    </w:p>
    <w:p w14:paraId="1CAF55A1" w14:textId="1F517030" w:rsidR="006E1C1C" w:rsidRPr="00161848" w:rsidRDefault="00ED7618" w:rsidP="00C257B7">
      <w:pPr>
        <w:pStyle w:val="ListParagraph"/>
        <w:numPr>
          <w:ilvl w:val="0"/>
          <w:numId w:val="7"/>
        </w:numPr>
        <w:ind w:hanging="720"/>
        <w:contextualSpacing/>
        <w:jc w:val="both"/>
        <w:rPr>
          <w:rFonts w:ascii="Arial" w:hAnsi="Arial" w:cs="Arial"/>
          <w:bCs/>
        </w:rPr>
      </w:pPr>
      <w:r w:rsidRPr="00161848">
        <w:rPr>
          <w:rFonts w:ascii="Arial" w:hAnsi="Arial" w:cs="Arial"/>
          <w:bCs/>
          <w:sz w:val="22"/>
          <w:szCs w:val="22"/>
        </w:rPr>
        <w:t>Effect</w:t>
      </w:r>
      <w:r w:rsidRPr="00161848">
        <w:rPr>
          <w:rFonts w:ascii="Arial" w:eastAsia="Calibri" w:hAnsi="Arial" w:cs="Arial"/>
          <w:bCs/>
          <w:sz w:val="22"/>
          <w:szCs w:val="22"/>
        </w:rPr>
        <w:t xml:space="preserve"> the necessary adjusting entries, after a thorough verification of the long-outstanding reconciling items, in order to correct the P12.020 million overstatement of the Cash and Cash Equivalents account and the negative balance of </w:t>
      </w:r>
      <w:r w:rsidRPr="00161848">
        <w:rPr>
          <w:rFonts w:ascii="Arial" w:hAnsi="Arial" w:cs="Arial"/>
          <w:bCs/>
          <w:sz w:val="22"/>
          <w:szCs w:val="22"/>
        </w:rPr>
        <w:t xml:space="preserve">P39.280 million, which pertained to book balances of closed </w:t>
      </w:r>
      <w:r w:rsidR="003663F6" w:rsidRPr="00161848">
        <w:rPr>
          <w:rFonts w:ascii="Arial" w:hAnsi="Arial" w:cs="Arial"/>
          <w:bCs/>
          <w:sz w:val="22"/>
          <w:szCs w:val="22"/>
        </w:rPr>
        <w:t>Philippine National Bank (</w:t>
      </w:r>
      <w:r w:rsidRPr="00161848">
        <w:rPr>
          <w:rFonts w:ascii="Arial" w:hAnsi="Arial" w:cs="Arial"/>
          <w:bCs/>
          <w:sz w:val="22"/>
          <w:szCs w:val="22"/>
        </w:rPr>
        <w:t>PNB</w:t>
      </w:r>
      <w:r w:rsidR="003663F6" w:rsidRPr="00161848">
        <w:rPr>
          <w:rFonts w:ascii="Arial" w:hAnsi="Arial" w:cs="Arial"/>
          <w:bCs/>
          <w:sz w:val="22"/>
          <w:szCs w:val="22"/>
        </w:rPr>
        <w:t>)</w:t>
      </w:r>
      <w:r w:rsidRPr="00161848">
        <w:rPr>
          <w:rFonts w:ascii="Arial" w:hAnsi="Arial" w:cs="Arial"/>
          <w:bCs/>
          <w:sz w:val="22"/>
          <w:szCs w:val="22"/>
        </w:rPr>
        <w:t xml:space="preserve"> accounts</w:t>
      </w:r>
      <w:r w:rsidR="006E1C1C" w:rsidRPr="00161848">
        <w:rPr>
          <w:rFonts w:ascii="Arial" w:hAnsi="Arial" w:cs="Arial"/>
          <w:bCs/>
          <w:sz w:val="22"/>
          <w:szCs w:val="22"/>
        </w:rPr>
        <w:t>;</w:t>
      </w:r>
    </w:p>
    <w:p w14:paraId="38EC9323" w14:textId="77777777" w:rsidR="006E1C1C" w:rsidRPr="001D27E4" w:rsidRDefault="006E1C1C" w:rsidP="00790990">
      <w:pPr>
        <w:pStyle w:val="ListParagraph"/>
        <w:ind w:left="1440" w:hanging="720"/>
        <w:rPr>
          <w:rFonts w:ascii="Arial" w:hAnsi="Arial" w:cs="Arial"/>
          <w:bCs/>
        </w:rPr>
      </w:pPr>
    </w:p>
    <w:p w14:paraId="725EC65B" w14:textId="4920A9FF" w:rsidR="006E1C1C" w:rsidRPr="00161848" w:rsidRDefault="00ED7618" w:rsidP="00C257B7">
      <w:pPr>
        <w:pStyle w:val="ListParagraph"/>
        <w:numPr>
          <w:ilvl w:val="0"/>
          <w:numId w:val="7"/>
        </w:numPr>
        <w:ind w:hanging="720"/>
        <w:contextualSpacing/>
        <w:jc w:val="both"/>
        <w:rPr>
          <w:rFonts w:ascii="Arial" w:hAnsi="Arial" w:cs="Arial"/>
          <w:bCs/>
        </w:rPr>
      </w:pPr>
      <w:r w:rsidRPr="00161848">
        <w:rPr>
          <w:rFonts w:ascii="Arial" w:hAnsi="Arial" w:cs="Arial"/>
          <w:bCs/>
          <w:sz w:val="22"/>
          <w:szCs w:val="22"/>
        </w:rPr>
        <w:t>Effect</w:t>
      </w:r>
      <w:r w:rsidRPr="00161848">
        <w:rPr>
          <w:rFonts w:ascii="Arial" w:eastAsia="Calibri" w:hAnsi="Arial" w:cs="Arial"/>
          <w:bCs/>
          <w:sz w:val="22"/>
          <w:szCs w:val="22"/>
        </w:rPr>
        <w:t xml:space="preserve"> the necessary adjusting entries that will correct the </w:t>
      </w:r>
      <w:r w:rsidRPr="00161848">
        <w:rPr>
          <w:rFonts w:ascii="Arial" w:hAnsi="Arial" w:cs="Arial"/>
          <w:bCs/>
          <w:sz w:val="22"/>
          <w:szCs w:val="22"/>
        </w:rPr>
        <w:t>P1.550</w:t>
      </w:r>
      <w:r w:rsidRPr="00161848">
        <w:rPr>
          <w:rFonts w:ascii="Arial" w:eastAsia="Calibri" w:hAnsi="Arial" w:cs="Arial"/>
          <w:bCs/>
          <w:sz w:val="22"/>
          <w:szCs w:val="22"/>
        </w:rPr>
        <w:t xml:space="preserve"> million overstatement of the Cash and Cash Equivalents and Accounts Payable accounts as of December 31, 2019 brought about by the erroneous entry reverting back to cash the issued checks that were already cleared by the concerned depository banks at year-end</w:t>
      </w:r>
      <w:r w:rsidR="006E1C1C" w:rsidRPr="00161848">
        <w:rPr>
          <w:rFonts w:ascii="Arial" w:eastAsia="Calibri" w:hAnsi="Arial" w:cs="Arial"/>
          <w:bCs/>
          <w:sz w:val="22"/>
          <w:szCs w:val="22"/>
        </w:rPr>
        <w:t>; and</w:t>
      </w:r>
    </w:p>
    <w:p w14:paraId="05A0585E" w14:textId="77777777" w:rsidR="006E1C1C" w:rsidRPr="001D27E4" w:rsidRDefault="006E1C1C" w:rsidP="00790990">
      <w:pPr>
        <w:pStyle w:val="ListParagraph"/>
        <w:ind w:left="1440" w:hanging="720"/>
        <w:rPr>
          <w:rFonts w:ascii="Arial" w:hAnsi="Arial" w:cs="Arial"/>
          <w:bCs/>
        </w:rPr>
      </w:pPr>
    </w:p>
    <w:p w14:paraId="52EA67E3" w14:textId="2C083DDD" w:rsidR="006E1C1C" w:rsidRPr="00161848" w:rsidRDefault="00ED7618" w:rsidP="00C257B7">
      <w:pPr>
        <w:pStyle w:val="ListParagraph"/>
        <w:numPr>
          <w:ilvl w:val="0"/>
          <w:numId w:val="7"/>
        </w:numPr>
        <w:ind w:hanging="720"/>
        <w:contextualSpacing/>
        <w:jc w:val="both"/>
        <w:rPr>
          <w:rFonts w:ascii="Arial" w:hAnsi="Arial" w:cs="Arial"/>
          <w:bCs/>
        </w:rPr>
      </w:pPr>
      <w:r w:rsidRPr="00161848">
        <w:rPr>
          <w:rFonts w:ascii="Arial" w:hAnsi="Arial" w:cs="Arial"/>
          <w:bCs/>
          <w:sz w:val="22"/>
          <w:szCs w:val="22"/>
        </w:rPr>
        <w:t>Ensure the timely preparation of monthly BRSs for all the bank accounts of the PCSO to facilitate prompt reconciliation of discrepancies</w:t>
      </w:r>
      <w:r w:rsidR="006E1C1C" w:rsidRPr="00161848">
        <w:rPr>
          <w:rFonts w:ascii="Arial" w:hAnsi="Arial" w:cs="Arial"/>
          <w:bCs/>
          <w:sz w:val="22"/>
          <w:szCs w:val="22"/>
        </w:rPr>
        <w:t>.</w:t>
      </w:r>
    </w:p>
    <w:p w14:paraId="7E60EC32" w14:textId="77777777" w:rsidR="00C3427C" w:rsidRPr="001D27E4" w:rsidRDefault="00C3427C" w:rsidP="006E1C1C">
      <w:pPr>
        <w:contextualSpacing/>
        <w:jc w:val="both"/>
        <w:rPr>
          <w:rFonts w:ascii="Arial" w:hAnsi="Arial" w:cs="Arial"/>
          <w:bCs/>
          <w:sz w:val="32"/>
          <w:szCs w:val="32"/>
        </w:rPr>
      </w:pPr>
    </w:p>
    <w:p w14:paraId="30F3313F" w14:textId="748CAA45" w:rsidR="006E1C1C" w:rsidRPr="00161848" w:rsidRDefault="006E1C1C" w:rsidP="003663F6">
      <w:pPr>
        <w:spacing w:after="0" w:line="240" w:lineRule="auto"/>
        <w:ind w:left="720" w:hanging="720"/>
        <w:jc w:val="both"/>
        <w:rPr>
          <w:rFonts w:ascii="Arial" w:hAnsi="Arial" w:cs="Arial"/>
        </w:rPr>
      </w:pPr>
      <w:r w:rsidRPr="00161848">
        <w:rPr>
          <w:rFonts w:ascii="Arial" w:hAnsi="Arial" w:cs="Arial"/>
          <w:bCs/>
        </w:rPr>
        <w:t>4.1</w:t>
      </w:r>
      <w:r w:rsidRPr="00161848">
        <w:rPr>
          <w:rFonts w:ascii="Arial" w:hAnsi="Arial" w:cs="Arial"/>
          <w:bCs/>
        </w:rPr>
        <w:tab/>
      </w:r>
      <w:r w:rsidR="00ED7618" w:rsidRPr="00161848">
        <w:rPr>
          <w:rFonts w:ascii="Arial" w:hAnsi="Arial" w:cs="Arial"/>
        </w:rPr>
        <w:t>Direct the concerned Accounting personnel to effect the necessary adjusting entries to correct the erroneous entries made on the transition from operating lease to finance lease in accordance with PFRS 16 as well as to correct the misstatements in various accounts</w:t>
      </w:r>
      <w:r w:rsidR="00790990" w:rsidRPr="00161848">
        <w:rPr>
          <w:rFonts w:ascii="Arial" w:hAnsi="Arial" w:cs="Arial"/>
        </w:rPr>
        <w:t>.</w:t>
      </w:r>
    </w:p>
    <w:p w14:paraId="536D0BEE" w14:textId="77777777" w:rsidR="003663F6" w:rsidRPr="001D27E4" w:rsidRDefault="003663F6" w:rsidP="003663F6">
      <w:pPr>
        <w:spacing w:after="0" w:line="240" w:lineRule="auto"/>
        <w:ind w:left="720" w:hanging="720"/>
        <w:jc w:val="both"/>
        <w:rPr>
          <w:rFonts w:ascii="Arial" w:hAnsi="Arial" w:cs="Arial"/>
          <w:sz w:val="32"/>
          <w:szCs w:val="32"/>
        </w:rPr>
      </w:pPr>
    </w:p>
    <w:p w14:paraId="113C2AF9" w14:textId="637301A8" w:rsidR="00790990" w:rsidRDefault="00790990" w:rsidP="001D27E4">
      <w:pPr>
        <w:spacing w:after="0" w:line="240" w:lineRule="auto"/>
        <w:ind w:left="720" w:hanging="720"/>
        <w:jc w:val="both"/>
        <w:rPr>
          <w:rFonts w:ascii="Arial" w:hAnsi="Arial" w:cs="Arial"/>
          <w:bCs/>
        </w:rPr>
      </w:pPr>
      <w:r w:rsidRPr="00161848">
        <w:rPr>
          <w:rFonts w:ascii="Arial" w:hAnsi="Arial" w:cs="Arial"/>
        </w:rPr>
        <w:t>5.1</w:t>
      </w:r>
      <w:r w:rsidRPr="00161848">
        <w:rPr>
          <w:rFonts w:ascii="Arial" w:hAnsi="Arial" w:cs="Arial"/>
        </w:rPr>
        <w:tab/>
      </w:r>
      <w:r w:rsidRPr="00161848">
        <w:rPr>
          <w:rFonts w:ascii="Arial" w:hAnsi="Arial" w:cs="Arial"/>
          <w:bCs/>
        </w:rPr>
        <w:t>We recommended that Management:</w:t>
      </w:r>
    </w:p>
    <w:p w14:paraId="4E1382AA" w14:textId="77777777" w:rsidR="001D27E4" w:rsidRPr="001D27E4" w:rsidRDefault="001D27E4" w:rsidP="001D27E4">
      <w:pPr>
        <w:spacing w:after="0" w:line="240" w:lineRule="auto"/>
        <w:ind w:left="720" w:hanging="720"/>
        <w:jc w:val="both"/>
        <w:rPr>
          <w:rFonts w:ascii="Arial" w:hAnsi="Arial" w:cs="Arial"/>
          <w:bCs/>
          <w:sz w:val="24"/>
          <w:szCs w:val="24"/>
        </w:rPr>
      </w:pPr>
    </w:p>
    <w:p w14:paraId="408DA0F0" w14:textId="348B501F" w:rsidR="00790990" w:rsidRPr="00161848" w:rsidRDefault="00ED7618" w:rsidP="001D27E4">
      <w:pPr>
        <w:pStyle w:val="ListParagraph"/>
        <w:numPr>
          <w:ilvl w:val="0"/>
          <w:numId w:val="9"/>
        </w:numPr>
        <w:ind w:hanging="720"/>
        <w:jc w:val="both"/>
        <w:rPr>
          <w:rFonts w:ascii="Arial" w:hAnsi="Arial" w:cs="Arial"/>
        </w:rPr>
      </w:pPr>
      <w:r w:rsidRPr="00161848">
        <w:rPr>
          <w:rFonts w:ascii="Arial" w:hAnsi="Arial" w:cs="Arial"/>
          <w:sz w:val="22"/>
          <w:szCs w:val="22"/>
        </w:rPr>
        <w:t>Direct the concerned Accounting personnel to: (i) conduct an immediate thorough evaluation of the AR sub-accounts with abnormal balances totaling P681.735 million; (ii) undertake closer coordination with the concerned Branch officials and employees in order to determine the specific cause/s thereof, and thereafter, effect the necessary adjusting entries to bring the accounts to their normal balances; and (iii)</w:t>
      </w:r>
      <w:r w:rsidRPr="00161848">
        <w:rPr>
          <w:rFonts w:ascii="Arial" w:hAnsi="Arial" w:cs="Arial"/>
          <w:sz w:val="22"/>
          <w:szCs w:val="22"/>
          <w:lang w:eastAsia="ar-SA"/>
        </w:rPr>
        <w:t xml:space="preserve"> submit to the Audit Team the complete supporting schedules, subsidiary ledgers and aging schedules for the AR sub-accounts in the total amount of P72.089 million, pursuant to the provisions of PD No. 1445 and </w:t>
      </w:r>
      <w:r w:rsidRPr="00161848">
        <w:rPr>
          <w:rFonts w:ascii="Arial" w:hAnsi="Arial" w:cs="Arial"/>
          <w:sz w:val="22"/>
          <w:szCs w:val="22"/>
        </w:rPr>
        <w:t>COA Circular No. 2015-004</w:t>
      </w:r>
      <w:r w:rsidR="00790990" w:rsidRPr="00161848">
        <w:rPr>
          <w:rFonts w:ascii="Arial" w:hAnsi="Arial" w:cs="Arial"/>
          <w:sz w:val="22"/>
          <w:szCs w:val="22"/>
        </w:rPr>
        <w:t>;</w:t>
      </w:r>
      <w:r w:rsidRPr="00161848">
        <w:rPr>
          <w:rFonts w:ascii="Arial" w:hAnsi="Arial" w:cs="Arial"/>
          <w:sz w:val="22"/>
          <w:szCs w:val="22"/>
        </w:rPr>
        <w:t xml:space="preserve"> and</w:t>
      </w:r>
    </w:p>
    <w:p w14:paraId="45D0B3E2" w14:textId="77777777" w:rsidR="00790990" w:rsidRPr="00D24631" w:rsidRDefault="00790990" w:rsidP="00790990">
      <w:pPr>
        <w:pStyle w:val="ListParagraph"/>
        <w:ind w:left="1440"/>
        <w:jc w:val="both"/>
        <w:rPr>
          <w:rFonts w:ascii="Arial" w:hAnsi="Arial" w:cs="Arial"/>
          <w:sz w:val="18"/>
          <w:szCs w:val="18"/>
        </w:rPr>
      </w:pPr>
    </w:p>
    <w:p w14:paraId="0C0289AF" w14:textId="657B2B66" w:rsidR="00790990" w:rsidRPr="0080332D" w:rsidRDefault="0080332D" w:rsidP="00C257B7">
      <w:pPr>
        <w:pStyle w:val="ListParagraph"/>
        <w:numPr>
          <w:ilvl w:val="0"/>
          <w:numId w:val="9"/>
        </w:numPr>
        <w:ind w:hanging="720"/>
        <w:jc w:val="both"/>
        <w:rPr>
          <w:rFonts w:ascii="Arial" w:hAnsi="Arial" w:cs="Arial"/>
        </w:rPr>
      </w:pPr>
      <w:r w:rsidRPr="0080332D">
        <w:rPr>
          <w:rFonts w:ascii="Arial" w:hAnsi="Arial" w:cs="Arial"/>
          <w:bCs/>
          <w:sz w:val="22"/>
          <w:szCs w:val="22"/>
          <w:lang w:val="en-PH" w:eastAsia="ar-SA"/>
        </w:rPr>
        <w:t>Direct the ABD and the BOS to: (i) conduct thorough analysis of the outstanding receivables due from each agent/debtor and reconcile their records in order to determine the causes of the P466.230 million variance between the balance per GL and the aging schedule of the subject receivables; and (ii) effect the necessary adjusting entries thereafter to ensure that the balance of the AR account presented in the financial statements faithfully represents the effects of transactions on the said account and properly supported with reliable financial records</w:t>
      </w:r>
      <w:r w:rsidR="00ED7618" w:rsidRPr="0080332D">
        <w:rPr>
          <w:rFonts w:ascii="Arial" w:hAnsi="Arial" w:cs="Arial"/>
          <w:sz w:val="22"/>
          <w:szCs w:val="22"/>
          <w:lang w:val="en-PH" w:eastAsia="ar-SA"/>
        </w:rPr>
        <w:t>.</w:t>
      </w:r>
    </w:p>
    <w:p w14:paraId="75052F5C" w14:textId="77777777" w:rsidR="00BB15D3" w:rsidRPr="00D24631" w:rsidRDefault="00BB15D3" w:rsidP="00575083">
      <w:pPr>
        <w:spacing w:after="0" w:line="240" w:lineRule="auto"/>
        <w:ind w:left="720" w:hanging="720"/>
        <w:contextualSpacing/>
        <w:jc w:val="both"/>
        <w:rPr>
          <w:rFonts w:ascii="Arial" w:hAnsi="Arial" w:cs="Arial"/>
          <w:bCs/>
          <w:sz w:val="18"/>
          <w:szCs w:val="18"/>
        </w:rPr>
      </w:pPr>
    </w:p>
    <w:p w14:paraId="62F6E491" w14:textId="77777777" w:rsidR="002F26E0" w:rsidRPr="00161848" w:rsidRDefault="002F26E0" w:rsidP="00575083">
      <w:pPr>
        <w:pStyle w:val="NoSpacing"/>
        <w:jc w:val="both"/>
        <w:rPr>
          <w:rFonts w:ascii="Arial" w:eastAsia="Times New Roman" w:hAnsi="Arial" w:cs="Arial"/>
          <w:sz w:val="22"/>
          <w:szCs w:val="22"/>
        </w:rPr>
      </w:pPr>
      <w:r w:rsidRPr="00161848">
        <w:rPr>
          <w:rFonts w:ascii="Arial" w:eastAsia="Times New Roman" w:hAnsi="Arial" w:cs="Arial"/>
          <w:sz w:val="22"/>
          <w:szCs w:val="22"/>
        </w:rPr>
        <w:t>The other significant audit observations and recommendations that need immediate action are as follows:</w:t>
      </w:r>
    </w:p>
    <w:p w14:paraId="34AB6A2A" w14:textId="77777777" w:rsidR="002F26E0" w:rsidRPr="00161848" w:rsidRDefault="00CE1C18" w:rsidP="00575083">
      <w:pPr>
        <w:pStyle w:val="ListParagraph"/>
        <w:ind w:left="0"/>
        <w:contextualSpacing/>
        <w:jc w:val="both"/>
        <w:rPr>
          <w:rFonts w:ascii="Arial" w:hAnsi="Arial" w:cs="Arial"/>
          <w:b/>
          <w:sz w:val="22"/>
          <w:szCs w:val="22"/>
        </w:rPr>
      </w:pPr>
      <w:r w:rsidRPr="00161848">
        <w:rPr>
          <w:rFonts w:ascii="Arial" w:hAnsi="Arial" w:cs="Arial"/>
          <w:b/>
          <w:sz w:val="22"/>
          <w:szCs w:val="22"/>
        </w:rPr>
        <w:t xml:space="preserve">                                                  </w:t>
      </w:r>
    </w:p>
    <w:p w14:paraId="587C83A8" w14:textId="356FC902" w:rsidR="000D7BC1" w:rsidRPr="00161848" w:rsidRDefault="00DB67BE" w:rsidP="00C257B7">
      <w:pPr>
        <w:pStyle w:val="ListParagraph"/>
        <w:numPr>
          <w:ilvl w:val="0"/>
          <w:numId w:val="2"/>
        </w:numPr>
        <w:ind w:left="720" w:hanging="720"/>
        <w:jc w:val="both"/>
        <w:rPr>
          <w:rFonts w:ascii="Arial" w:hAnsi="Arial" w:cs="Arial"/>
          <w:bCs/>
          <w:sz w:val="22"/>
          <w:szCs w:val="22"/>
        </w:rPr>
      </w:pPr>
      <w:r w:rsidRPr="00161848">
        <w:rPr>
          <w:rFonts w:ascii="Arial" w:hAnsi="Arial" w:cs="Arial"/>
          <w:bCs/>
          <w:sz w:val="22"/>
          <w:szCs w:val="22"/>
        </w:rPr>
        <w:t xml:space="preserve">The faithful representation in the financial statements as of December 31, 2019 of the </w:t>
      </w:r>
      <w:r w:rsidRPr="00161848">
        <w:rPr>
          <w:rFonts w:ascii="Arial" w:eastAsia="STXihei" w:hAnsi="Arial" w:cs="Arial"/>
          <w:bCs/>
          <w:sz w:val="22"/>
          <w:szCs w:val="22"/>
        </w:rPr>
        <w:t xml:space="preserve">Prize Fund expenses-STL account totaling </w:t>
      </w:r>
      <w:r w:rsidRPr="00161848">
        <w:rPr>
          <w:rFonts w:ascii="Arial" w:hAnsi="Arial" w:cs="Arial"/>
          <w:bCs/>
          <w:sz w:val="22"/>
          <w:szCs w:val="22"/>
        </w:rPr>
        <w:t>P622.393 million</w:t>
      </w:r>
      <w:r w:rsidRPr="00161848">
        <w:rPr>
          <w:rFonts w:ascii="Arial" w:eastAsia="STXihei" w:hAnsi="Arial" w:cs="Arial"/>
          <w:bCs/>
          <w:sz w:val="22"/>
          <w:szCs w:val="22"/>
        </w:rPr>
        <w:t xml:space="preserve"> could not be established due to the non-submission of the summary of all prizes and winnings paid and charged to prize fund together with all the other related reports, as required under Section 18 (g) of the 2019 Revised Implementing Rules and Regulations (RIRR) for the STL</w:t>
      </w:r>
      <w:r w:rsidR="000D7BC1" w:rsidRPr="00161848">
        <w:rPr>
          <w:rFonts w:ascii="Arial" w:eastAsia="STXihei" w:hAnsi="Arial" w:cs="Arial"/>
          <w:bCs/>
          <w:sz w:val="22"/>
          <w:szCs w:val="22"/>
          <w:lang w:val="en-PH"/>
        </w:rPr>
        <w:t>.</w:t>
      </w:r>
    </w:p>
    <w:p w14:paraId="31871C03" w14:textId="77777777" w:rsidR="000D7BC1" w:rsidRPr="00D24631" w:rsidRDefault="000D7BC1" w:rsidP="000D7BC1">
      <w:pPr>
        <w:pStyle w:val="ListParagraph"/>
        <w:jc w:val="both"/>
        <w:rPr>
          <w:rFonts w:ascii="Arial" w:hAnsi="Arial" w:cs="Arial"/>
          <w:bCs/>
          <w:sz w:val="18"/>
          <w:szCs w:val="18"/>
        </w:rPr>
      </w:pPr>
    </w:p>
    <w:p w14:paraId="7162739E" w14:textId="648F491A" w:rsidR="000D7BC1" w:rsidRPr="00161848" w:rsidRDefault="002014B2" w:rsidP="002837A9">
      <w:pPr>
        <w:spacing w:after="0" w:line="240" w:lineRule="auto"/>
        <w:ind w:left="720" w:hanging="720"/>
        <w:jc w:val="both"/>
        <w:rPr>
          <w:rFonts w:ascii="Arial" w:eastAsia="STXihei" w:hAnsi="Arial" w:cs="Arial"/>
        </w:rPr>
      </w:pPr>
      <w:r w:rsidRPr="00161848">
        <w:rPr>
          <w:rFonts w:ascii="Arial" w:hAnsi="Arial" w:cs="Arial"/>
          <w:bCs/>
        </w:rPr>
        <w:t>6</w:t>
      </w:r>
      <w:r w:rsidR="000D7BC1" w:rsidRPr="00161848">
        <w:rPr>
          <w:rFonts w:ascii="Arial" w:hAnsi="Arial" w:cs="Arial"/>
          <w:bCs/>
        </w:rPr>
        <w:t>.1</w:t>
      </w:r>
      <w:r w:rsidR="000D7BC1" w:rsidRPr="00161848">
        <w:rPr>
          <w:rFonts w:ascii="Arial" w:hAnsi="Arial" w:cs="Arial"/>
          <w:bCs/>
        </w:rPr>
        <w:tab/>
      </w:r>
      <w:r w:rsidR="00C65464" w:rsidRPr="00161848">
        <w:rPr>
          <w:rFonts w:ascii="Arial" w:eastAsia="STXihei" w:hAnsi="Arial" w:cs="Arial"/>
        </w:rPr>
        <w:t xml:space="preserve">We recommended that Management: (a) require the AACs to submit the reports on the utilization of the STL Prize Fund enumerated under Section 18 (g) of the RIRR for the STL, copy furnished the Office of the Auditor; and (b) ensure that recognition of prize fund expenses in the books of accounts </w:t>
      </w:r>
      <w:r w:rsidR="00CE1337">
        <w:rPr>
          <w:rFonts w:ascii="Arial" w:eastAsia="STXihei" w:hAnsi="Arial" w:cs="Arial"/>
        </w:rPr>
        <w:t>is</w:t>
      </w:r>
      <w:r w:rsidR="00C65464" w:rsidRPr="00161848">
        <w:rPr>
          <w:rFonts w:ascii="Arial" w:eastAsia="STXihei" w:hAnsi="Arial" w:cs="Arial"/>
        </w:rPr>
        <w:t xml:space="preserve"> supported by valid documents</w:t>
      </w:r>
      <w:r w:rsidR="000D7BC1" w:rsidRPr="00161848">
        <w:rPr>
          <w:rFonts w:ascii="Arial" w:eastAsia="STXihei" w:hAnsi="Arial" w:cs="Arial"/>
        </w:rPr>
        <w:t>.</w:t>
      </w:r>
    </w:p>
    <w:p w14:paraId="09A41FFA" w14:textId="77777777" w:rsidR="002837A9" w:rsidRPr="00D24631" w:rsidRDefault="002837A9" w:rsidP="002837A9">
      <w:pPr>
        <w:spacing w:after="0" w:line="240" w:lineRule="auto"/>
        <w:ind w:left="720" w:hanging="720"/>
        <w:jc w:val="both"/>
        <w:rPr>
          <w:rFonts w:ascii="Arial" w:hAnsi="Arial" w:cs="Arial"/>
          <w:sz w:val="18"/>
          <w:szCs w:val="18"/>
        </w:rPr>
      </w:pPr>
    </w:p>
    <w:p w14:paraId="54492E3A" w14:textId="3611A215" w:rsidR="0053360E" w:rsidRPr="00161848" w:rsidRDefault="00C65464" w:rsidP="00C257B7">
      <w:pPr>
        <w:pStyle w:val="ListParagraph"/>
        <w:numPr>
          <w:ilvl w:val="0"/>
          <w:numId w:val="2"/>
        </w:numPr>
        <w:ind w:left="720" w:hanging="720"/>
        <w:jc w:val="both"/>
        <w:rPr>
          <w:rFonts w:ascii="Arial" w:hAnsi="Arial" w:cs="Arial"/>
          <w:bCs/>
          <w:sz w:val="22"/>
          <w:szCs w:val="22"/>
        </w:rPr>
      </w:pPr>
      <w:r w:rsidRPr="00161848">
        <w:rPr>
          <w:rFonts w:ascii="Arial" w:hAnsi="Arial" w:cs="Arial"/>
          <w:bCs/>
          <w:sz w:val="22"/>
          <w:szCs w:val="22"/>
        </w:rPr>
        <w:t xml:space="preserve">Absence of provisions in the 2019 Revised Implementing Rules and Regulations (RIRR) for the Small Town Lottery (STL) and the 2017 RIRR for the Instant Sweepstakes of the PCSO </w:t>
      </w:r>
      <w:r w:rsidRPr="00161848">
        <w:rPr>
          <w:rFonts w:ascii="Arial" w:hAnsi="Arial" w:cs="Arial"/>
          <w:bCs/>
          <w:sz w:val="22"/>
          <w:szCs w:val="22"/>
          <w:lang w:val="en-PH"/>
        </w:rPr>
        <w:t xml:space="preserve">on the proper accounting and monitoring of the allocation for printing costs retained by the </w:t>
      </w:r>
      <w:r w:rsidRPr="00161848">
        <w:rPr>
          <w:rFonts w:ascii="Arial" w:hAnsi="Arial" w:cs="Arial"/>
          <w:bCs/>
          <w:sz w:val="22"/>
          <w:szCs w:val="22"/>
        </w:rPr>
        <w:t>Authorized Agent Corporations</w:t>
      </w:r>
      <w:r w:rsidRPr="00161848">
        <w:rPr>
          <w:rFonts w:ascii="Arial" w:hAnsi="Arial" w:cs="Arial"/>
          <w:bCs/>
          <w:sz w:val="22"/>
          <w:szCs w:val="22"/>
          <w:lang w:val="en-PH"/>
        </w:rPr>
        <w:t xml:space="preserve"> (AACs) and the </w:t>
      </w:r>
      <w:r w:rsidRPr="00161848">
        <w:rPr>
          <w:rFonts w:ascii="Arial" w:hAnsi="Arial" w:cs="Arial"/>
          <w:bCs/>
          <w:sz w:val="22"/>
          <w:szCs w:val="22"/>
        </w:rPr>
        <w:t>Instant Sweepstakes Authorized Corporation</w:t>
      </w:r>
      <w:r w:rsidRPr="00161848">
        <w:rPr>
          <w:rFonts w:ascii="Arial" w:hAnsi="Arial" w:cs="Arial"/>
          <w:bCs/>
          <w:sz w:val="22"/>
          <w:szCs w:val="22"/>
          <w:lang w:val="en-PH"/>
        </w:rPr>
        <w:t xml:space="preserve"> (ISAC) in the total amount of  </w:t>
      </w:r>
      <w:r w:rsidRPr="00161848">
        <w:rPr>
          <w:rFonts w:ascii="Arial" w:hAnsi="Arial" w:cs="Arial"/>
          <w:bCs/>
          <w:sz w:val="22"/>
          <w:szCs w:val="22"/>
        </w:rPr>
        <w:t>P197.284 million during CY 2019</w:t>
      </w:r>
      <w:r w:rsidRPr="00161848">
        <w:rPr>
          <w:rFonts w:ascii="Arial" w:hAnsi="Arial" w:cs="Arial"/>
          <w:bCs/>
          <w:sz w:val="22"/>
          <w:szCs w:val="22"/>
          <w:lang w:val="en-PH"/>
        </w:rPr>
        <w:t xml:space="preserve"> resulted in apparent absence of internal </w:t>
      </w:r>
      <w:r w:rsidRPr="00161848">
        <w:rPr>
          <w:rFonts w:ascii="Arial" w:hAnsi="Arial" w:cs="Arial"/>
          <w:bCs/>
          <w:sz w:val="22"/>
          <w:szCs w:val="22"/>
        </w:rPr>
        <w:t>control system that will ensure that government funds are safeguarded against loss or wastage through illegal or improper disposition, contrary to Section 2 of Presidential Decree (PD) No. 1445</w:t>
      </w:r>
      <w:r w:rsidR="0053360E" w:rsidRPr="00161848">
        <w:rPr>
          <w:rFonts w:ascii="Arial" w:hAnsi="Arial" w:cs="Arial"/>
          <w:bCs/>
          <w:sz w:val="22"/>
          <w:szCs w:val="22"/>
        </w:rPr>
        <w:t>.</w:t>
      </w:r>
    </w:p>
    <w:p w14:paraId="5488C135" w14:textId="6A2BCFFE" w:rsidR="006E19FD" w:rsidRPr="00D24631" w:rsidRDefault="006E19FD" w:rsidP="006E19FD">
      <w:pPr>
        <w:spacing w:after="0" w:line="240" w:lineRule="auto"/>
        <w:jc w:val="both"/>
        <w:rPr>
          <w:rFonts w:ascii="Arial" w:hAnsi="Arial" w:cs="Arial"/>
          <w:bCs/>
          <w:sz w:val="18"/>
          <w:szCs w:val="18"/>
        </w:rPr>
      </w:pPr>
    </w:p>
    <w:p w14:paraId="2DD74520" w14:textId="50CA5A09" w:rsidR="006E19FD" w:rsidRDefault="00C65464" w:rsidP="00D24631">
      <w:pPr>
        <w:spacing w:after="0" w:line="240" w:lineRule="auto"/>
        <w:ind w:left="720" w:hanging="720"/>
        <w:jc w:val="both"/>
        <w:rPr>
          <w:rFonts w:ascii="Arial" w:hAnsi="Arial" w:cs="Arial"/>
          <w:bCs/>
        </w:rPr>
      </w:pPr>
      <w:r w:rsidRPr="00161848">
        <w:rPr>
          <w:rFonts w:ascii="Arial" w:hAnsi="Arial" w:cs="Arial"/>
          <w:bCs/>
        </w:rPr>
        <w:t>7.1</w:t>
      </w:r>
      <w:r w:rsidRPr="00161848">
        <w:rPr>
          <w:rFonts w:ascii="Arial" w:hAnsi="Arial" w:cs="Arial"/>
          <w:bCs/>
        </w:rPr>
        <w:tab/>
        <w:t>We recommended that Management:</w:t>
      </w:r>
    </w:p>
    <w:p w14:paraId="7DECF5BD" w14:textId="77777777" w:rsidR="00D24631" w:rsidRPr="00D24631" w:rsidRDefault="00D24631" w:rsidP="00D24631">
      <w:pPr>
        <w:spacing w:after="0" w:line="240" w:lineRule="auto"/>
        <w:ind w:left="720" w:hanging="720"/>
        <w:jc w:val="both"/>
        <w:rPr>
          <w:rFonts w:ascii="Arial" w:hAnsi="Arial" w:cs="Arial"/>
          <w:bCs/>
          <w:sz w:val="18"/>
          <w:szCs w:val="18"/>
        </w:rPr>
      </w:pPr>
    </w:p>
    <w:p w14:paraId="7BD248B1" w14:textId="00634D07" w:rsidR="00C65464" w:rsidRPr="00161848" w:rsidRDefault="00C65464" w:rsidP="00D24631">
      <w:pPr>
        <w:pStyle w:val="ListParagraph"/>
        <w:numPr>
          <w:ilvl w:val="0"/>
          <w:numId w:val="10"/>
        </w:numPr>
        <w:ind w:left="1440" w:hanging="720"/>
        <w:jc w:val="both"/>
        <w:rPr>
          <w:bCs/>
        </w:rPr>
      </w:pPr>
      <w:r w:rsidRPr="00161848">
        <w:rPr>
          <w:rFonts w:ascii="Arial" w:hAnsi="Arial" w:cs="Arial"/>
          <w:bCs/>
          <w:sz w:val="22"/>
          <w:szCs w:val="22"/>
        </w:rPr>
        <w:t>Revisit the 2019 RIRR for the STL and the 2017 RIRR for the Instant Sweepstakes and consider amending certain provisions relating to the printing costs of STL and Instant Sweepstakes tickets to include guidelines on the proper accounting, reporting and monitoring thereof; and</w:t>
      </w:r>
    </w:p>
    <w:p w14:paraId="7C8EA2D6" w14:textId="77777777" w:rsidR="00C65464" w:rsidRPr="00D24631" w:rsidRDefault="00C65464" w:rsidP="00D24631">
      <w:pPr>
        <w:pStyle w:val="ListParagraph"/>
        <w:ind w:left="1440"/>
        <w:jc w:val="both"/>
        <w:rPr>
          <w:bCs/>
          <w:sz w:val="18"/>
          <w:szCs w:val="18"/>
        </w:rPr>
      </w:pPr>
    </w:p>
    <w:p w14:paraId="66D7D069" w14:textId="105382DD" w:rsidR="00C65464" w:rsidRPr="00161848" w:rsidRDefault="00C65464" w:rsidP="00D24631">
      <w:pPr>
        <w:pStyle w:val="ListParagraph"/>
        <w:numPr>
          <w:ilvl w:val="0"/>
          <w:numId w:val="10"/>
        </w:numPr>
        <w:ind w:left="1440" w:hanging="720"/>
        <w:jc w:val="both"/>
        <w:rPr>
          <w:bCs/>
        </w:rPr>
      </w:pPr>
      <w:r w:rsidRPr="00161848">
        <w:rPr>
          <w:rFonts w:ascii="Arial" w:hAnsi="Arial" w:cs="Arial"/>
          <w:bCs/>
          <w:sz w:val="22"/>
          <w:szCs w:val="22"/>
        </w:rPr>
        <w:t>Require the AACs and ISAC to liquidate the amounts retained by them for the printing of STL and Sweepstakes tickets, submit the original documents to support the utilization of funds and return to PCSO any unutilized amounts.</w:t>
      </w:r>
    </w:p>
    <w:p w14:paraId="17E69EFF" w14:textId="1ED8370A" w:rsidR="008205FB" w:rsidRPr="00161848" w:rsidRDefault="008205FB" w:rsidP="00575083">
      <w:pPr>
        <w:spacing w:after="0" w:line="240" w:lineRule="auto"/>
        <w:jc w:val="both"/>
        <w:rPr>
          <w:rFonts w:ascii="Arial" w:hAnsi="Arial" w:cs="Arial"/>
        </w:rPr>
      </w:pPr>
    </w:p>
    <w:p w14:paraId="57F131D7" w14:textId="77777777" w:rsidR="00E223EE" w:rsidRPr="00161848" w:rsidRDefault="00E223EE" w:rsidP="00E223EE">
      <w:pPr>
        <w:pStyle w:val="ListParagraph"/>
        <w:numPr>
          <w:ilvl w:val="0"/>
          <w:numId w:val="2"/>
        </w:numPr>
        <w:ind w:left="720" w:hanging="720"/>
        <w:jc w:val="both"/>
        <w:rPr>
          <w:rFonts w:ascii="Arial" w:hAnsi="Arial" w:cs="Arial"/>
          <w:iCs/>
          <w:sz w:val="22"/>
          <w:szCs w:val="22"/>
        </w:rPr>
      </w:pPr>
      <w:r w:rsidRPr="00161848">
        <w:rPr>
          <w:rFonts w:ascii="Arial" w:hAnsi="Arial" w:cs="Arial"/>
          <w:sz w:val="22"/>
          <w:szCs w:val="22"/>
        </w:rPr>
        <w:t>Applicable taxes for draw allowances paid by PCSO in CY 2019 in the total amount of P182.087 million were not withheld, in violation of the National Internal Revenue Code (NIRC) of the Philippines and depriving the National Government of additional revenue.</w:t>
      </w:r>
    </w:p>
    <w:p w14:paraId="67C42FE8" w14:textId="2ABEC472" w:rsidR="00E223EE" w:rsidRPr="00161848" w:rsidRDefault="00E223EE" w:rsidP="00575083">
      <w:pPr>
        <w:spacing w:after="0" w:line="240" w:lineRule="auto"/>
        <w:jc w:val="both"/>
        <w:rPr>
          <w:rFonts w:ascii="Arial" w:hAnsi="Arial" w:cs="Arial"/>
        </w:rPr>
      </w:pPr>
    </w:p>
    <w:p w14:paraId="6E14A00F" w14:textId="36C62D80" w:rsidR="00E223EE" w:rsidRPr="00161848" w:rsidRDefault="00E223EE" w:rsidP="00E223EE">
      <w:pPr>
        <w:pStyle w:val="ListParagraph"/>
        <w:numPr>
          <w:ilvl w:val="1"/>
          <w:numId w:val="2"/>
        </w:numPr>
        <w:ind w:left="709" w:hanging="709"/>
        <w:jc w:val="both"/>
        <w:rPr>
          <w:rFonts w:ascii="Arial" w:hAnsi="Arial" w:cs="Arial"/>
          <w:iCs/>
          <w:sz w:val="22"/>
          <w:szCs w:val="22"/>
        </w:rPr>
      </w:pPr>
      <w:r w:rsidRPr="00161848">
        <w:rPr>
          <w:rFonts w:ascii="Arial" w:eastAsia="Calibri" w:hAnsi="Arial" w:cs="Arial"/>
          <w:sz w:val="22"/>
          <w:szCs w:val="22"/>
        </w:rPr>
        <w:t>We reiterated our prior year’s recommendation that Management ensure compliance with Section 251 of the NIRC of 1997, as amended by RA No. 10963, and direct the concerned officials to cause the withholding of the applicable taxes from the draw allowances being paid to the concerned PCSO officials and employees and other individuals and to remit the same to the BIR.</w:t>
      </w:r>
    </w:p>
    <w:p w14:paraId="738306C7" w14:textId="77777777" w:rsidR="00E223EE" w:rsidRPr="00161848" w:rsidRDefault="00E223EE" w:rsidP="00575083">
      <w:pPr>
        <w:spacing w:after="0" w:line="240" w:lineRule="auto"/>
        <w:jc w:val="both"/>
        <w:rPr>
          <w:rFonts w:ascii="Arial" w:hAnsi="Arial" w:cs="Arial"/>
        </w:rPr>
      </w:pPr>
    </w:p>
    <w:p w14:paraId="056E4F98" w14:textId="77777777" w:rsidR="00BB15D3" w:rsidRPr="00161848" w:rsidRDefault="00BB15D3" w:rsidP="00575083">
      <w:pPr>
        <w:spacing w:after="0" w:line="240" w:lineRule="auto"/>
        <w:jc w:val="both"/>
        <w:rPr>
          <w:rFonts w:ascii="Arial" w:hAnsi="Arial" w:cs="Arial"/>
          <w:iCs/>
        </w:rPr>
      </w:pPr>
    </w:p>
    <w:p w14:paraId="73F01B1C" w14:textId="77777777" w:rsidR="002F26E0" w:rsidRPr="00161848" w:rsidRDefault="002F26E0" w:rsidP="00575083">
      <w:pPr>
        <w:pStyle w:val="ListParagraph"/>
        <w:ind w:left="0"/>
        <w:contextualSpacing/>
        <w:jc w:val="both"/>
        <w:rPr>
          <w:rFonts w:ascii="Arial" w:hAnsi="Arial" w:cs="Arial"/>
          <w:b/>
          <w:sz w:val="22"/>
          <w:szCs w:val="22"/>
        </w:rPr>
      </w:pPr>
      <w:r w:rsidRPr="00161848">
        <w:rPr>
          <w:rFonts w:ascii="Arial" w:hAnsi="Arial" w:cs="Arial"/>
          <w:b/>
          <w:sz w:val="22"/>
          <w:szCs w:val="22"/>
        </w:rPr>
        <w:t xml:space="preserve">SUMMARY OF TOTAL SUSPENSIONS, DISALLOWANCES AND CHARGES </w:t>
      </w:r>
    </w:p>
    <w:p w14:paraId="5D4CF768" w14:textId="77777777" w:rsidR="002F26E0" w:rsidRPr="00161848" w:rsidRDefault="002F26E0" w:rsidP="00575083">
      <w:pPr>
        <w:pStyle w:val="ListParagraph"/>
        <w:ind w:left="0"/>
        <w:contextualSpacing/>
        <w:jc w:val="both"/>
        <w:rPr>
          <w:rFonts w:ascii="Arial" w:hAnsi="Arial" w:cs="Arial"/>
          <w:b/>
          <w:sz w:val="22"/>
          <w:szCs w:val="22"/>
        </w:rPr>
      </w:pPr>
    </w:p>
    <w:p w14:paraId="6CBC42E5" w14:textId="77777777" w:rsidR="002F26E0" w:rsidRPr="00161848" w:rsidRDefault="002F26E0" w:rsidP="00575083">
      <w:pPr>
        <w:spacing w:after="0" w:line="240" w:lineRule="auto"/>
        <w:jc w:val="both"/>
        <w:rPr>
          <w:rFonts w:ascii="Arial" w:eastAsia="Arial" w:hAnsi="Arial" w:cs="Arial"/>
        </w:rPr>
      </w:pPr>
      <w:r w:rsidRPr="00161848">
        <w:rPr>
          <w:rFonts w:ascii="Arial" w:eastAsia="Arial" w:hAnsi="Arial" w:cs="Arial"/>
        </w:rPr>
        <w:t>As of December 31, 201</w:t>
      </w:r>
      <w:r w:rsidR="00BB15D3" w:rsidRPr="00161848">
        <w:rPr>
          <w:rFonts w:ascii="Arial" w:eastAsia="Arial" w:hAnsi="Arial" w:cs="Arial"/>
        </w:rPr>
        <w:t>9</w:t>
      </w:r>
      <w:r w:rsidRPr="00161848">
        <w:rPr>
          <w:rFonts w:ascii="Arial" w:eastAsia="Arial" w:hAnsi="Arial" w:cs="Arial"/>
        </w:rPr>
        <w:t>, the unsettled audit suspension</w:t>
      </w:r>
      <w:r w:rsidR="00BB15D3" w:rsidRPr="00161848">
        <w:rPr>
          <w:rFonts w:ascii="Arial" w:eastAsia="Arial" w:hAnsi="Arial" w:cs="Arial"/>
        </w:rPr>
        <w:t>s</w:t>
      </w:r>
      <w:r w:rsidRPr="00161848">
        <w:rPr>
          <w:rFonts w:ascii="Arial" w:eastAsia="Arial" w:hAnsi="Arial" w:cs="Arial"/>
        </w:rPr>
        <w:t xml:space="preserve"> and disallowances amounted to </w:t>
      </w:r>
      <w:r w:rsidR="00F77DE0" w:rsidRPr="00161848">
        <w:rPr>
          <w:rFonts w:ascii="Arial" w:eastAsia="Arial" w:hAnsi="Arial" w:cs="Arial"/>
        </w:rPr>
        <w:t>P37.999</w:t>
      </w:r>
      <w:r w:rsidRPr="00161848">
        <w:rPr>
          <w:rFonts w:ascii="Arial" w:eastAsia="Arial" w:hAnsi="Arial" w:cs="Arial"/>
        </w:rPr>
        <w:t xml:space="preserve"> million and</w:t>
      </w:r>
      <w:r w:rsidR="00BB15D3" w:rsidRPr="00161848">
        <w:rPr>
          <w:rFonts w:ascii="Arial" w:eastAsia="Arial" w:hAnsi="Arial" w:cs="Arial"/>
        </w:rPr>
        <w:t xml:space="preserve"> </w:t>
      </w:r>
      <w:r w:rsidRPr="00161848">
        <w:rPr>
          <w:rFonts w:ascii="Arial" w:eastAsia="Arial" w:hAnsi="Arial" w:cs="Arial"/>
        </w:rPr>
        <w:t>P</w:t>
      </w:r>
      <w:r w:rsidR="008205FB" w:rsidRPr="00161848">
        <w:rPr>
          <w:rFonts w:ascii="Arial" w:eastAsia="Arial" w:hAnsi="Arial" w:cs="Arial"/>
        </w:rPr>
        <w:t>2.</w:t>
      </w:r>
      <w:r w:rsidRPr="00161848">
        <w:rPr>
          <w:rFonts w:ascii="Arial" w:eastAsia="Arial" w:hAnsi="Arial" w:cs="Arial"/>
        </w:rPr>
        <w:t>0</w:t>
      </w:r>
      <w:r w:rsidR="00F77DE0" w:rsidRPr="00161848">
        <w:rPr>
          <w:rFonts w:ascii="Arial" w:eastAsia="Arial" w:hAnsi="Arial" w:cs="Arial"/>
        </w:rPr>
        <w:t>76</w:t>
      </w:r>
      <w:r w:rsidRPr="00161848">
        <w:rPr>
          <w:rFonts w:ascii="Arial" w:hAnsi="Arial" w:cs="Arial"/>
          <w:sz w:val="20"/>
          <w:szCs w:val="20"/>
          <w:lang w:val="en-US"/>
        </w:rPr>
        <w:t xml:space="preserve"> </w:t>
      </w:r>
      <w:r w:rsidR="008205FB" w:rsidRPr="00161848">
        <w:rPr>
          <w:rFonts w:ascii="Arial" w:eastAsia="Arial" w:hAnsi="Arial" w:cs="Arial"/>
        </w:rPr>
        <w:t>b</w:t>
      </w:r>
      <w:r w:rsidRPr="00161848">
        <w:rPr>
          <w:rFonts w:ascii="Arial" w:eastAsia="Arial" w:hAnsi="Arial" w:cs="Arial"/>
        </w:rPr>
        <w:t>illion, respectively. The details ar</w:t>
      </w:r>
      <w:r w:rsidR="00A50DA5" w:rsidRPr="00161848">
        <w:rPr>
          <w:rFonts w:ascii="Arial" w:eastAsia="Arial" w:hAnsi="Arial" w:cs="Arial"/>
        </w:rPr>
        <w:t xml:space="preserve">e presented in Part </w:t>
      </w:r>
      <w:r w:rsidR="008205FB" w:rsidRPr="00161848">
        <w:rPr>
          <w:rFonts w:ascii="Arial" w:eastAsia="Arial" w:hAnsi="Arial" w:cs="Arial"/>
        </w:rPr>
        <w:t>IV</w:t>
      </w:r>
      <w:r w:rsidR="009248C9" w:rsidRPr="00161848">
        <w:rPr>
          <w:rFonts w:ascii="Arial" w:eastAsia="Arial" w:hAnsi="Arial" w:cs="Arial"/>
        </w:rPr>
        <w:t>, Annex A</w:t>
      </w:r>
      <w:r w:rsidRPr="00161848">
        <w:rPr>
          <w:rFonts w:ascii="Arial" w:eastAsia="Arial" w:hAnsi="Arial" w:cs="Arial"/>
        </w:rPr>
        <w:t xml:space="preserve"> of this Report.</w:t>
      </w:r>
    </w:p>
    <w:p w14:paraId="2716AAD8" w14:textId="6C573391" w:rsidR="00CB2782" w:rsidRPr="00161848" w:rsidRDefault="00CB2782" w:rsidP="00575083">
      <w:pPr>
        <w:spacing w:after="0" w:line="240" w:lineRule="auto"/>
        <w:jc w:val="both"/>
        <w:rPr>
          <w:rFonts w:ascii="Arial" w:hAnsi="Arial" w:cs="Arial"/>
          <w:b/>
        </w:rPr>
      </w:pPr>
    </w:p>
    <w:p w14:paraId="686243AD" w14:textId="77777777" w:rsidR="0055786E" w:rsidRPr="00161848" w:rsidRDefault="0055786E" w:rsidP="00575083">
      <w:pPr>
        <w:spacing w:after="0" w:line="240" w:lineRule="auto"/>
        <w:jc w:val="both"/>
        <w:rPr>
          <w:rFonts w:ascii="Arial" w:hAnsi="Arial" w:cs="Arial"/>
          <w:b/>
        </w:rPr>
      </w:pPr>
    </w:p>
    <w:p w14:paraId="38CE8A25" w14:textId="59DA4F07" w:rsidR="002F26E0" w:rsidRPr="00161848" w:rsidRDefault="002F26E0" w:rsidP="00575083">
      <w:pPr>
        <w:spacing w:after="0" w:line="240" w:lineRule="auto"/>
        <w:jc w:val="both"/>
        <w:rPr>
          <w:rFonts w:ascii="Arial" w:hAnsi="Arial" w:cs="Arial"/>
          <w:b/>
        </w:rPr>
      </w:pPr>
      <w:r w:rsidRPr="00161848">
        <w:rPr>
          <w:rFonts w:ascii="Arial" w:hAnsi="Arial" w:cs="Arial"/>
          <w:b/>
        </w:rPr>
        <w:t>STATUS OF IMPLEMENTATION OF PRIOR YEAR’S AUDIT RECOMMENDATIONS</w:t>
      </w:r>
    </w:p>
    <w:p w14:paraId="66967AD7" w14:textId="77777777" w:rsidR="002F26E0" w:rsidRPr="00161848" w:rsidRDefault="002F26E0" w:rsidP="00575083">
      <w:pPr>
        <w:spacing w:after="0" w:line="240" w:lineRule="auto"/>
        <w:jc w:val="both"/>
        <w:rPr>
          <w:rFonts w:ascii="Arial" w:hAnsi="Arial" w:cs="Arial"/>
          <w:b/>
        </w:rPr>
      </w:pPr>
    </w:p>
    <w:p w14:paraId="35F37C4C" w14:textId="14EE2971" w:rsidR="002F26E0" w:rsidRPr="00161848" w:rsidRDefault="00410B96" w:rsidP="00575083">
      <w:pPr>
        <w:spacing w:after="0" w:line="240" w:lineRule="auto"/>
        <w:jc w:val="both"/>
        <w:rPr>
          <w:rFonts w:ascii="Arial" w:hAnsi="Arial" w:cs="Arial"/>
        </w:rPr>
      </w:pPr>
      <w:r w:rsidRPr="00161848">
        <w:rPr>
          <w:rFonts w:ascii="Arial" w:hAnsi="Arial" w:cs="Arial"/>
        </w:rPr>
        <w:t xml:space="preserve">Out of the </w:t>
      </w:r>
      <w:r w:rsidR="007C5220" w:rsidRPr="00161848">
        <w:rPr>
          <w:rFonts w:ascii="Arial" w:hAnsi="Arial" w:cs="Arial"/>
        </w:rPr>
        <w:t>33</w:t>
      </w:r>
      <w:r w:rsidRPr="00161848">
        <w:rPr>
          <w:rFonts w:ascii="Arial" w:hAnsi="Arial" w:cs="Arial"/>
        </w:rPr>
        <w:t xml:space="preserve"> audit recommendations embodied in the previous year’s Annual Audit Report, </w:t>
      </w:r>
      <w:r w:rsidR="00444202" w:rsidRPr="00161848">
        <w:rPr>
          <w:rFonts w:ascii="Arial" w:hAnsi="Arial" w:cs="Arial"/>
        </w:rPr>
        <w:t>13</w:t>
      </w:r>
      <w:r w:rsidRPr="00161848">
        <w:rPr>
          <w:rFonts w:ascii="Arial" w:hAnsi="Arial" w:cs="Arial"/>
        </w:rPr>
        <w:t xml:space="preserve"> were fully implemented, </w:t>
      </w:r>
      <w:r w:rsidR="007C5220" w:rsidRPr="00161848">
        <w:rPr>
          <w:rFonts w:ascii="Arial" w:hAnsi="Arial" w:cs="Arial"/>
        </w:rPr>
        <w:t>1</w:t>
      </w:r>
      <w:r w:rsidR="00444202" w:rsidRPr="00161848">
        <w:rPr>
          <w:rFonts w:ascii="Arial" w:hAnsi="Arial" w:cs="Arial"/>
        </w:rPr>
        <w:t>4</w:t>
      </w:r>
      <w:r w:rsidRPr="00161848">
        <w:rPr>
          <w:rFonts w:ascii="Arial" w:hAnsi="Arial" w:cs="Arial"/>
        </w:rPr>
        <w:t xml:space="preserve"> were partially implemented and </w:t>
      </w:r>
      <w:r w:rsidR="007C5220" w:rsidRPr="00161848">
        <w:rPr>
          <w:rFonts w:ascii="Arial" w:hAnsi="Arial" w:cs="Arial"/>
        </w:rPr>
        <w:t>six</w:t>
      </w:r>
      <w:r w:rsidRPr="00161848">
        <w:rPr>
          <w:rFonts w:ascii="Arial" w:hAnsi="Arial" w:cs="Arial"/>
        </w:rPr>
        <w:t xml:space="preserve"> were not implemented. Details are presented in Part III of this Report.</w:t>
      </w:r>
    </w:p>
    <w:sectPr w:rsidR="002F26E0" w:rsidRPr="00161848" w:rsidSect="000702DC">
      <w:footerReference w:type="default" r:id="rId8"/>
      <w:pgSz w:w="12240" w:h="15840" w:code="1"/>
      <w:pgMar w:top="1440" w:right="1440" w:bottom="1440" w:left="1440" w:header="720" w:footer="720" w:gutter="720"/>
      <w:pgNumType w:fmt="lowerRoman"/>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DD323C" w14:textId="77777777" w:rsidR="00F27445" w:rsidRDefault="00F27445" w:rsidP="0033594F">
      <w:pPr>
        <w:spacing w:after="0" w:line="240" w:lineRule="auto"/>
      </w:pPr>
      <w:r>
        <w:separator/>
      </w:r>
    </w:p>
  </w:endnote>
  <w:endnote w:type="continuationSeparator" w:id="0">
    <w:p w14:paraId="7D1E3EBB" w14:textId="77777777" w:rsidR="00F27445" w:rsidRDefault="00F27445" w:rsidP="003359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STXihei">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619770" w14:textId="2CE3DC54" w:rsidR="0033594F" w:rsidRPr="00407C3F" w:rsidRDefault="004D6099">
    <w:pPr>
      <w:pStyle w:val="Footer"/>
      <w:jc w:val="right"/>
      <w:rPr>
        <w:rFonts w:ascii="Arial" w:hAnsi="Arial" w:cs="Arial"/>
        <w:sz w:val="20"/>
        <w:szCs w:val="20"/>
      </w:rPr>
    </w:pPr>
    <w:r w:rsidRPr="00407C3F">
      <w:rPr>
        <w:rFonts w:ascii="Arial" w:hAnsi="Arial" w:cs="Arial"/>
        <w:sz w:val="20"/>
        <w:szCs w:val="20"/>
      </w:rPr>
      <w:fldChar w:fldCharType="begin"/>
    </w:r>
    <w:r w:rsidR="0033594F" w:rsidRPr="00407C3F">
      <w:rPr>
        <w:rFonts w:ascii="Arial" w:hAnsi="Arial" w:cs="Arial"/>
        <w:sz w:val="20"/>
        <w:szCs w:val="20"/>
      </w:rPr>
      <w:instrText xml:space="preserve"> PAGE   \* MERGEFORMAT </w:instrText>
    </w:r>
    <w:r w:rsidRPr="00407C3F">
      <w:rPr>
        <w:rFonts w:ascii="Arial" w:hAnsi="Arial" w:cs="Arial"/>
        <w:sz w:val="20"/>
        <w:szCs w:val="20"/>
      </w:rPr>
      <w:fldChar w:fldCharType="separate"/>
    </w:r>
    <w:r w:rsidR="008A6CF4">
      <w:rPr>
        <w:rFonts w:ascii="Arial" w:hAnsi="Arial" w:cs="Arial"/>
        <w:noProof/>
        <w:sz w:val="20"/>
        <w:szCs w:val="20"/>
      </w:rPr>
      <w:t>i</w:t>
    </w:r>
    <w:r w:rsidRPr="00407C3F">
      <w:rPr>
        <w:rFonts w:ascii="Arial" w:hAnsi="Arial" w:cs="Arial"/>
        <w:noProof/>
        <w:sz w:val="20"/>
        <w:szCs w:val="20"/>
      </w:rPr>
      <w:fldChar w:fldCharType="end"/>
    </w:r>
  </w:p>
  <w:p w14:paraId="3BFB90C9" w14:textId="77777777" w:rsidR="0033594F" w:rsidRDefault="003359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1D0FE5" w14:textId="77777777" w:rsidR="00F27445" w:rsidRDefault="00F27445" w:rsidP="0033594F">
      <w:pPr>
        <w:spacing w:after="0" w:line="240" w:lineRule="auto"/>
      </w:pPr>
      <w:r>
        <w:separator/>
      </w:r>
    </w:p>
  </w:footnote>
  <w:footnote w:type="continuationSeparator" w:id="0">
    <w:p w14:paraId="1C088174" w14:textId="77777777" w:rsidR="00F27445" w:rsidRDefault="00F27445" w:rsidP="0033594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07FAA"/>
    <w:multiLevelType w:val="multilevel"/>
    <w:tmpl w:val="FC141BD6"/>
    <w:lvl w:ilvl="0">
      <w:start w:val="5"/>
      <w:numFmt w:val="decimal"/>
      <w:lvlText w:val="%1."/>
      <w:lvlJc w:val="left"/>
      <w:pPr>
        <w:ind w:left="360" w:hanging="360"/>
      </w:pPr>
      <w:rPr>
        <w:rFonts w:hint="default"/>
        <w:b/>
        <w:sz w:val="22"/>
        <w:szCs w:val="22"/>
      </w:rPr>
    </w:lvl>
    <w:lvl w:ilvl="1">
      <w:start w:val="1"/>
      <w:numFmt w:val="decimal"/>
      <w:lvlText w:val="%1.%2"/>
      <w:lvlJc w:val="left"/>
      <w:pPr>
        <w:ind w:left="786" w:hanging="360"/>
      </w:pPr>
      <w:rPr>
        <w:rFonts w:hint="default"/>
        <w:b w:val="0"/>
        <w:sz w:val="22"/>
        <w:szCs w:val="22"/>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
    <w:nsid w:val="0F902DB9"/>
    <w:multiLevelType w:val="hybridMultilevel"/>
    <w:tmpl w:val="9006B1F2"/>
    <w:lvl w:ilvl="0" w:tplc="3E328590">
      <w:start w:val="1"/>
      <w:numFmt w:val="lowerLetter"/>
      <w:lvlText w:val="%1."/>
      <w:lvlJc w:val="left"/>
      <w:pPr>
        <w:ind w:left="1440" w:hanging="360"/>
      </w:pPr>
      <w:rPr>
        <w:sz w:val="22"/>
        <w:szCs w:val="22"/>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2">
    <w:nsid w:val="0FDC2ED4"/>
    <w:multiLevelType w:val="hybridMultilevel"/>
    <w:tmpl w:val="6AE8CA4C"/>
    <w:lvl w:ilvl="0" w:tplc="34090019">
      <w:start w:val="1"/>
      <w:numFmt w:val="lowerLetter"/>
      <w:lvlText w:val="%1."/>
      <w:lvlJc w:val="left"/>
      <w:pPr>
        <w:ind w:left="1440" w:hanging="360"/>
      </w:p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3">
    <w:nsid w:val="17E143E9"/>
    <w:multiLevelType w:val="hybridMultilevel"/>
    <w:tmpl w:val="A9C0985C"/>
    <w:lvl w:ilvl="0" w:tplc="974E1D3A">
      <w:start w:val="1"/>
      <w:numFmt w:val="lowerLetter"/>
      <w:lvlText w:val="%1."/>
      <w:lvlJc w:val="left"/>
      <w:pPr>
        <w:ind w:left="1440" w:hanging="360"/>
      </w:pPr>
      <w:rPr>
        <w:rFonts w:hint="default"/>
        <w:sz w:val="22"/>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4">
    <w:nsid w:val="1EFC505E"/>
    <w:multiLevelType w:val="multilevel"/>
    <w:tmpl w:val="BB620CF8"/>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F0E22CE"/>
    <w:multiLevelType w:val="multilevel"/>
    <w:tmpl w:val="302C59C4"/>
    <w:lvl w:ilvl="0">
      <w:start w:val="1"/>
      <w:numFmt w:val="decimal"/>
      <w:lvlText w:val="%1."/>
      <w:lvlJc w:val="left"/>
      <w:pPr>
        <w:ind w:left="3554" w:hanging="576"/>
      </w:pPr>
      <w:rPr>
        <w:rFonts w:hint="default"/>
        <w:color w:val="000000" w:themeColor="text1"/>
        <w:sz w:val="22"/>
        <w:szCs w:val="22"/>
      </w:rPr>
    </w:lvl>
    <w:lvl w:ilvl="1">
      <w:start w:val="1"/>
      <w:numFmt w:val="decimal"/>
      <w:lvlText w:val="%1.%2"/>
      <w:lvlJc w:val="left"/>
      <w:pPr>
        <w:ind w:left="1296" w:hanging="720"/>
      </w:pPr>
      <w:rPr>
        <w:rFonts w:ascii="Arial" w:hAnsi="Arial" w:cs="Arial" w:hint="default"/>
        <w:b w:val="0"/>
        <w:i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2471378E"/>
    <w:multiLevelType w:val="multilevel"/>
    <w:tmpl w:val="9A6A74BE"/>
    <w:name w:val="WW8Num322"/>
    <w:lvl w:ilvl="0">
      <w:start w:val="2"/>
      <w:numFmt w:val="upperRoman"/>
      <w:lvlText w:val="%1."/>
      <w:lvlJc w:val="left"/>
      <w:pPr>
        <w:ind w:left="1080" w:hanging="360"/>
      </w:pPr>
      <w:rPr>
        <w:rFonts w:ascii="Arial" w:hAnsi="Arial" w:cs="Arial" w:hint="default"/>
        <w:b/>
        <w:i w:val="0"/>
        <w:sz w:val="22"/>
        <w:szCs w:val="22"/>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
    <w:nsid w:val="46783F7B"/>
    <w:multiLevelType w:val="multilevel"/>
    <w:tmpl w:val="4B2A1F64"/>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F7166D5"/>
    <w:multiLevelType w:val="hybridMultilevel"/>
    <w:tmpl w:val="FFAC23BE"/>
    <w:lvl w:ilvl="0" w:tplc="952641F8">
      <w:start w:val="1"/>
      <w:numFmt w:val="lowerLetter"/>
      <w:lvlText w:val="%1."/>
      <w:lvlJc w:val="left"/>
      <w:pPr>
        <w:ind w:left="720" w:hanging="360"/>
      </w:pPr>
      <w:rPr>
        <w:rFonts w:ascii="Arial" w:hAnsi="Arial" w:cs="Arial" w:hint="default"/>
        <w:sz w:val="22"/>
        <w:szCs w:val="22"/>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
    <w:nsid w:val="60043AE3"/>
    <w:multiLevelType w:val="hybridMultilevel"/>
    <w:tmpl w:val="C588934C"/>
    <w:lvl w:ilvl="0" w:tplc="34090019">
      <w:start w:val="1"/>
      <w:numFmt w:val="lowerLetter"/>
      <w:lvlText w:val="%1."/>
      <w:lvlJc w:val="left"/>
      <w:pPr>
        <w:ind w:left="1440" w:hanging="360"/>
      </w:p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10">
    <w:nsid w:val="6A8E29FD"/>
    <w:multiLevelType w:val="hybridMultilevel"/>
    <w:tmpl w:val="84483124"/>
    <w:lvl w:ilvl="0" w:tplc="985ED86C">
      <w:start w:val="1"/>
      <w:numFmt w:val="lowerLetter"/>
      <w:lvlText w:val="%1."/>
      <w:lvlJc w:val="left"/>
      <w:pPr>
        <w:ind w:left="1440" w:hanging="360"/>
      </w:pPr>
      <w:rPr>
        <w:sz w:val="22"/>
        <w:szCs w:val="22"/>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11">
    <w:nsid w:val="76E61922"/>
    <w:multiLevelType w:val="hybridMultilevel"/>
    <w:tmpl w:val="CA9424CA"/>
    <w:lvl w:ilvl="0" w:tplc="34090019">
      <w:start w:val="1"/>
      <w:numFmt w:val="lowerLetter"/>
      <w:lvlText w:val="%1."/>
      <w:lvlJc w:val="left"/>
      <w:pPr>
        <w:ind w:left="1440" w:hanging="360"/>
      </w:p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num w:numId="1">
    <w:abstractNumId w:val="4"/>
  </w:num>
  <w:num w:numId="2">
    <w:abstractNumId w:val="5"/>
  </w:num>
  <w:num w:numId="3">
    <w:abstractNumId w:val="3"/>
  </w:num>
  <w:num w:numId="4">
    <w:abstractNumId w:val="7"/>
  </w:num>
  <w:num w:numId="5">
    <w:abstractNumId w:val="1"/>
  </w:num>
  <w:num w:numId="6">
    <w:abstractNumId w:val="10"/>
  </w:num>
  <w:num w:numId="7">
    <w:abstractNumId w:val="2"/>
  </w:num>
  <w:num w:numId="8">
    <w:abstractNumId w:val="11"/>
  </w:num>
  <w:num w:numId="9">
    <w:abstractNumId w:val="9"/>
  </w:num>
  <w:num w:numId="10">
    <w:abstractNumId w:val="8"/>
  </w:num>
  <w:num w:numId="11">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1" w:cryptProviderType="rsaAES" w:cryptAlgorithmClass="hash" w:cryptAlgorithmType="typeAny" w:cryptAlgorithmSid="14" w:cryptSpinCount="100000" w:hash="V0Vi9qnuekMriSZ9MJY3o8WYJq3KwDnhvwKMfzRbBLYJwb5p9gQzr+yaEdbWlfncYobgVtUdAQplOXwDHpghGg==" w:salt="9UXbRyJdVHgUl4w3nM1X9w=="/>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3E2"/>
    <w:rsid w:val="000001B2"/>
    <w:rsid w:val="00002574"/>
    <w:rsid w:val="0000489A"/>
    <w:rsid w:val="000078C7"/>
    <w:rsid w:val="00013D3F"/>
    <w:rsid w:val="00023F2B"/>
    <w:rsid w:val="00024146"/>
    <w:rsid w:val="00034734"/>
    <w:rsid w:val="000371BA"/>
    <w:rsid w:val="0005026A"/>
    <w:rsid w:val="0005182B"/>
    <w:rsid w:val="000702DC"/>
    <w:rsid w:val="00071571"/>
    <w:rsid w:val="000716EF"/>
    <w:rsid w:val="000723E2"/>
    <w:rsid w:val="00074914"/>
    <w:rsid w:val="00074EB3"/>
    <w:rsid w:val="000811C6"/>
    <w:rsid w:val="00081F31"/>
    <w:rsid w:val="00092BB3"/>
    <w:rsid w:val="00093DD1"/>
    <w:rsid w:val="000A2C27"/>
    <w:rsid w:val="000A3DB6"/>
    <w:rsid w:val="000B0E1F"/>
    <w:rsid w:val="000B6F01"/>
    <w:rsid w:val="000B7987"/>
    <w:rsid w:val="000C0538"/>
    <w:rsid w:val="000C5C71"/>
    <w:rsid w:val="000C6ECB"/>
    <w:rsid w:val="000C7051"/>
    <w:rsid w:val="000D035A"/>
    <w:rsid w:val="000D3321"/>
    <w:rsid w:val="000D4EE0"/>
    <w:rsid w:val="000D7BC1"/>
    <w:rsid w:val="000E0991"/>
    <w:rsid w:val="000E0A00"/>
    <w:rsid w:val="000E0F61"/>
    <w:rsid w:val="000E204B"/>
    <w:rsid w:val="000E2DE2"/>
    <w:rsid w:val="000F4C5F"/>
    <w:rsid w:val="000F4F28"/>
    <w:rsid w:val="000F6657"/>
    <w:rsid w:val="0010204B"/>
    <w:rsid w:val="0010491D"/>
    <w:rsid w:val="001230BA"/>
    <w:rsid w:val="00134BFD"/>
    <w:rsid w:val="00135395"/>
    <w:rsid w:val="0014609D"/>
    <w:rsid w:val="001470DA"/>
    <w:rsid w:val="0015366D"/>
    <w:rsid w:val="001538EA"/>
    <w:rsid w:val="00161848"/>
    <w:rsid w:val="001631A8"/>
    <w:rsid w:val="00167BCA"/>
    <w:rsid w:val="00195903"/>
    <w:rsid w:val="0019738D"/>
    <w:rsid w:val="001979C4"/>
    <w:rsid w:val="001A4A49"/>
    <w:rsid w:val="001A57E1"/>
    <w:rsid w:val="001A59D7"/>
    <w:rsid w:val="001B2CCC"/>
    <w:rsid w:val="001B32DB"/>
    <w:rsid w:val="001B4745"/>
    <w:rsid w:val="001B533B"/>
    <w:rsid w:val="001B67EE"/>
    <w:rsid w:val="001B7F51"/>
    <w:rsid w:val="001C7CF7"/>
    <w:rsid w:val="001C7D3C"/>
    <w:rsid w:val="001D26CC"/>
    <w:rsid w:val="001D27E4"/>
    <w:rsid w:val="001D6D90"/>
    <w:rsid w:val="001E6BE6"/>
    <w:rsid w:val="001F30DC"/>
    <w:rsid w:val="002014B2"/>
    <w:rsid w:val="00205454"/>
    <w:rsid w:val="00214165"/>
    <w:rsid w:val="002167E7"/>
    <w:rsid w:val="0022080C"/>
    <w:rsid w:val="00230DED"/>
    <w:rsid w:val="00233856"/>
    <w:rsid w:val="0023474D"/>
    <w:rsid w:val="00235491"/>
    <w:rsid w:val="0024227E"/>
    <w:rsid w:val="00245D8E"/>
    <w:rsid w:val="00246F72"/>
    <w:rsid w:val="002649DD"/>
    <w:rsid w:val="00264EDB"/>
    <w:rsid w:val="00267E17"/>
    <w:rsid w:val="00270C84"/>
    <w:rsid w:val="002725E2"/>
    <w:rsid w:val="002819A3"/>
    <w:rsid w:val="002837A9"/>
    <w:rsid w:val="00283AD8"/>
    <w:rsid w:val="0028509B"/>
    <w:rsid w:val="00294A65"/>
    <w:rsid w:val="0029661C"/>
    <w:rsid w:val="00297330"/>
    <w:rsid w:val="002B39F4"/>
    <w:rsid w:val="002B6CDE"/>
    <w:rsid w:val="002C29D9"/>
    <w:rsid w:val="002C3E56"/>
    <w:rsid w:val="002D03FA"/>
    <w:rsid w:val="002D5979"/>
    <w:rsid w:val="002E373D"/>
    <w:rsid w:val="002F26E0"/>
    <w:rsid w:val="002F5CD9"/>
    <w:rsid w:val="0031557A"/>
    <w:rsid w:val="0031565A"/>
    <w:rsid w:val="00316651"/>
    <w:rsid w:val="003268E9"/>
    <w:rsid w:val="00332E85"/>
    <w:rsid w:val="0033594F"/>
    <w:rsid w:val="00336A6B"/>
    <w:rsid w:val="00354199"/>
    <w:rsid w:val="00357E71"/>
    <w:rsid w:val="003602A4"/>
    <w:rsid w:val="003663F6"/>
    <w:rsid w:val="00373757"/>
    <w:rsid w:val="00386DB7"/>
    <w:rsid w:val="003900FE"/>
    <w:rsid w:val="00394A64"/>
    <w:rsid w:val="003A0602"/>
    <w:rsid w:val="003A261E"/>
    <w:rsid w:val="003B0AE4"/>
    <w:rsid w:val="003B326A"/>
    <w:rsid w:val="003B4204"/>
    <w:rsid w:val="003B7350"/>
    <w:rsid w:val="003C0FF1"/>
    <w:rsid w:val="003C247A"/>
    <w:rsid w:val="003C2BD4"/>
    <w:rsid w:val="003C66A0"/>
    <w:rsid w:val="003D6425"/>
    <w:rsid w:val="003D7ED4"/>
    <w:rsid w:val="003E2888"/>
    <w:rsid w:val="003E38E8"/>
    <w:rsid w:val="003E3C75"/>
    <w:rsid w:val="003F0D1A"/>
    <w:rsid w:val="003F23F2"/>
    <w:rsid w:val="0040088A"/>
    <w:rsid w:val="0040200D"/>
    <w:rsid w:val="00407C3F"/>
    <w:rsid w:val="00410B96"/>
    <w:rsid w:val="00411FC6"/>
    <w:rsid w:val="00414B1F"/>
    <w:rsid w:val="00415500"/>
    <w:rsid w:val="004256E2"/>
    <w:rsid w:val="004313B0"/>
    <w:rsid w:val="00432F95"/>
    <w:rsid w:val="0044158E"/>
    <w:rsid w:val="00444202"/>
    <w:rsid w:val="00450EA5"/>
    <w:rsid w:val="00451754"/>
    <w:rsid w:val="00452F1A"/>
    <w:rsid w:val="004610B0"/>
    <w:rsid w:val="00461AC5"/>
    <w:rsid w:val="004624F5"/>
    <w:rsid w:val="004650BA"/>
    <w:rsid w:val="00465F1E"/>
    <w:rsid w:val="00473CDC"/>
    <w:rsid w:val="004845F7"/>
    <w:rsid w:val="00485E4A"/>
    <w:rsid w:val="00491F60"/>
    <w:rsid w:val="004A116C"/>
    <w:rsid w:val="004B5937"/>
    <w:rsid w:val="004C3195"/>
    <w:rsid w:val="004C3D9B"/>
    <w:rsid w:val="004D0C94"/>
    <w:rsid w:val="004D6099"/>
    <w:rsid w:val="004E36AB"/>
    <w:rsid w:val="004E4765"/>
    <w:rsid w:val="004E5226"/>
    <w:rsid w:val="004F2392"/>
    <w:rsid w:val="004F2957"/>
    <w:rsid w:val="004F37B6"/>
    <w:rsid w:val="004F79DB"/>
    <w:rsid w:val="00507D29"/>
    <w:rsid w:val="00510BD1"/>
    <w:rsid w:val="00522694"/>
    <w:rsid w:val="005240DB"/>
    <w:rsid w:val="0052595C"/>
    <w:rsid w:val="00527792"/>
    <w:rsid w:val="00530E96"/>
    <w:rsid w:val="0053360E"/>
    <w:rsid w:val="0055786E"/>
    <w:rsid w:val="005578E2"/>
    <w:rsid w:val="00570E7E"/>
    <w:rsid w:val="00575083"/>
    <w:rsid w:val="00575785"/>
    <w:rsid w:val="0057748B"/>
    <w:rsid w:val="00577D9C"/>
    <w:rsid w:val="0058046C"/>
    <w:rsid w:val="0058516E"/>
    <w:rsid w:val="00590315"/>
    <w:rsid w:val="00593CD4"/>
    <w:rsid w:val="005B2779"/>
    <w:rsid w:val="005B6E45"/>
    <w:rsid w:val="005C1825"/>
    <w:rsid w:val="005C2540"/>
    <w:rsid w:val="005C3745"/>
    <w:rsid w:val="005D1456"/>
    <w:rsid w:val="005E1944"/>
    <w:rsid w:val="005E2356"/>
    <w:rsid w:val="005E410B"/>
    <w:rsid w:val="005E56C4"/>
    <w:rsid w:val="005E59A4"/>
    <w:rsid w:val="005E6433"/>
    <w:rsid w:val="005F182C"/>
    <w:rsid w:val="005F4C7D"/>
    <w:rsid w:val="00631680"/>
    <w:rsid w:val="00643F26"/>
    <w:rsid w:val="00650632"/>
    <w:rsid w:val="00653F88"/>
    <w:rsid w:val="00656B80"/>
    <w:rsid w:val="00656B9B"/>
    <w:rsid w:val="00656C22"/>
    <w:rsid w:val="00661825"/>
    <w:rsid w:val="0066572C"/>
    <w:rsid w:val="00666757"/>
    <w:rsid w:val="006714A9"/>
    <w:rsid w:val="006727F8"/>
    <w:rsid w:val="00673D98"/>
    <w:rsid w:val="006746C0"/>
    <w:rsid w:val="00682195"/>
    <w:rsid w:val="006828F8"/>
    <w:rsid w:val="00685168"/>
    <w:rsid w:val="00692B25"/>
    <w:rsid w:val="00696694"/>
    <w:rsid w:val="00697A4E"/>
    <w:rsid w:val="00697E7A"/>
    <w:rsid w:val="006A10A3"/>
    <w:rsid w:val="006A421D"/>
    <w:rsid w:val="006A4335"/>
    <w:rsid w:val="006A72E9"/>
    <w:rsid w:val="006B2333"/>
    <w:rsid w:val="006B6806"/>
    <w:rsid w:val="006B695B"/>
    <w:rsid w:val="006C369F"/>
    <w:rsid w:val="006D2A1D"/>
    <w:rsid w:val="006E1825"/>
    <w:rsid w:val="006E19FD"/>
    <w:rsid w:val="006E1C1C"/>
    <w:rsid w:val="006F537D"/>
    <w:rsid w:val="006F77C6"/>
    <w:rsid w:val="00711B91"/>
    <w:rsid w:val="007150B0"/>
    <w:rsid w:val="00725B7D"/>
    <w:rsid w:val="00731695"/>
    <w:rsid w:val="0073267E"/>
    <w:rsid w:val="00740BCD"/>
    <w:rsid w:val="00744661"/>
    <w:rsid w:val="00747E5E"/>
    <w:rsid w:val="00753902"/>
    <w:rsid w:val="00757527"/>
    <w:rsid w:val="00761BBD"/>
    <w:rsid w:val="00765AA0"/>
    <w:rsid w:val="00774E56"/>
    <w:rsid w:val="00777106"/>
    <w:rsid w:val="0078426C"/>
    <w:rsid w:val="00785255"/>
    <w:rsid w:val="007871B9"/>
    <w:rsid w:val="00787C07"/>
    <w:rsid w:val="00790990"/>
    <w:rsid w:val="007947E8"/>
    <w:rsid w:val="00796221"/>
    <w:rsid w:val="007A1FE7"/>
    <w:rsid w:val="007A7C0E"/>
    <w:rsid w:val="007B2DDB"/>
    <w:rsid w:val="007B39E6"/>
    <w:rsid w:val="007B4487"/>
    <w:rsid w:val="007B4A3E"/>
    <w:rsid w:val="007C0B16"/>
    <w:rsid w:val="007C3579"/>
    <w:rsid w:val="007C5220"/>
    <w:rsid w:val="007C7713"/>
    <w:rsid w:val="007C7A15"/>
    <w:rsid w:val="007D1E4B"/>
    <w:rsid w:val="007D65D8"/>
    <w:rsid w:val="007D683A"/>
    <w:rsid w:val="007D7630"/>
    <w:rsid w:val="007D7ACC"/>
    <w:rsid w:val="007E3F7A"/>
    <w:rsid w:val="0080332D"/>
    <w:rsid w:val="00804E4F"/>
    <w:rsid w:val="00807AB5"/>
    <w:rsid w:val="00807D59"/>
    <w:rsid w:val="00810F19"/>
    <w:rsid w:val="00813983"/>
    <w:rsid w:val="0081547B"/>
    <w:rsid w:val="00815561"/>
    <w:rsid w:val="008205FB"/>
    <w:rsid w:val="00822A60"/>
    <w:rsid w:val="0082362F"/>
    <w:rsid w:val="008255EE"/>
    <w:rsid w:val="00827DC1"/>
    <w:rsid w:val="008305BD"/>
    <w:rsid w:val="00840379"/>
    <w:rsid w:val="0084243F"/>
    <w:rsid w:val="00843C77"/>
    <w:rsid w:val="008444CD"/>
    <w:rsid w:val="00853026"/>
    <w:rsid w:val="0087102F"/>
    <w:rsid w:val="008738F1"/>
    <w:rsid w:val="0087545F"/>
    <w:rsid w:val="00876A2B"/>
    <w:rsid w:val="00881C52"/>
    <w:rsid w:val="008835DE"/>
    <w:rsid w:val="00887C76"/>
    <w:rsid w:val="00891321"/>
    <w:rsid w:val="00892310"/>
    <w:rsid w:val="00892AEA"/>
    <w:rsid w:val="00893D76"/>
    <w:rsid w:val="00895EE0"/>
    <w:rsid w:val="008A6CF4"/>
    <w:rsid w:val="008B1B5E"/>
    <w:rsid w:val="008B5E98"/>
    <w:rsid w:val="008B7625"/>
    <w:rsid w:val="008D1BA8"/>
    <w:rsid w:val="008D3FA7"/>
    <w:rsid w:val="008E03BA"/>
    <w:rsid w:val="008E28D1"/>
    <w:rsid w:val="008E4A85"/>
    <w:rsid w:val="008E7717"/>
    <w:rsid w:val="008F50D3"/>
    <w:rsid w:val="008F6DFD"/>
    <w:rsid w:val="0090187D"/>
    <w:rsid w:val="00903C5B"/>
    <w:rsid w:val="00903F66"/>
    <w:rsid w:val="00905A80"/>
    <w:rsid w:val="00911318"/>
    <w:rsid w:val="0091455C"/>
    <w:rsid w:val="009150CB"/>
    <w:rsid w:val="009248C9"/>
    <w:rsid w:val="00931C6F"/>
    <w:rsid w:val="0093617A"/>
    <w:rsid w:val="00937427"/>
    <w:rsid w:val="0094230A"/>
    <w:rsid w:val="00946627"/>
    <w:rsid w:val="009511C8"/>
    <w:rsid w:val="00952DA5"/>
    <w:rsid w:val="00955A66"/>
    <w:rsid w:val="0095677F"/>
    <w:rsid w:val="00962360"/>
    <w:rsid w:val="00963CDE"/>
    <w:rsid w:val="00963F2B"/>
    <w:rsid w:val="00965C84"/>
    <w:rsid w:val="00966CD7"/>
    <w:rsid w:val="00970431"/>
    <w:rsid w:val="009720ED"/>
    <w:rsid w:val="00984129"/>
    <w:rsid w:val="0098498F"/>
    <w:rsid w:val="00985178"/>
    <w:rsid w:val="0098671A"/>
    <w:rsid w:val="00986DDE"/>
    <w:rsid w:val="009B29AD"/>
    <w:rsid w:val="009B4ECB"/>
    <w:rsid w:val="009B7E40"/>
    <w:rsid w:val="009C203E"/>
    <w:rsid w:val="009C39F8"/>
    <w:rsid w:val="009D6B06"/>
    <w:rsid w:val="009E5EB3"/>
    <w:rsid w:val="009E6DBE"/>
    <w:rsid w:val="009F0187"/>
    <w:rsid w:val="009F5D8E"/>
    <w:rsid w:val="00A001AA"/>
    <w:rsid w:val="00A0087D"/>
    <w:rsid w:val="00A01D80"/>
    <w:rsid w:val="00A03D86"/>
    <w:rsid w:val="00A0756B"/>
    <w:rsid w:val="00A07FDC"/>
    <w:rsid w:val="00A147C9"/>
    <w:rsid w:val="00A15F2F"/>
    <w:rsid w:val="00A30003"/>
    <w:rsid w:val="00A33BB3"/>
    <w:rsid w:val="00A3538F"/>
    <w:rsid w:val="00A36A67"/>
    <w:rsid w:val="00A374E9"/>
    <w:rsid w:val="00A37B3D"/>
    <w:rsid w:val="00A41A53"/>
    <w:rsid w:val="00A42792"/>
    <w:rsid w:val="00A455C5"/>
    <w:rsid w:val="00A46CEC"/>
    <w:rsid w:val="00A50DA5"/>
    <w:rsid w:val="00A50FE4"/>
    <w:rsid w:val="00A51417"/>
    <w:rsid w:val="00A5303E"/>
    <w:rsid w:val="00A5396C"/>
    <w:rsid w:val="00A54876"/>
    <w:rsid w:val="00A57342"/>
    <w:rsid w:val="00A61ADE"/>
    <w:rsid w:val="00A71C3B"/>
    <w:rsid w:val="00A76270"/>
    <w:rsid w:val="00A83693"/>
    <w:rsid w:val="00A85E84"/>
    <w:rsid w:val="00A8683C"/>
    <w:rsid w:val="00AA1231"/>
    <w:rsid w:val="00AA3980"/>
    <w:rsid w:val="00AB4C3D"/>
    <w:rsid w:val="00AB6CEA"/>
    <w:rsid w:val="00AC2DF2"/>
    <w:rsid w:val="00AC2F5C"/>
    <w:rsid w:val="00AC5C65"/>
    <w:rsid w:val="00AD350B"/>
    <w:rsid w:val="00AD4328"/>
    <w:rsid w:val="00AE2764"/>
    <w:rsid w:val="00AF017F"/>
    <w:rsid w:val="00AF17DC"/>
    <w:rsid w:val="00AF3C86"/>
    <w:rsid w:val="00B007CD"/>
    <w:rsid w:val="00B00E70"/>
    <w:rsid w:val="00B11222"/>
    <w:rsid w:val="00B177D0"/>
    <w:rsid w:val="00B21CE1"/>
    <w:rsid w:val="00B21E6F"/>
    <w:rsid w:val="00B307F7"/>
    <w:rsid w:val="00B368BE"/>
    <w:rsid w:val="00B566DA"/>
    <w:rsid w:val="00B60F36"/>
    <w:rsid w:val="00B61294"/>
    <w:rsid w:val="00B63AB8"/>
    <w:rsid w:val="00B6780D"/>
    <w:rsid w:val="00B67ADB"/>
    <w:rsid w:val="00B701EB"/>
    <w:rsid w:val="00B71D03"/>
    <w:rsid w:val="00B7278F"/>
    <w:rsid w:val="00B76B6C"/>
    <w:rsid w:val="00B76E4B"/>
    <w:rsid w:val="00B814CC"/>
    <w:rsid w:val="00B8243F"/>
    <w:rsid w:val="00B8670E"/>
    <w:rsid w:val="00B87DBF"/>
    <w:rsid w:val="00B9415B"/>
    <w:rsid w:val="00B97226"/>
    <w:rsid w:val="00BA7141"/>
    <w:rsid w:val="00BB15D3"/>
    <w:rsid w:val="00BB3815"/>
    <w:rsid w:val="00BC567C"/>
    <w:rsid w:val="00BD40BA"/>
    <w:rsid w:val="00BD6CA8"/>
    <w:rsid w:val="00BF07CA"/>
    <w:rsid w:val="00C04CE1"/>
    <w:rsid w:val="00C20C39"/>
    <w:rsid w:val="00C22F76"/>
    <w:rsid w:val="00C24F1A"/>
    <w:rsid w:val="00C257B7"/>
    <w:rsid w:val="00C257E1"/>
    <w:rsid w:val="00C3427C"/>
    <w:rsid w:val="00C345B7"/>
    <w:rsid w:val="00C5539E"/>
    <w:rsid w:val="00C65464"/>
    <w:rsid w:val="00C7000B"/>
    <w:rsid w:val="00C7091B"/>
    <w:rsid w:val="00C81635"/>
    <w:rsid w:val="00C85872"/>
    <w:rsid w:val="00C8722C"/>
    <w:rsid w:val="00C907C1"/>
    <w:rsid w:val="00C9251D"/>
    <w:rsid w:val="00C9577C"/>
    <w:rsid w:val="00CB0533"/>
    <w:rsid w:val="00CB173B"/>
    <w:rsid w:val="00CB2782"/>
    <w:rsid w:val="00CB6EBC"/>
    <w:rsid w:val="00CB7C58"/>
    <w:rsid w:val="00CD47AE"/>
    <w:rsid w:val="00CD5B2F"/>
    <w:rsid w:val="00CE1337"/>
    <w:rsid w:val="00CE1C18"/>
    <w:rsid w:val="00CE3A62"/>
    <w:rsid w:val="00CE79C3"/>
    <w:rsid w:val="00CF1423"/>
    <w:rsid w:val="00CF4EC5"/>
    <w:rsid w:val="00CF79D5"/>
    <w:rsid w:val="00D01EC1"/>
    <w:rsid w:val="00D13BF1"/>
    <w:rsid w:val="00D209C4"/>
    <w:rsid w:val="00D21FA1"/>
    <w:rsid w:val="00D24631"/>
    <w:rsid w:val="00D2774A"/>
    <w:rsid w:val="00D30148"/>
    <w:rsid w:val="00D30CB7"/>
    <w:rsid w:val="00D3436F"/>
    <w:rsid w:val="00D34F30"/>
    <w:rsid w:val="00D36FDB"/>
    <w:rsid w:val="00D448BF"/>
    <w:rsid w:val="00D54A68"/>
    <w:rsid w:val="00D558D4"/>
    <w:rsid w:val="00D61C2F"/>
    <w:rsid w:val="00D64EE6"/>
    <w:rsid w:val="00D714C5"/>
    <w:rsid w:val="00D739DA"/>
    <w:rsid w:val="00D73EB8"/>
    <w:rsid w:val="00D7617B"/>
    <w:rsid w:val="00D80B2F"/>
    <w:rsid w:val="00D8245C"/>
    <w:rsid w:val="00D833CE"/>
    <w:rsid w:val="00D85898"/>
    <w:rsid w:val="00D85BD6"/>
    <w:rsid w:val="00D922FA"/>
    <w:rsid w:val="00D9609F"/>
    <w:rsid w:val="00DA58FB"/>
    <w:rsid w:val="00DB5145"/>
    <w:rsid w:val="00DB61BD"/>
    <w:rsid w:val="00DB67BE"/>
    <w:rsid w:val="00DC7510"/>
    <w:rsid w:val="00DD1CC1"/>
    <w:rsid w:val="00DD3AAD"/>
    <w:rsid w:val="00DD3FBB"/>
    <w:rsid w:val="00DE2F14"/>
    <w:rsid w:val="00DE4A4C"/>
    <w:rsid w:val="00DE4DAE"/>
    <w:rsid w:val="00E223EE"/>
    <w:rsid w:val="00E263C2"/>
    <w:rsid w:val="00E2721B"/>
    <w:rsid w:val="00E33E95"/>
    <w:rsid w:val="00E424E8"/>
    <w:rsid w:val="00E467C0"/>
    <w:rsid w:val="00E55BEE"/>
    <w:rsid w:val="00E57A65"/>
    <w:rsid w:val="00E73614"/>
    <w:rsid w:val="00E7413D"/>
    <w:rsid w:val="00E843A2"/>
    <w:rsid w:val="00E84D7B"/>
    <w:rsid w:val="00E9216B"/>
    <w:rsid w:val="00EA3CEE"/>
    <w:rsid w:val="00EB1156"/>
    <w:rsid w:val="00EB1A2A"/>
    <w:rsid w:val="00EB38E6"/>
    <w:rsid w:val="00EB4976"/>
    <w:rsid w:val="00EB798F"/>
    <w:rsid w:val="00EB7F62"/>
    <w:rsid w:val="00EC168B"/>
    <w:rsid w:val="00EC38EC"/>
    <w:rsid w:val="00EC4001"/>
    <w:rsid w:val="00ED208B"/>
    <w:rsid w:val="00ED36B4"/>
    <w:rsid w:val="00ED3F78"/>
    <w:rsid w:val="00ED7618"/>
    <w:rsid w:val="00ED7E99"/>
    <w:rsid w:val="00EE324A"/>
    <w:rsid w:val="00EF2C2E"/>
    <w:rsid w:val="00EF63E3"/>
    <w:rsid w:val="00EF64F0"/>
    <w:rsid w:val="00F02111"/>
    <w:rsid w:val="00F06265"/>
    <w:rsid w:val="00F10CA8"/>
    <w:rsid w:val="00F10F52"/>
    <w:rsid w:val="00F11537"/>
    <w:rsid w:val="00F27445"/>
    <w:rsid w:val="00F27BDC"/>
    <w:rsid w:val="00F27F86"/>
    <w:rsid w:val="00F30C3F"/>
    <w:rsid w:val="00F3623A"/>
    <w:rsid w:val="00F40286"/>
    <w:rsid w:val="00F47192"/>
    <w:rsid w:val="00F50C22"/>
    <w:rsid w:val="00F53D63"/>
    <w:rsid w:val="00F54761"/>
    <w:rsid w:val="00F63E23"/>
    <w:rsid w:val="00F64EAA"/>
    <w:rsid w:val="00F65E6B"/>
    <w:rsid w:val="00F71F1D"/>
    <w:rsid w:val="00F7441E"/>
    <w:rsid w:val="00F757E0"/>
    <w:rsid w:val="00F77DE0"/>
    <w:rsid w:val="00F80E5C"/>
    <w:rsid w:val="00F81595"/>
    <w:rsid w:val="00F9024C"/>
    <w:rsid w:val="00F904A9"/>
    <w:rsid w:val="00F9680B"/>
    <w:rsid w:val="00F97255"/>
    <w:rsid w:val="00FA1A02"/>
    <w:rsid w:val="00FA66BE"/>
    <w:rsid w:val="00FB0607"/>
    <w:rsid w:val="00FB27DB"/>
    <w:rsid w:val="00FB4084"/>
    <w:rsid w:val="00FC68E8"/>
    <w:rsid w:val="00FC6927"/>
    <w:rsid w:val="00FD3528"/>
    <w:rsid w:val="00FD5815"/>
    <w:rsid w:val="00FE0D5F"/>
    <w:rsid w:val="00FE1746"/>
    <w:rsid w:val="00FE3315"/>
    <w:rsid w:val="00FE4B09"/>
    <w:rsid w:val="00FE5C13"/>
    <w:rsid w:val="00FE6CF4"/>
    <w:rsid w:val="00FE7639"/>
    <w:rsid w:val="00FF50A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BFF50C0"/>
  <w15:docId w15:val="{B4B1175D-B04B-41AA-8448-A361C82F6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11C6"/>
    <w:pPr>
      <w:spacing w:after="200" w:line="276" w:lineRule="auto"/>
    </w:pPr>
    <w:rPr>
      <w:sz w:val="22"/>
      <w:szCs w:val="22"/>
      <w:lang w:val="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Resume Title,List Paragraph1"/>
    <w:basedOn w:val="Normal"/>
    <w:link w:val="ListParagraphChar"/>
    <w:uiPriority w:val="34"/>
    <w:qFormat/>
    <w:rsid w:val="000723E2"/>
    <w:pPr>
      <w:spacing w:after="0" w:line="240" w:lineRule="auto"/>
      <w:ind w:left="720"/>
    </w:pPr>
    <w:rPr>
      <w:rFonts w:ascii="Times New Roman" w:eastAsia="Times New Roman" w:hAnsi="Times New Roman"/>
      <w:sz w:val="24"/>
      <w:szCs w:val="24"/>
      <w:lang w:val="en-US"/>
    </w:rPr>
  </w:style>
  <w:style w:type="table" w:styleId="TableGrid">
    <w:name w:val="Table Grid"/>
    <w:basedOn w:val="TableNormal"/>
    <w:uiPriority w:val="59"/>
    <w:rsid w:val="008710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semiHidden/>
    <w:unhideWhenUsed/>
    <w:rsid w:val="00985178"/>
    <w:pPr>
      <w:spacing w:after="0" w:line="240" w:lineRule="auto"/>
      <w:jc w:val="both"/>
    </w:pPr>
    <w:rPr>
      <w:rFonts w:ascii="Times New Roman" w:eastAsia="Times New Roman" w:hAnsi="Times New Roman"/>
      <w:sz w:val="20"/>
      <w:szCs w:val="20"/>
      <w:lang w:val="en-US"/>
    </w:rPr>
  </w:style>
  <w:style w:type="character" w:customStyle="1" w:styleId="BodyTextChar">
    <w:name w:val="Body Text Char"/>
    <w:link w:val="BodyText"/>
    <w:semiHidden/>
    <w:rsid w:val="00985178"/>
    <w:rPr>
      <w:rFonts w:ascii="Times New Roman" w:eastAsia="Times New Roman" w:hAnsi="Times New Roman"/>
      <w:lang w:val="en-US" w:eastAsia="en-US"/>
    </w:rPr>
  </w:style>
  <w:style w:type="paragraph" w:styleId="BalloonText">
    <w:name w:val="Balloon Text"/>
    <w:basedOn w:val="Normal"/>
    <w:link w:val="BalloonTextChar"/>
    <w:uiPriority w:val="99"/>
    <w:semiHidden/>
    <w:unhideWhenUsed/>
    <w:rsid w:val="00682195"/>
    <w:pPr>
      <w:spacing w:after="0" w:line="240" w:lineRule="auto"/>
    </w:pPr>
    <w:rPr>
      <w:rFonts w:ascii="Tahoma" w:hAnsi="Tahoma"/>
      <w:sz w:val="16"/>
      <w:szCs w:val="16"/>
    </w:rPr>
  </w:style>
  <w:style w:type="character" w:customStyle="1" w:styleId="BalloonTextChar">
    <w:name w:val="Balloon Text Char"/>
    <w:link w:val="BalloonText"/>
    <w:uiPriority w:val="99"/>
    <w:semiHidden/>
    <w:rsid w:val="00682195"/>
    <w:rPr>
      <w:rFonts w:ascii="Tahoma" w:hAnsi="Tahoma" w:cs="Tahoma"/>
      <w:sz w:val="16"/>
      <w:szCs w:val="16"/>
      <w:lang w:eastAsia="en-US"/>
    </w:rPr>
  </w:style>
  <w:style w:type="paragraph" w:customStyle="1" w:styleId="Standard">
    <w:name w:val="Standard"/>
    <w:rsid w:val="00827DC1"/>
    <w:pPr>
      <w:widowControl w:val="0"/>
      <w:suppressAutoHyphens/>
      <w:autoSpaceDN w:val="0"/>
      <w:textAlignment w:val="baseline"/>
    </w:pPr>
    <w:rPr>
      <w:rFonts w:ascii="Times New Roman" w:eastAsia="Lucida Sans Unicode" w:hAnsi="Times New Roman" w:cs="Tahoma"/>
      <w:kern w:val="3"/>
      <w:sz w:val="24"/>
      <w:szCs w:val="24"/>
      <w:lang w:val="en-PH" w:eastAsia="en-PH"/>
    </w:rPr>
  </w:style>
  <w:style w:type="paragraph" w:styleId="Header">
    <w:name w:val="header"/>
    <w:basedOn w:val="Normal"/>
    <w:link w:val="HeaderChar"/>
    <w:uiPriority w:val="99"/>
    <w:unhideWhenUsed/>
    <w:rsid w:val="0033594F"/>
    <w:pPr>
      <w:tabs>
        <w:tab w:val="center" w:pos="4680"/>
        <w:tab w:val="right" w:pos="9360"/>
      </w:tabs>
    </w:pPr>
  </w:style>
  <w:style w:type="character" w:customStyle="1" w:styleId="HeaderChar">
    <w:name w:val="Header Char"/>
    <w:link w:val="Header"/>
    <w:uiPriority w:val="99"/>
    <w:rsid w:val="0033594F"/>
    <w:rPr>
      <w:sz w:val="22"/>
      <w:szCs w:val="22"/>
      <w:lang w:eastAsia="en-US"/>
    </w:rPr>
  </w:style>
  <w:style w:type="paragraph" w:styleId="Footer">
    <w:name w:val="footer"/>
    <w:basedOn w:val="Normal"/>
    <w:link w:val="FooterChar"/>
    <w:uiPriority w:val="99"/>
    <w:unhideWhenUsed/>
    <w:rsid w:val="0033594F"/>
    <w:pPr>
      <w:tabs>
        <w:tab w:val="center" w:pos="4680"/>
        <w:tab w:val="right" w:pos="9360"/>
      </w:tabs>
    </w:pPr>
  </w:style>
  <w:style w:type="character" w:customStyle="1" w:styleId="FooterChar">
    <w:name w:val="Footer Char"/>
    <w:link w:val="Footer"/>
    <w:uiPriority w:val="99"/>
    <w:rsid w:val="0033594F"/>
    <w:rPr>
      <w:sz w:val="22"/>
      <w:szCs w:val="22"/>
      <w:lang w:eastAsia="en-US"/>
    </w:rPr>
  </w:style>
  <w:style w:type="character" w:customStyle="1" w:styleId="NoSpacingChar">
    <w:name w:val="No Spacing Char"/>
    <w:link w:val="NoSpacing"/>
    <w:uiPriority w:val="1"/>
    <w:locked/>
    <w:rsid w:val="00F54761"/>
    <w:rPr>
      <w:lang w:eastAsia="ar-SA"/>
    </w:rPr>
  </w:style>
  <w:style w:type="paragraph" w:styleId="NoSpacing">
    <w:name w:val="No Spacing"/>
    <w:link w:val="NoSpacingChar"/>
    <w:uiPriority w:val="1"/>
    <w:qFormat/>
    <w:rsid w:val="00F54761"/>
    <w:pPr>
      <w:suppressAutoHyphens/>
    </w:pPr>
    <w:rPr>
      <w:lang w:eastAsia="ar-SA"/>
    </w:rPr>
  </w:style>
  <w:style w:type="character" w:customStyle="1" w:styleId="ListParagraphChar">
    <w:name w:val="List Paragraph Char"/>
    <w:aliases w:val="Resume Title Char,List Paragraph1 Char"/>
    <w:link w:val="ListParagraph"/>
    <w:uiPriority w:val="34"/>
    <w:qFormat/>
    <w:rsid w:val="001631A8"/>
    <w:rPr>
      <w:rFonts w:ascii="Times New Roman" w:eastAsia="Times New Roman" w:hAnsi="Times New Roman"/>
      <w:sz w:val="24"/>
      <w:szCs w:val="24"/>
    </w:rPr>
  </w:style>
  <w:style w:type="character" w:styleId="Emphasis">
    <w:name w:val="Emphasis"/>
    <w:uiPriority w:val="20"/>
    <w:qFormat/>
    <w:rsid w:val="0084243F"/>
    <w:rPr>
      <w:i/>
      <w:iCs/>
    </w:rPr>
  </w:style>
  <w:style w:type="character" w:customStyle="1" w:styleId="BodyText2Char">
    <w:name w:val="Body Text 2 Char"/>
    <w:link w:val="BodyText2"/>
    <w:rsid w:val="0084243F"/>
    <w:rPr>
      <w:sz w:val="24"/>
      <w:szCs w:val="24"/>
      <w:lang w:eastAsia="ar-SA"/>
    </w:rPr>
  </w:style>
  <w:style w:type="paragraph" w:styleId="BodyText2">
    <w:name w:val="Body Text 2"/>
    <w:basedOn w:val="Normal"/>
    <w:link w:val="BodyText2Char"/>
    <w:unhideWhenUsed/>
    <w:rsid w:val="0084243F"/>
    <w:pPr>
      <w:suppressAutoHyphens/>
      <w:spacing w:after="120" w:line="480" w:lineRule="auto"/>
    </w:pPr>
    <w:rPr>
      <w:sz w:val="24"/>
      <w:szCs w:val="24"/>
      <w:lang w:val="en-US" w:eastAsia="ar-SA"/>
    </w:rPr>
  </w:style>
  <w:style w:type="character" w:customStyle="1" w:styleId="BodyText2Char1">
    <w:name w:val="Body Text 2 Char1"/>
    <w:basedOn w:val="DefaultParagraphFont"/>
    <w:uiPriority w:val="99"/>
    <w:semiHidden/>
    <w:rsid w:val="0084243F"/>
    <w:rPr>
      <w:sz w:val="22"/>
      <w:szCs w:val="22"/>
      <w:lang w:val="en-PH"/>
    </w:rPr>
  </w:style>
  <w:style w:type="paragraph" w:customStyle="1" w:styleId="Style1">
    <w:name w:val="_Style 1"/>
    <w:basedOn w:val="Normal"/>
    <w:uiPriority w:val="34"/>
    <w:qFormat/>
    <w:rsid w:val="0084243F"/>
    <w:pPr>
      <w:suppressAutoHyphens/>
      <w:spacing w:after="0" w:line="240" w:lineRule="auto"/>
      <w:ind w:left="720"/>
    </w:pPr>
    <w:rPr>
      <w:rFonts w:ascii="Times New Roman" w:eastAsia="SimSun" w:hAnsi="Times New Roman"/>
      <w:sz w:val="24"/>
      <w:szCs w:val="24"/>
      <w:lang w:val="en-US" w:eastAsia="zh-CN"/>
    </w:rPr>
  </w:style>
  <w:style w:type="paragraph" w:styleId="NormalWeb">
    <w:name w:val="Normal (Web)"/>
    <w:basedOn w:val="Normal"/>
    <w:uiPriority w:val="99"/>
    <w:unhideWhenUsed/>
    <w:rsid w:val="0084243F"/>
    <w:pPr>
      <w:spacing w:before="100" w:beforeAutospacing="1" w:after="119" w:line="240" w:lineRule="auto"/>
    </w:pPr>
    <w:rPr>
      <w:rFonts w:ascii="Times New Roman" w:eastAsia="Times New Roman" w:hAnsi="Times New Roman"/>
      <w:color w:val="000000"/>
      <w:sz w:val="24"/>
      <w:szCs w:val="24"/>
      <w:lang w:val="en-US"/>
    </w:rPr>
  </w:style>
  <w:style w:type="character" w:styleId="CommentReference">
    <w:name w:val="annotation reference"/>
    <w:basedOn w:val="DefaultParagraphFont"/>
    <w:uiPriority w:val="99"/>
    <w:semiHidden/>
    <w:unhideWhenUsed/>
    <w:rsid w:val="0023474D"/>
    <w:rPr>
      <w:sz w:val="16"/>
      <w:szCs w:val="16"/>
    </w:rPr>
  </w:style>
  <w:style w:type="paragraph" w:styleId="CommentText">
    <w:name w:val="annotation text"/>
    <w:basedOn w:val="Normal"/>
    <w:link w:val="CommentTextChar"/>
    <w:uiPriority w:val="99"/>
    <w:semiHidden/>
    <w:unhideWhenUsed/>
    <w:rsid w:val="0023474D"/>
    <w:pPr>
      <w:spacing w:line="240" w:lineRule="auto"/>
    </w:pPr>
    <w:rPr>
      <w:sz w:val="20"/>
      <w:szCs w:val="20"/>
    </w:rPr>
  </w:style>
  <w:style w:type="character" w:customStyle="1" w:styleId="CommentTextChar">
    <w:name w:val="Comment Text Char"/>
    <w:basedOn w:val="DefaultParagraphFont"/>
    <w:link w:val="CommentText"/>
    <w:uiPriority w:val="99"/>
    <w:semiHidden/>
    <w:rsid w:val="0023474D"/>
    <w:rPr>
      <w:lang w:val="en-PH"/>
    </w:rPr>
  </w:style>
  <w:style w:type="paragraph" w:styleId="CommentSubject">
    <w:name w:val="annotation subject"/>
    <w:basedOn w:val="CommentText"/>
    <w:next w:val="CommentText"/>
    <w:link w:val="CommentSubjectChar"/>
    <w:uiPriority w:val="99"/>
    <w:semiHidden/>
    <w:unhideWhenUsed/>
    <w:rsid w:val="0023474D"/>
    <w:rPr>
      <w:b/>
      <w:bCs/>
    </w:rPr>
  </w:style>
  <w:style w:type="character" w:customStyle="1" w:styleId="CommentSubjectChar">
    <w:name w:val="Comment Subject Char"/>
    <w:basedOn w:val="CommentTextChar"/>
    <w:link w:val="CommentSubject"/>
    <w:uiPriority w:val="99"/>
    <w:semiHidden/>
    <w:rsid w:val="0023474D"/>
    <w:rPr>
      <w:b/>
      <w:bCs/>
      <w:lang w:val="en-P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768948">
      <w:bodyDiv w:val="1"/>
      <w:marLeft w:val="0"/>
      <w:marRight w:val="0"/>
      <w:marTop w:val="0"/>
      <w:marBottom w:val="0"/>
      <w:divBdr>
        <w:top w:val="none" w:sz="0" w:space="0" w:color="auto"/>
        <w:left w:val="none" w:sz="0" w:space="0" w:color="auto"/>
        <w:bottom w:val="none" w:sz="0" w:space="0" w:color="auto"/>
        <w:right w:val="none" w:sz="0" w:space="0" w:color="auto"/>
      </w:divBdr>
    </w:div>
    <w:div w:id="158081507">
      <w:bodyDiv w:val="1"/>
      <w:marLeft w:val="0"/>
      <w:marRight w:val="0"/>
      <w:marTop w:val="0"/>
      <w:marBottom w:val="0"/>
      <w:divBdr>
        <w:top w:val="none" w:sz="0" w:space="0" w:color="auto"/>
        <w:left w:val="none" w:sz="0" w:space="0" w:color="auto"/>
        <w:bottom w:val="none" w:sz="0" w:space="0" w:color="auto"/>
        <w:right w:val="none" w:sz="0" w:space="0" w:color="auto"/>
      </w:divBdr>
    </w:div>
    <w:div w:id="344019178">
      <w:bodyDiv w:val="1"/>
      <w:marLeft w:val="0"/>
      <w:marRight w:val="0"/>
      <w:marTop w:val="0"/>
      <w:marBottom w:val="0"/>
      <w:divBdr>
        <w:top w:val="none" w:sz="0" w:space="0" w:color="auto"/>
        <w:left w:val="none" w:sz="0" w:space="0" w:color="auto"/>
        <w:bottom w:val="none" w:sz="0" w:space="0" w:color="auto"/>
        <w:right w:val="none" w:sz="0" w:space="0" w:color="auto"/>
      </w:divBdr>
    </w:div>
    <w:div w:id="387070718">
      <w:bodyDiv w:val="1"/>
      <w:marLeft w:val="0"/>
      <w:marRight w:val="0"/>
      <w:marTop w:val="0"/>
      <w:marBottom w:val="0"/>
      <w:divBdr>
        <w:top w:val="none" w:sz="0" w:space="0" w:color="auto"/>
        <w:left w:val="none" w:sz="0" w:space="0" w:color="auto"/>
        <w:bottom w:val="none" w:sz="0" w:space="0" w:color="auto"/>
        <w:right w:val="none" w:sz="0" w:space="0" w:color="auto"/>
      </w:divBdr>
    </w:div>
    <w:div w:id="467282393">
      <w:bodyDiv w:val="1"/>
      <w:marLeft w:val="0"/>
      <w:marRight w:val="0"/>
      <w:marTop w:val="0"/>
      <w:marBottom w:val="0"/>
      <w:divBdr>
        <w:top w:val="none" w:sz="0" w:space="0" w:color="auto"/>
        <w:left w:val="none" w:sz="0" w:space="0" w:color="auto"/>
        <w:bottom w:val="none" w:sz="0" w:space="0" w:color="auto"/>
        <w:right w:val="none" w:sz="0" w:space="0" w:color="auto"/>
      </w:divBdr>
    </w:div>
    <w:div w:id="652755725">
      <w:bodyDiv w:val="1"/>
      <w:marLeft w:val="0"/>
      <w:marRight w:val="0"/>
      <w:marTop w:val="0"/>
      <w:marBottom w:val="0"/>
      <w:divBdr>
        <w:top w:val="none" w:sz="0" w:space="0" w:color="auto"/>
        <w:left w:val="none" w:sz="0" w:space="0" w:color="auto"/>
        <w:bottom w:val="none" w:sz="0" w:space="0" w:color="auto"/>
        <w:right w:val="none" w:sz="0" w:space="0" w:color="auto"/>
      </w:divBdr>
    </w:div>
    <w:div w:id="784933554">
      <w:bodyDiv w:val="1"/>
      <w:marLeft w:val="0"/>
      <w:marRight w:val="0"/>
      <w:marTop w:val="0"/>
      <w:marBottom w:val="0"/>
      <w:divBdr>
        <w:top w:val="none" w:sz="0" w:space="0" w:color="auto"/>
        <w:left w:val="none" w:sz="0" w:space="0" w:color="auto"/>
        <w:bottom w:val="none" w:sz="0" w:space="0" w:color="auto"/>
        <w:right w:val="none" w:sz="0" w:space="0" w:color="auto"/>
      </w:divBdr>
    </w:div>
    <w:div w:id="823543084">
      <w:bodyDiv w:val="1"/>
      <w:marLeft w:val="0"/>
      <w:marRight w:val="0"/>
      <w:marTop w:val="0"/>
      <w:marBottom w:val="0"/>
      <w:divBdr>
        <w:top w:val="none" w:sz="0" w:space="0" w:color="auto"/>
        <w:left w:val="none" w:sz="0" w:space="0" w:color="auto"/>
        <w:bottom w:val="none" w:sz="0" w:space="0" w:color="auto"/>
        <w:right w:val="none" w:sz="0" w:space="0" w:color="auto"/>
      </w:divBdr>
    </w:div>
    <w:div w:id="910315345">
      <w:bodyDiv w:val="1"/>
      <w:marLeft w:val="0"/>
      <w:marRight w:val="0"/>
      <w:marTop w:val="0"/>
      <w:marBottom w:val="0"/>
      <w:divBdr>
        <w:top w:val="none" w:sz="0" w:space="0" w:color="auto"/>
        <w:left w:val="none" w:sz="0" w:space="0" w:color="auto"/>
        <w:bottom w:val="none" w:sz="0" w:space="0" w:color="auto"/>
        <w:right w:val="none" w:sz="0" w:space="0" w:color="auto"/>
      </w:divBdr>
    </w:div>
    <w:div w:id="949700932">
      <w:bodyDiv w:val="1"/>
      <w:marLeft w:val="0"/>
      <w:marRight w:val="0"/>
      <w:marTop w:val="0"/>
      <w:marBottom w:val="0"/>
      <w:divBdr>
        <w:top w:val="none" w:sz="0" w:space="0" w:color="auto"/>
        <w:left w:val="none" w:sz="0" w:space="0" w:color="auto"/>
        <w:bottom w:val="none" w:sz="0" w:space="0" w:color="auto"/>
        <w:right w:val="none" w:sz="0" w:space="0" w:color="auto"/>
      </w:divBdr>
    </w:div>
    <w:div w:id="1365329465">
      <w:bodyDiv w:val="1"/>
      <w:marLeft w:val="0"/>
      <w:marRight w:val="0"/>
      <w:marTop w:val="0"/>
      <w:marBottom w:val="0"/>
      <w:divBdr>
        <w:top w:val="none" w:sz="0" w:space="0" w:color="auto"/>
        <w:left w:val="none" w:sz="0" w:space="0" w:color="auto"/>
        <w:bottom w:val="none" w:sz="0" w:space="0" w:color="auto"/>
        <w:right w:val="none" w:sz="0" w:space="0" w:color="auto"/>
      </w:divBdr>
    </w:div>
    <w:div w:id="1427382978">
      <w:bodyDiv w:val="1"/>
      <w:marLeft w:val="0"/>
      <w:marRight w:val="0"/>
      <w:marTop w:val="0"/>
      <w:marBottom w:val="0"/>
      <w:divBdr>
        <w:top w:val="none" w:sz="0" w:space="0" w:color="auto"/>
        <w:left w:val="none" w:sz="0" w:space="0" w:color="auto"/>
        <w:bottom w:val="none" w:sz="0" w:space="0" w:color="auto"/>
        <w:right w:val="none" w:sz="0" w:space="0" w:color="auto"/>
      </w:divBdr>
    </w:div>
    <w:div w:id="1639190322">
      <w:bodyDiv w:val="1"/>
      <w:marLeft w:val="0"/>
      <w:marRight w:val="0"/>
      <w:marTop w:val="0"/>
      <w:marBottom w:val="0"/>
      <w:divBdr>
        <w:top w:val="none" w:sz="0" w:space="0" w:color="auto"/>
        <w:left w:val="none" w:sz="0" w:space="0" w:color="auto"/>
        <w:bottom w:val="none" w:sz="0" w:space="0" w:color="auto"/>
        <w:right w:val="none" w:sz="0" w:space="0" w:color="auto"/>
      </w:divBdr>
    </w:div>
    <w:div w:id="1707677866">
      <w:bodyDiv w:val="1"/>
      <w:marLeft w:val="0"/>
      <w:marRight w:val="0"/>
      <w:marTop w:val="0"/>
      <w:marBottom w:val="0"/>
      <w:divBdr>
        <w:top w:val="none" w:sz="0" w:space="0" w:color="auto"/>
        <w:left w:val="none" w:sz="0" w:space="0" w:color="auto"/>
        <w:bottom w:val="none" w:sz="0" w:space="0" w:color="auto"/>
        <w:right w:val="none" w:sz="0" w:space="0" w:color="auto"/>
      </w:divBdr>
    </w:div>
    <w:div w:id="1827820389">
      <w:bodyDiv w:val="1"/>
      <w:marLeft w:val="0"/>
      <w:marRight w:val="0"/>
      <w:marTop w:val="0"/>
      <w:marBottom w:val="0"/>
      <w:divBdr>
        <w:top w:val="none" w:sz="0" w:space="0" w:color="auto"/>
        <w:left w:val="none" w:sz="0" w:space="0" w:color="auto"/>
        <w:bottom w:val="none" w:sz="0" w:space="0" w:color="auto"/>
        <w:right w:val="none" w:sz="0" w:space="0" w:color="auto"/>
      </w:divBdr>
    </w:div>
    <w:div w:id="1936746021">
      <w:bodyDiv w:val="1"/>
      <w:marLeft w:val="0"/>
      <w:marRight w:val="0"/>
      <w:marTop w:val="0"/>
      <w:marBottom w:val="0"/>
      <w:divBdr>
        <w:top w:val="none" w:sz="0" w:space="0" w:color="auto"/>
        <w:left w:val="none" w:sz="0" w:space="0" w:color="auto"/>
        <w:bottom w:val="none" w:sz="0" w:space="0" w:color="auto"/>
        <w:right w:val="none" w:sz="0" w:space="0" w:color="auto"/>
      </w:divBdr>
    </w:div>
    <w:div w:id="2017418830">
      <w:bodyDiv w:val="1"/>
      <w:marLeft w:val="0"/>
      <w:marRight w:val="0"/>
      <w:marTop w:val="0"/>
      <w:marBottom w:val="0"/>
      <w:divBdr>
        <w:top w:val="none" w:sz="0" w:space="0" w:color="auto"/>
        <w:left w:val="none" w:sz="0" w:space="0" w:color="auto"/>
        <w:bottom w:val="none" w:sz="0" w:space="0" w:color="auto"/>
        <w:right w:val="none" w:sz="0" w:space="0" w:color="auto"/>
      </w:divBdr>
    </w:div>
    <w:div w:id="2044940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F636D9-544B-4C70-B4D1-4F1AA3EEC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2493</Words>
  <Characters>14211</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Executive Summary</vt:lpstr>
    </vt:vector>
  </TitlesOfParts>
  <Company/>
  <LinksUpToDate>false</LinksUpToDate>
  <CharactersWithSpaces>16671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Executive Summary</dc:title>
  <dc:creator>COA-Philippine Charity Sweepstakes Office</dc:creator>
  <cp:lastModifiedBy>Ben A. Lazo, Jr.</cp:lastModifiedBy>
  <cp:revision>4</cp:revision>
  <cp:lastPrinted>2020-09-16T01:40:00Z</cp:lastPrinted>
  <dcterms:created xsi:type="dcterms:W3CDTF">2020-09-17T04:18:00Z</dcterms:created>
  <dcterms:modified xsi:type="dcterms:W3CDTF">2020-09-17T06:46:00Z</dcterms:modified>
</cp:coreProperties>
</file>