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6D56" w:rsidRPr="00EF4855" w:rsidRDefault="004C6D56" w:rsidP="004C6D56">
      <w:pPr>
        <w:spacing w:after="0" w:line="240" w:lineRule="auto"/>
        <w:jc w:val="center"/>
        <w:rPr>
          <w:rFonts w:ascii="Arial" w:hAnsi="Arial" w:cs="Arial"/>
          <w:b/>
        </w:rPr>
      </w:pPr>
      <w:bookmarkStart w:id="0" w:name="_GoBack"/>
      <w:bookmarkEnd w:id="0"/>
      <w:r w:rsidRPr="00EF4855">
        <w:rPr>
          <w:rFonts w:ascii="Arial" w:hAnsi="Arial" w:cs="Arial"/>
          <w:b/>
        </w:rPr>
        <w:t>PART II - OBSERVATIONS AND RECOMMENDATIONS</w:t>
      </w:r>
    </w:p>
    <w:p w:rsidR="004C6D56" w:rsidRPr="00EF4855" w:rsidRDefault="004C6D56" w:rsidP="004C6D56">
      <w:pPr>
        <w:spacing w:after="0" w:line="240" w:lineRule="auto"/>
        <w:jc w:val="both"/>
        <w:rPr>
          <w:rFonts w:ascii="Arial" w:hAnsi="Arial" w:cs="Arial"/>
          <w:b/>
        </w:rPr>
      </w:pPr>
    </w:p>
    <w:p w:rsidR="004C6D56" w:rsidRPr="00EF4855" w:rsidRDefault="004C6D56" w:rsidP="004C6D56">
      <w:pPr>
        <w:spacing w:after="0" w:line="240" w:lineRule="auto"/>
        <w:jc w:val="both"/>
        <w:rPr>
          <w:rFonts w:ascii="Arial" w:hAnsi="Arial" w:cs="Arial"/>
          <w:b/>
        </w:rPr>
      </w:pPr>
    </w:p>
    <w:p w:rsidR="00641866" w:rsidRPr="00EF4855" w:rsidRDefault="00641866" w:rsidP="00DA78B4">
      <w:pPr>
        <w:pStyle w:val="ListParagraph"/>
        <w:numPr>
          <w:ilvl w:val="0"/>
          <w:numId w:val="2"/>
        </w:numPr>
        <w:ind w:hanging="720"/>
        <w:contextualSpacing/>
        <w:jc w:val="both"/>
        <w:rPr>
          <w:rFonts w:ascii="Arial" w:hAnsi="Arial" w:cs="Arial"/>
          <w:b/>
          <w:color w:val="000000"/>
          <w:sz w:val="22"/>
          <w:szCs w:val="22"/>
          <w:u w:val="single"/>
          <w:lang w:eastAsia="en-PH"/>
        </w:rPr>
      </w:pPr>
      <w:r w:rsidRPr="00EF4855">
        <w:rPr>
          <w:rFonts w:ascii="Arial" w:hAnsi="Arial" w:cs="Arial"/>
          <w:b/>
          <w:color w:val="000000"/>
          <w:sz w:val="22"/>
          <w:szCs w:val="22"/>
          <w:u w:val="single"/>
          <w:lang w:eastAsia="en-PH"/>
        </w:rPr>
        <w:t>FINANCIAL</w:t>
      </w:r>
    </w:p>
    <w:p w:rsidR="00AB2FD1" w:rsidRPr="00EF4855" w:rsidRDefault="00AB2FD1" w:rsidP="004C39E3">
      <w:pPr>
        <w:pStyle w:val="ListParagraph"/>
        <w:jc w:val="both"/>
        <w:rPr>
          <w:rFonts w:ascii="Arial" w:hAnsi="Arial" w:cs="Arial"/>
          <w:sz w:val="22"/>
          <w:szCs w:val="22"/>
        </w:rPr>
      </w:pPr>
    </w:p>
    <w:p w:rsidR="00F81AA1" w:rsidRPr="00834FC3" w:rsidRDefault="00B209D2" w:rsidP="00DA78B4">
      <w:pPr>
        <w:pStyle w:val="ListParagraph"/>
        <w:numPr>
          <w:ilvl w:val="0"/>
          <w:numId w:val="1"/>
        </w:numPr>
        <w:ind w:left="720" w:hanging="720"/>
        <w:jc w:val="both"/>
        <w:rPr>
          <w:rFonts w:ascii="Arial" w:hAnsi="Arial" w:cs="Arial"/>
          <w:b/>
          <w:color w:val="FF0000"/>
          <w:sz w:val="22"/>
          <w:szCs w:val="22"/>
        </w:rPr>
      </w:pPr>
      <w:r w:rsidRPr="00424846">
        <w:rPr>
          <w:rFonts w:ascii="Arial" w:hAnsi="Arial" w:cs="Arial"/>
          <w:b/>
          <w:sz w:val="22"/>
          <w:szCs w:val="22"/>
        </w:rPr>
        <w:t xml:space="preserve">Presumptive Monthly Retail Receipts </w:t>
      </w:r>
      <w:r w:rsidR="00B33142" w:rsidRPr="00424846">
        <w:rPr>
          <w:rFonts w:ascii="Arial" w:hAnsi="Arial" w:cs="Arial"/>
          <w:b/>
          <w:sz w:val="22"/>
          <w:szCs w:val="22"/>
        </w:rPr>
        <w:t>(</w:t>
      </w:r>
      <w:r w:rsidR="00F7002B" w:rsidRPr="00424846">
        <w:rPr>
          <w:rFonts w:ascii="Arial" w:hAnsi="Arial" w:cs="Arial"/>
          <w:b/>
          <w:sz w:val="22"/>
          <w:szCs w:val="22"/>
        </w:rPr>
        <w:t>PMRR</w:t>
      </w:r>
      <w:r w:rsidR="00B33142" w:rsidRPr="00424846">
        <w:rPr>
          <w:rFonts w:ascii="Arial" w:hAnsi="Arial" w:cs="Arial"/>
          <w:b/>
          <w:sz w:val="22"/>
          <w:szCs w:val="22"/>
        </w:rPr>
        <w:t>)</w:t>
      </w:r>
      <w:r w:rsidR="00F7002B" w:rsidRPr="00424846">
        <w:rPr>
          <w:rFonts w:ascii="Arial" w:hAnsi="Arial" w:cs="Arial"/>
          <w:b/>
          <w:sz w:val="22"/>
          <w:szCs w:val="22"/>
        </w:rPr>
        <w:t xml:space="preserve"> S</w:t>
      </w:r>
      <w:r w:rsidR="00F81AA1" w:rsidRPr="00424846">
        <w:rPr>
          <w:rFonts w:ascii="Arial" w:hAnsi="Arial" w:cs="Arial"/>
          <w:b/>
          <w:sz w:val="22"/>
          <w:szCs w:val="22"/>
        </w:rPr>
        <w:t>hortfall</w:t>
      </w:r>
      <w:r w:rsidR="00B33142" w:rsidRPr="00424846">
        <w:rPr>
          <w:rFonts w:ascii="Arial" w:hAnsi="Arial" w:cs="Arial"/>
          <w:b/>
          <w:sz w:val="22"/>
          <w:szCs w:val="22"/>
        </w:rPr>
        <w:t>s</w:t>
      </w:r>
      <w:r w:rsidR="00F81AA1" w:rsidRPr="00424846">
        <w:rPr>
          <w:rFonts w:ascii="Arial" w:hAnsi="Arial" w:cs="Arial"/>
          <w:b/>
          <w:sz w:val="22"/>
          <w:szCs w:val="22"/>
        </w:rPr>
        <w:t xml:space="preserve"> for </w:t>
      </w:r>
      <w:r w:rsidR="00834FC3" w:rsidRPr="00424846">
        <w:rPr>
          <w:rFonts w:ascii="Arial" w:hAnsi="Arial" w:cs="Arial"/>
          <w:b/>
          <w:sz w:val="22"/>
          <w:szCs w:val="22"/>
        </w:rPr>
        <w:t>calendar years (</w:t>
      </w:r>
      <w:r w:rsidR="00F81AA1" w:rsidRPr="00424846">
        <w:rPr>
          <w:rFonts w:ascii="Arial" w:hAnsi="Arial" w:cs="Arial"/>
          <w:b/>
          <w:sz w:val="22"/>
          <w:szCs w:val="22"/>
        </w:rPr>
        <w:t>CY</w:t>
      </w:r>
      <w:r w:rsidR="00834FC3" w:rsidRPr="00424846">
        <w:rPr>
          <w:rFonts w:ascii="Arial" w:hAnsi="Arial" w:cs="Arial"/>
          <w:b/>
          <w:sz w:val="22"/>
          <w:szCs w:val="22"/>
        </w:rPr>
        <w:t>s)</w:t>
      </w:r>
      <w:r w:rsidR="00F81AA1" w:rsidRPr="00424846">
        <w:rPr>
          <w:rFonts w:ascii="Arial" w:hAnsi="Arial" w:cs="Arial"/>
          <w:b/>
          <w:sz w:val="22"/>
          <w:szCs w:val="22"/>
        </w:rPr>
        <w:t xml:space="preserve"> 2018</w:t>
      </w:r>
      <w:r w:rsidR="00834FC3" w:rsidRPr="00424846">
        <w:rPr>
          <w:rFonts w:ascii="Arial" w:hAnsi="Arial" w:cs="Arial"/>
          <w:b/>
          <w:sz w:val="22"/>
          <w:szCs w:val="22"/>
        </w:rPr>
        <w:t xml:space="preserve"> and 2017</w:t>
      </w:r>
      <w:r w:rsidR="00F81AA1" w:rsidRPr="00424846">
        <w:rPr>
          <w:rFonts w:ascii="Arial" w:hAnsi="Arial" w:cs="Arial"/>
          <w:b/>
          <w:sz w:val="22"/>
          <w:szCs w:val="22"/>
        </w:rPr>
        <w:t xml:space="preserve"> in the total amount</w:t>
      </w:r>
      <w:r w:rsidR="00834FC3" w:rsidRPr="00424846">
        <w:rPr>
          <w:rFonts w:ascii="Arial" w:hAnsi="Arial" w:cs="Arial"/>
          <w:b/>
          <w:sz w:val="22"/>
          <w:szCs w:val="22"/>
        </w:rPr>
        <w:t>s</w:t>
      </w:r>
      <w:r w:rsidR="00F81AA1" w:rsidRPr="00424846">
        <w:rPr>
          <w:rFonts w:ascii="Arial" w:hAnsi="Arial" w:cs="Arial"/>
          <w:b/>
          <w:sz w:val="22"/>
          <w:szCs w:val="22"/>
        </w:rPr>
        <w:t xml:space="preserve"> of P7</w:t>
      </w:r>
      <w:r w:rsidR="006A47FE" w:rsidRPr="00424846">
        <w:rPr>
          <w:rFonts w:ascii="Arial" w:hAnsi="Arial" w:cs="Arial"/>
          <w:b/>
          <w:sz w:val="22"/>
          <w:szCs w:val="22"/>
        </w:rPr>
        <w:t>.</w:t>
      </w:r>
      <w:r w:rsidR="00F81AA1" w:rsidRPr="00424846">
        <w:rPr>
          <w:rFonts w:ascii="Arial" w:hAnsi="Arial" w:cs="Arial"/>
          <w:b/>
          <w:sz w:val="22"/>
          <w:szCs w:val="22"/>
        </w:rPr>
        <w:t>320</w:t>
      </w:r>
      <w:r w:rsidR="006A47FE" w:rsidRPr="00424846">
        <w:rPr>
          <w:rFonts w:ascii="Arial" w:hAnsi="Arial" w:cs="Arial"/>
          <w:b/>
          <w:sz w:val="22"/>
          <w:szCs w:val="22"/>
        </w:rPr>
        <w:t xml:space="preserve"> billion</w:t>
      </w:r>
      <w:r w:rsidR="00834FC3" w:rsidRPr="00424846">
        <w:rPr>
          <w:rFonts w:ascii="Arial" w:hAnsi="Arial" w:cs="Arial"/>
          <w:b/>
          <w:sz w:val="22"/>
          <w:szCs w:val="22"/>
        </w:rPr>
        <w:t xml:space="preserve"> and P</w:t>
      </w:r>
      <w:r w:rsidR="006D2B80">
        <w:rPr>
          <w:rFonts w:ascii="Arial" w:hAnsi="Arial" w:cs="Arial"/>
          <w:b/>
          <w:sz w:val="22"/>
          <w:szCs w:val="22"/>
        </w:rPr>
        <w:t>7.589</w:t>
      </w:r>
      <w:r w:rsidR="00834FC3" w:rsidRPr="00424846">
        <w:rPr>
          <w:rFonts w:ascii="Arial" w:hAnsi="Arial" w:cs="Arial"/>
          <w:b/>
          <w:sz w:val="22"/>
          <w:szCs w:val="22"/>
        </w:rPr>
        <w:t xml:space="preserve"> billion</w:t>
      </w:r>
      <w:r w:rsidR="00F81AA1" w:rsidRPr="00424846">
        <w:rPr>
          <w:rFonts w:ascii="Arial" w:hAnsi="Arial" w:cs="Arial"/>
          <w:b/>
          <w:sz w:val="22"/>
          <w:szCs w:val="22"/>
        </w:rPr>
        <w:t xml:space="preserve"> and the corresponding amount</w:t>
      </w:r>
      <w:r w:rsidR="00E750E7">
        <w:rPr>
          <w:rFonts w:ascii="Arial" w:hAnsi="Arial" w:cs="Arial"/>
          <w:b/>
          <w:sz w:val="22"/>
          <w:szCs w:val="22"/>
        </w:rPr>
        <w:t>s</w:t>
      </w:r>
      <w:r w:rsidR="00B33142" w:rsidRPr="00424846">
        <w:rPr>
          <w:rFonts w:ascii="Arial" w:hAnsi="Arial" w:cs="Arial"/>
          <w:b/>
          <w:sz w:val="22"/>
          <w:szCs w:val="22"/>
        </w:rPr>
        <w:t xml:space="preserve"> </w:t>
      </w:r>
      <w:r w:rsidR="00F81AA1" w:rsidRPr="00424846">
        <w:rPr>
          <w:rFonts w:ascii="Arial" w:hAnsi="Arial" w:cs="Arial"/>
          <w:b/>
          <w:sz w:val="22"/>
          <w:szCs w:val="22"/>
        </w:rPr>
        <w:t>of Shortfall</w:t>
      </w:r>
      <w:r w:rsidR="00DB4365">
        <w:rPr>
          <w:rFonts w:ascii="Arial" w:hAnsi="Arial" w:cs="Arial"/>
          <w:b/>
          <w:sz w:val="22"/>
          <w:szCs w:val="22"/>
        </w:rPr>
        <w:t>s</w:t>
      </w:r>
      <w:r w:rsidR="00F81AA1" w:rsidRPr="00424846">
        <w:rPr>
          <w:rFonts w:ascii="Arial" w:hAnsi="Arial" w:cs="Arial"/>
          <w:b/>
          <w:sz w:val="22"/>
          <w:szCs w:val="22"/>
        </w:rPr>
        <w:t xml:space="preserve"> due to PCSO totaling P3</w:t>
      </w:r>
      <w:r w:rsidR="006A47FE" w:rsidRPr="00424846">
        <w:rPr>
          <w:rFonts w:ascii="Arial" w:hAnsi="Arial" w:cs="Arial"/>
          <w:b/>
          <w:sz w:val="22"/>
          <w:szCs w:val="22"/>
        </w:rPr>
        <w:t>.</w:t>
      </w:r>
      <w:r w:rsidR="00F81AA1" w:rsidRPr="00424846">
        <w:rPr>
          <w:rFonts w:ascii="Arial" w:hAnsi="Arial" w:cs="Arial"/>
          <w:b/>
          <w:sz w:val="22"/>
          <w:szCs w:val="22"/>
        </w:rPr>
        <w:t>051</w:t>
      </w:r>
      <w:r w:rsidR="006A47FE" w:rsidRPr="00424846">
        <w:rPr>
          <w:rFonts w:ascii="Arial" w:hAnsi="Arial" w:cs="Arial"/>
          <w:b/>
          <w:sz w:val="22"/>
          <w:szCs w:val="22"/>
        </w:rPr>
        <w:t xml:space="preserve"> billion</w:t>
      </w:r>
      <w:r w:rsidR="00F81AA1" w:rsidRPr="00424846">
        <w:rPr>
          <w:rFonts w:ascii="Arial" w:hAnsi="Arial" w:cs="Arial"/>
          <w:b/>
          <w:sz w:val="22"/>
          <w:szCs w:val="22"/>
        </w:rPr>
        <w:t xml:space="preserve"> </w:t>
      </w:r>
      <w:r w:rsidR="00834FC3" w:rsidRPr="00424846">
        <w:rPr>
          <w:rFonts w:ascii="Arial" w:hAnsi="Arial" w:cs="Arial"/>
          <w:b/>
          <w:sz w:val="22"/>
          <w:szCs w:val="22"/>
        </w:rPr>
        <w:t>and P2.</w:t>
      </w:r>
      <w:r w:rsidR="00424846" w:rsidRPr="00424846">
        <w:rPr>
          <w:rFonts w:ascii="Arial" w:hAnsi="Arial" w:cs="Arial"/>
          <w:b/>
          <w:sz w:val="22"/>
          <w:szCs w:val="22"/>
        </w:rPr>
        <w:t>983 billion</w:t>
      </w:r>
      <w:r w:rsidR="00E750E7">
        <w:rPr>
          <w:rFonts w:ascii="Arial" w:hAnsi="Arial" w:cs="Arial"/>
          <w:b/>
          <w:sz w:val="22"/>
          <w:szCs w:val="22"/>
        </w:rPr>
        <w:t>, respectively,</w:t>
      </w:r>
      <w:r w:rsidR="00424846" w:rsidRPr="00424846">
        <w:rPr>
          <w:rFonts w:ascii="Arial" w:hAnsi="Arial" w:cs="Arial"/>
          <w:b/>
          <w:sz w:val="22"/>
          <w:szCs w:val="22"/>
        </w:rPr>
        <w:t xml:space="preserve"> </w:t>
      </w:r>
      <w:r w:rsidR="00F81AA1" w:rsidRPr="00424846">
        <w:rPr>
          <w:rFonts w:ascii="Arial" w:hAnsi="Arial" w:cs="Arial"/>
          <w:b/>
          <w:sz w:val="22"/>
          <w:szCs w:val="22"/>
        </w:rPr>
        <w:t>were not recognized in the books of PCSO despite being valid revenues and receivables from</w:t>
      </w:r>
      <w:r w:rsidR="001961E6" w:rsidRPr="00424846">
        <w:rPr>
          <w:rFonts w:ascii="Arial" w:hAnsi="Arial" w:cs="Arial"/>
          <w:b/>
          <w:sz w:val="22"/>
          <w:szCs w:val="22"/>
        </w:rPr>
        <w:t xml:space="preserve"> the Authorized </w:t>
      </w:r>
      <w:r w:rsidR="00B179E9" w:rsidRPr="00424846">
        <w:rPr>
          <w:rFonts w:ascii="Arial" w:hAnsi="Arial" w:cs="Arial"/>
          <w:b/>
          <w:sz w:val="22"/>
          <w:szCs w:val="22"/>
        </w:rPr>
        <w:t>Small Town Lottery (</w:t>
      </w:r>
      <w:r w:rsidR="001961E6" w:rsidRPr="00424846">
        <w:rPr>
          <w:rFonts w:ascii="Arial" w:hAnsi="Arial" w:cs="Arial"/>
          <w:b/>
          <w:sz w:val="22"/>
          <w:szCs w:val="22"/>
        </w:rPr>
        <w:t>STL</w:t>
      </w:r>
      <w:r w:rsidR="00B179E9" w:rsidRPr="00424846">
        <w:rPr>
          <w:rFonts w:ascii="Arial" w:hAnsi="Arial" w:cs="Arial"/>
          <w:b/>
          <w:sz w:val="22"/>
          <w:szCs w:val="22"/>
        </w:rPr>
        <w:t>)</w:t>
      </w:r>
      <w:r w:rsidR="001961E6" w:rsidRPr="00424846">
        <w:rPr>
          <w:rFonts w:ascii="Arial" w:hAnsi="Arial" w:cs="Arial"/>
          <w:b/>
          <w:sz w:val="22"/>
          <w:szCs w:val="22"/>
        </w:rPr>
        <w:t xml:space="preserve"> Agents</w:t>
      </w:r>
      <w:r w:rsidR="00F81AA1" w:rsidRPr="00424846">
        <w:rPr>
          <w:rFonts w:ascii="Arial" w:hAnsi="Arial" w:cs="Arial"/>
          <w:b/>
          <w:sz w:val="22"/>
          <w:szCs w:val="22"/>
        </w:rPr>
        <w:t xml:space="preserve"> </w:t>
      </w:r>
      <w:r w:rsidR="001961E6" w:rsidRPr="00424846">
        <w:rPr>
          <w:rFonts w:ascii="Arial" w:hAnsi="Arial" w:cs="Arial"/>
          <w:b/>
          <w:sz w:val="22"/>
          <w:szCs w:val="22"/>
        </w:rPr>
        <w:t>(</w:t>
      </w:r>
      <w:r w:rsidR="00F81AA1" w:rsidRPr="00424846">
        <w:rPr>
          <w:rFonts w:ascii="Arial" w:hAnsi="Arial" w:cs="Arial"/>
          <w:b/>
          <w:sz w:val="22"/>
          <w:szCs w:val="22"/>
        </w:rPr>
        <w:t>ASAs</w:t>
      </w:r>
      <w:r w:rsidR="001961E6" w:rsidRPr="00424846">
        <w:rPr>
          <w:rFonts w:ascii="Arial" w:hAnsi="Arial" w:cs="Arial"/>
          <w:b/>
          <w:sz w:val="22"/>
          <w:szCs w:val="22"/>
        </w:rPr>
        <w:t>)</w:t>
      </w:r>
      <w:r w:rsidR="00F81AA1" w:rsidRPr="00424846">
        <w:rPr>
          <w:rFonts w:ascii="Arial" w:hAnsi="Arial" w:cs="Arial"/>
          <w:b/>
          <w:sz w:val="22"/>
          <w:szCs w:val="22"/>
        </w:rPr>
        <w:t xml:space="preserve">, as defined under the </w:t>
      </w:r>
      <w:r w:rsidR="001961E6" w:rsidRPr="00424846">
        <w:rPr>
          <w:rFonts w:ascii="Arial" w:eastAsia="Calibri" w:hAnsi="Arial" w:cs="Arial"/>
          <w:b/>
          <w:sz w:val="22"/>
          <w:szCs w:val="22"/>
        </w:rPr>
        <w:t>Philippine Accounting Standard (</w:t>
      </w:r>
      <w:r w:rsidR="00F81AA1" w:rsidRPr="00424846">
        <w:rPr>
          <w:rFonts w:ascii="Arial" w:hAnsi="Arial" w:cs="Arial"/>
          <w:b/>
          <w:sz w:val="22"/>
          <w:szCs w:val="22"/>
        </w:rPr>
        <w:t>P</w:t>
      </w:r>
      <w:r w:rsidR="00F7002B" w:rsidRPr="00424846">
        <w:rPr>
          <w:rFonts w:ascii="Arial" w:hAnsi="Arial" w:cs="Arial"/>
          <w:b/>
          <w:sz w:val="22"/>
          <w:szCs w:val="22"/>
        </w:rPr>
        <w:t>AS</w:t>
      </w:r>
      <w:r w:rsidR="001961E6" w:rsidRPr="00424846">
        <w:rPr>
          <w:rFonts w:ascii="Arial" w:hAnsi="Arial" w:cs="Arial"/>
          <w:b/>
          <w:sz w:val="22"/>
          <w:szCs w:val="22"/>
        </w:rPr>
        <w:t xml:space="preserve">) </w:t>
      </w:r>
      <w:r w:rsidR="00F81AA1" w:rsidRPr="00424846">
        <w:rPr>
          <w:rFonts w:ascii="Arial" w:hAnsi="Arial" w:cs="Arial"/>
          <w:b/>
          <w:sz w:val="22"/>
          <w:szCs w:val="22"/>
        </w:rPr>
        <w:t>1 and the Conceptual Fr</w:t>
      </w:r>
      <w:r w:rsidR="001961E6" w:rsidRPr="00424846">
        <w:rPr>
          <w:rFonts w:ascii="Arial" w:hAnsi="Arial" w:cs="Arial"/>
          <w:b/>
          <w:sz w:val="22"/>
          <w:szCs w:val="22"/>
        </w:rPr>
        <w:t xml:space="preserve">amework for Financial Reporting (CFFR), </w:t>
      </w:r>
      <w:r w:rsidR="00F81AA1" w:rsidRPr="00424846">
        <w:rPr>
          <w:rFonts w:ascii="Arial" w:hAnsi="Arial" w:cs="Arial"/>
          <w:b/>
          <w:sz w:val="22"/>
          <w:szCs w:val="22"/>
        </w:rPr>
        <w:t>resulting i</w:t>
      </w:r>
      <w:r w:rsidR="001961E6" w:rsidRPr="00424846">
        <w:rPr>
          <w:rFonts w:ascii="Arial" w:hAnsi="Arial" w:cs="Arial"/>
          <w:b/>
          <w:sz w:val="22"/>
          <w:szCs w:val="22"/>
        </w:rPr>
        <w:t>n the understatement of revenues</w:t>
      </w:r>
      <w:r w:rsidR="00834FC3" w:rsidRPr="00424846">
        <w:rPr>
          <w:rFonts w:ascii="Arial" w:hAnsi="Arial" w:cs="Arial"/>
          <w:b/>
          <w:sz w:val="22"/>
          <w:szCs w:val="22"/>
        </w:rPr>
        <w:t>, Retained Earnings and receivables - STL</w:t>
      </w:r>
      <w:r w:rsidR="001961E6" w:rsidRPr="00424846">
        <w:rPr>
          <w:rFonts w:ascii="Arial" w:hAnsi="Arial" w:cs="Arial"/>
          <w:b/>
          <w:sz w:val="22"/>
          <w:szCs w:val="22"/>
        </w:rPr>
        <w:t xml:space="preserve"> by P7.320 billion</w:t>
      </w:r>
      <w:r w:rsidR="002D1B47">
        <w:rPr>
          <w:rFonts w:ascii="Arial" w:hAnsi="Arial" w:cs="Arial"/>
          <w:b/>
          <w:sz w:val="22"/>
          <w:szCs w:val="22"/>
        </w:rPr>
        <w:t>, P2.983</w:t>
      </w:r>
      <w:r w:rsidR="00834FC3" w:rsidRPr="00424846">
        <w:rPr>
          <w:rFonts w:ascii="Arial" w:hAnsi="Arial" w:cs="Arial"/>
          <w:b/>
          <w:sz w:val="22"/>
          <w:szCs w:val="22"/>
        </w:rPr>
        <w:t xml:space="preserve"> billion and</w:t>
      </w:r>
      <w:r w:rsidR="00F81AA1" w:rsidRPr="00424846">
        <w:rPr>
          <w:rFonts w:ascii="Arial" w:hAnsi="Arial" w:cs="Arial"/>
          <w:b/>
          <w:sz w:val="22"/>
          <w:szCs w:val="22"/>
        </w:rPr>
        <w:t xml:space="preserve"> </w:t>
      </w:r>
      <w:r w:rsidR="001961E6" w:rsidRPr="00424846">
        <w:rPr>
          <w:rFonts w:ascii="Arial" w:hAnsi="Arial" w:cs="Arial"/>
          <w:b/>
          <w:sz w:val="22"/>
          <w:szCs w:val="22"/>
        </w:rPr>
        <w:t>P</w:t>
      </w:r>
      <w:r w:rsidR="00424846">
        <w:rPr>
          <w:rFonts w:ascii="Arial" w:hAnsi="Arial" w:cs="Arial"/>
          <w:b/>
          <w:sz w:val="22"/>
          <w:szCs w:val="22"/>
        </w:rPr>
        <w:t>6.034</w:t>
      </w:r>
      <w:r w:rsidR="001961E6" w:rsidRPr="00424846">
        <w:rPr>
          <w:rFonts w:ascii="Arial" w:hAnsi="Arial" w:cs="Arial"/>
          <w:b/>
          <w:sz w:val="22"/>
          <w:szCs w:val="22"/>
        </w:rPr>
        <w:t xml:space="preserve"> billion</w:t>
      </w:r>
      <w:r w:rsidR="00834FC3" w:rsidRPr="00424846">
        <w:rPr>
          <w:rFonts w:ascii="Arial" w:hAnsi="Arial" w:cs="Arial"/>
          <w:b/>
          <w:sz w:val="22"/>
          <w:szCs w:val="22"/>
        </w:rPr>
        <w:t>, respectively</w:t>
      </w:r>
      <w:r w:rsidR="001961E6" w:rsidRPr="00424846">
        <w:rPr>
          <w:rFonts w:ascii="Arial" w:hAnsi="Arial" w:cs="Arial"/>
          <w:b/>
          <w:sz w:val="22"/>
          <w:szCs w:val="22"/>
        </w:rPr>
        <w:t>.</w:t>
      </w:r>
      <w:r w:rsidR="001961E6" w:rsidRPr="00834FC3">
        <w:rPr>
          <w:rFonts w:ascii="Arial" w:hAnsi="Arial" w:cs="Arial"/>
          <w:b/>
          <w:color w:val="FF0000"/>
          <w:sz w:val="22"/>
          <w:szCs w:val="22"/>
        </w:rPr>
        <w:t xml:space="preserve"> </w:t>
      </w:r>
    </w:p>
    <w:p w:rsidR="00F81AA1" w:rsidRPr="00EF4855" w:rsidRDefault="00F81AA1" w:rsidP="004C39E3">
      <w:pPr>
        <w:pStyle w:val="ListParagraph"/>
        <w:ind w:left="732"/>
        <w:jc w:val="both"/>
        <w:rPr>
          <w:rFonts w:ascii="Arial" w:hAnsi="Arial" w:cs="Arial"/>
          <w:b/>
          <w:sz w:val="22"/>
          <w:szCs w:val="22"/>
        </w:rPr>
      </w:pPr>
    </w:p>
    <w:p w:rsidR="001443AD" w:rsidRPr="004F6C55" w:rsidRDefault="0051494B" w:rsidP="00DA78B4">
      <w:pPr>
        <w:pStyle w:val="ListParagraph"/>
        <w:numPr>
          <w:ilvl w:val="1"/>
          <w:numId w:val="1"/>
        </w:numPr>
        <w:ind w:left="1440"/>
        <w:contextualSpacing/>
        <w:jc w:val="both"/>
        <w:rPr>
          <w:rFonts w:ascii="Arial" w:eastAsia="Calibri" w:hAnsi="Arial" w:cs="Arial"/>
          <w:sz w:val="22"/>
          <w:szCs w:val="22"/>
        </w:rPr>
      </w:pPr>
      <w:r w:rsidRPr="004F6C55">
        <w:rPr>
          <w:rFonts w:ascii="Arial" w:eastAsia="Calibri" w:hAnsi="Arial" w:cs="Arial"/>
          <w:sz w:val="22"/>
          <w:szCs w:val="22"/>
        </w:rPr>
        <w:t>Paragraph</w:t>
      </w:r>
      <w:r w:rsidR="001443AD" w:rsidRPr="004F6C55">
        <w:rPr>
          <w:rFonts w:ascii="Arial" w:eastAsia="Calibri" w:hAnsi="Arial" w:cs="Arial"/>
          <w:sz w:val="22"/>
          <w:szCs w:val="22"/>
        </w:rPr>
        <w:t>s</w:t>
      </w:r>
      <w:r w:rsidRPr="004F6C55">
        <w:rPr>
          <w:rFonts w:ascii="Arial" w:eastAsia="Calibri" w:hAnsi="Arial" w:cs="Arial"/>
          <w:sz w:val="22"/>
          <w:szCs w:val="22"/>
        </w:rPr>
        <w:t xml:space="preserve"> 27</w:t>
      </w:r>
      <w:r w:rsidR="001443AD" w:rsidRPr="004F6C55">
        <w:rPr>
          <w:rFonts w:ascii="Arial" w:eastAsia="Calibri" w:hAnsi="Arial" w:cs="Arial"/>
          <w:sz w:val="22"/>
          <w:szCs w:val="22"/>
        </w:rPr>
        <w:t xml:space="preserve"> and 28 </w:t>
      </w:r>
      <w:r w:rsidR="001961E6">
        <w:rPr>
          <w:rFonts w:ascii="Arial" w:eastAsia="Calibri" w:hAnsi="Arial" w:cs="Arial"/>
          <w:sz w:val="22"/>
          <w:szCs w:val="22"/>
        </w:rPr>
        <w:t xml:space="preserve">of PAS </w:t>
      </w:r>
      <w:r w:rsidRPr="004F6C55">
        <w:rPr>
          <w:rFonts w:ascii="Arial" w:eastAsia="Calibri" w:hAnsi="Arial" w:cs="Arial"/>
          <w:sz w:val="22"/>
          <w:szCs w:val="22"/>
        </w:rPr>
        <w:t xml:space="preserve">1 </w:t>
      </w:r>
      <w:r w:rsidR="001961E6">
        <w:rPr>
          <w:rFonts w:ascii="Arial" w:eastAsia="Calibri" w:hAnsi="Arial" w:cs="Arial"/>
          <w:sz w:val="22"/>
          <w:szCs w:val="22"/>
        </w:rPr>
        <w:t>provide</w:t>
      </w:r>
      <w:r w:rsidR="001443AD" w:rsidRPr="004F6C55">
        <w:rPr>
          <w:rFonts w:ascii="Arial" w:eastAsia="Calibri" w:hAnsi="Arial" w:cs="Arial"/>
          <w:sz w:val="22"/>
          <w:szCs w:val="22"/>
        </w:rPr>
        <w:t>:</w:t>
      </w:r>
    </w:p>
    <w:p w:rsidR="001443AD" w:rsidRPr="004F6C55" w:rsidRDefault="001443AD" w:rsidP="004F6C55">
      <w:pPr>
        <w:pStyle w:val="ListParagraph"/>
        <w:ind w:left="1080"/>
        <w:contextualSpacing/>
        <w:jc w:val="both"/>
        <w:rPr>
          <w:rFonts w:ascii="Arial" w:eastAsia="Calibri" w:hAnsi="Arial" w:cs="Arial"/>
          <w:sz w:val="22"/>
          <w:szCs w:val="22"/>
        </w:rPr>
      </w:pPr>
    </w:p>
    <w:p w:rsidR="0051494B" w:rsidRPr="00B179E9" w:rsidRDefault="001443AD" w:rsidP="004F6C55">
      <w:pPr>
        <w:pStyle w:val="ListParagraph"/>
        <w:ind w:left="2160" w:right="720" w:hanging="540"/>
        <w:contextualSpacing/>
        <w:jc w:val="both"/>
        <w:rPr>
          <w:rFonts w:ascii="Arial" w:hAnsi="Arial" w:cs="Arial"/>
          <w:i/>
        </w:rPr>
      </w:pPr>
      <w:r w:rsidRPr="00B179E9">
        <w:rPr>
          <w:rFonts w:ascii="Arial" w:hAnsi="Arial" w:cs="Arial"/>
          <w:i/>
          <w:sz w:val="22"/>
          <w:szCs w:val="22"/>
        </w:rPr>
        <w:t>27.</w:t>
      </w:r>
      <w:r w:rsidR="00EF4855" w:rsidRPr="00B179E9">
        <w:rPr>
          <w:rFonts w:ascii="Arial" w:hAnsi="Arial" w:cs="Arial"/>
          <w:i/>
          <w:sz w:val="22"/>
          <w:szCs w:val="22"/>
        </w:rPr>
        <w:tab/>
      </w:r>
      <w:r w:rsidR="0051494B" w:rsidRPr="00B179E9">
        <w:rPr>
          <w:rFonts w:ascii="Arial" w:hAnsi="Arial" w:cs="Arial"/>
          <w:i/>
          <w:sz w:val="22"/>
          <w:szCs w:val="22"/>
        </w:rPr>
        <w:t xml:space="preserve">An entity shall prepare its financial statements, except for cash flow information, using the accrual basis of accounting.  </w:t>
      </w:r>
    </w:p>
    <w:p w:rsidR="0051494B" w:rsidRPr="00B179E9" w:rsidRDefault="0051494B" w:rsidP="004C39E3">
      <w:pPr>
        <w:pStyle w:val="ListParagraph"/>
        <w:autoSpaceDE w:val="0"/>
        <w:autoSpaceDN w:val="0"/>
        <w:adjustRightInd w:val="0"/>
        <w:ind w:right="730"/>
        <w:jc w:val="both"/>
        <w:rPr>
          <w:rFonts w:ascii="Arial" w:hAnsi="Arial" w:cs="Arial"/>
          <w:i/>
          <w:sz w:val="22"/>
          <w:szCs w:val="22"/>
        </w:rPr>
      </w:pPr>
    </w:p>
    <w:p w:rsidR="0051494B" w:rsidRPr="00B64B09" w:rsidRDefault="001443AD" w:rsidP="004F6C55">
      <w:pPr>
        <w:pStyle w:val="ListParagraph"/>
        <w:ind w:left="2160" w:right="720" w:hanging="533"/>
        <w:contextualSpacing/>
        <w:jc w:val="both"/>
        <w:rPr>
          <w:rFonts w:ascii="Arial" w:hAnsi="Arial" w:cs="Arial"/>
          <w:i/>
        </w:rPr>
      </w:pPr>
      <w:r w:rsidRPr="00B179E9">
        <w:rPr>
          <w:rFonts w:ascii="Arial" w:hAnsi="Arial" w:cs="Arial"/>
          <w:i/>
          <w:sz w:val="22"/>
          <w:szCs w:val="22"/>
        </w:rPr>
        <w:t>28</w:t>
      </w:r>
      <w:r w:rsidRPr="004F6C55">
        <w:rPr>
          <w:rFonts w:ascii="Arial" w:hAnsi="Arial" w:cs="Arial"/>
          <w:sz w:val="22"/>
          <w:szCs w:val="22"/>
        </w:rPr>
        <w:t>.</w:t>
      </w:r>
      <w:r w:rsidR="00EF4855" w:rsidRPr="004F6C55">
        <w:rPr>
          <w:rFonts w:ascii="Arial" w:hAnsi="Arial" w:cs="Arial"/>
          <w:sz w:val="22"/>
          <w:szCs w:val="22"/>
        </w:rPr>
        <w:tab/>
      </w:r>
      <w:r w:rsidRPr="004F6C55">
        <w:rPr>
          <w:rFonts w:ascii="Arial" w:hAnsi="Arial" w:cs="Arial"/>
          <w:i/>
          <w:sz w:val="22"/>
          <w:szCs w:val="22"/>
        </w:rPr>
        <w:t xml:space="preserve">When </w:t>
      </w:r>
      <w:r w:rsidR="0051494B" w:rsidRPr="004F6C55">
        <w:rPr>
          <w:rFonts w:ascii="Arial" w:hAnsi="Arial" w:cs="Arial"/>
          <w:i/>
          <w:sz w:val="22"/>
          <w:szCs w:val="22"/>
        </w:rPr>
        <w:t>the accrual basis of accounting is used, items are</w:t>
      </w:r>
      <w:r w:rsidR="00D64562" w:rsidRPr="004F6C55">
        <w:rPr>
          <w:rFonts w:ascii="Arial" w:hAnsi="Arial" w:cs="Arial"/>
          <w:i/>
          <w:sz w:val="22"/>
          <w:szCs w:val="22"/>
        </w:rPr>
        <w:t xml:space="preserve"> </w:t>
      </w:r>
      <w:r w:rsidR="0051494B" w:rsidRPr="004F6C55">
        <w:rPr>
          <w:rFonts w:ascii="Arial" w:hAnsi="Arial" w:cs="Arial"/>
          <w:i/>
          <w:sz w:val="22"/>
          <w:szCs w:val="22"/>
        </w:rPr>
        <w:t xml:space="preserve">recognized as assets, liabilities, equity, income, and expenses (the elements of financial statements) when they satisfy the definition of and recognition criteria for </w:t>
      </w:r>
      <w:r w:rsidR="001961E6">
        <w:rPr>
          <w:rFonts w:ascii="Arial" w:hAnsi="Arial" w:cs="Arial"/>
          <w:i/>
          <w:sz w:val="22"/>
          <w:szCs w:val="22"/>
        </w:rPr>
        <w:t>those elements in the Framework.</w:t>
      </w:r>
    </w:p>
    <w:p w:rsidR="0051494B" w:rsidRPr="00EF4855" w:rsidRDefault="0051494B" w:rsidP="004C39E3">
      <w:pPr>
        <w:pStyle w:val="ListParagraph"/>
        <w:autoSpaceDE w:val="0"/>
        <w:autoSpaceDN w:val="0"/>
        <w:adjustRightInd w:val="0"/>
        <w:ind w:left="2160" w:right="-45"/>
        <w:jc w:val="both"/>
        <w:rPr>
          <w:rFonts w:ascii="Arial" w:hAnsi="Arial" w:cs="Arial"/>
          <w:i/>
          <w:sz w:val="22"/>
          <w:szCs w:val="22"/>
        </w:rPr>
      </w:pPr>
    </w:p>
    <w:p w:rsidR="0051494B" w:rsidRPr="004F6C55" w:rsidRDefault="00405B12" w:rsidP="00DA78B4">
      <w:pPr>
        <w:pStyle w:val="ListParagraph"/>
        <w:numPr>
          <w:ilvl w:val="1"/>
          <w:numId w:val="1"/>
        </w:numPr>
        <w:ind w:left="1440"/>
        <w:contextualSpacing/>
        <w:jc w:val="both"/>
        <w:rPr>
          <w:rFonts w:ascii="Arial" w:eastAsia="Calibri" w:hAnsi="Arial" w:cs="Arial"/>
          <w:sz w:val="22"/>
          <w:szCs w:val="22"/>
        </w:rPr>
      </w:pPr>
      <w:r>
        <w:rPr>
          <w:rFonts w:ascii="Arial" w:eastAsia="Calibri" w:hAnsi="Arial" w:cs="Arial"/>
          <w:sz w:val="22"/>
          <w:szCs w:val="22"/>
        </w:rPr>
        <w:t xml:space="preserve">On the other hand, </w:t>
      </w:r>
      <w:r w:rsidR="00D55D92" w:rsidRPr="004F6C55">
        <w:rPr>
          <w:rFonts w:ascii="Arial" w:eastAsia="Calibri" w:hAnsi="Arial" w:cs="Arial"/>
          <w:sz w:val="22"/>
          <w:szCs w:val="22"/>
        </w:rPr>
        <w:t xml:space="preserve">Paragraph 4.4 </w:t>
      </w:r>
      <w:r w:rsidR="001766F7" w:rsidRPr="004F6C55">
        <w:rPr>
          <w:rFonts w:ascii="Arial" w:eastAsia="Calibri" w:hAnsi="Arial" w:cs="Arial"/>
          <w:sz w:val="22"/>
          <w:szCs w:val="22"/>
        </w:rPr>
        <w:t xml:space="preserve">of the </w:t>
      </w:r>
      <w:r w:rsidR="0051494B" w:rsidRPr="004F6C55">
        <w:rPr>
          <w:rFonts w:ascii="Arial" w:eastAsia="Calibri" w:hAnsi="Arial" w:cs="Arial"/>
          <w:sz w:val="22"/>
          <w:szCs w:val="22"/>
        </w:rPr>
        <w:t>C</w:t>
      </w:r>
      <w:r w:rsidR="001961E6">
        <w:rPr>
          <w:rFonts w:ascii="Arial" w:eastAsia="Calibri" w:hAnsi="Arial" w:cs="Arial"/>
          <w:sz w:val="22"/>
          <w:szCs w:val="22"/>
        </w:rPr>
        <w:t>FFR</w:t>
      </w:r>
      <w:r w:rsidR="0051494B" w:rsidRPr="004F6C55">
        <w:rPr>
          <w:rFonts w:ascii="Arial" w:eastAsia="Calibri" w:hAnsi="Arial" w:cs="Arial"/>
          <w:sz w:val="22"/>
          <w:szCs w:val="22"/>
        </w:rPr>
        <w:t xml:space="preserve"> provides the definition of and recognition criteria for asset and income, as follows:</w:t>
      </w:r>
    </w:p>
    <w:p w:rsidR="0051494B" w:rsidRPr="00EF4855" w:rsidRDefault="0051494B" w:rsidP="004C39E3">
      <w:pPr>
        <w:pStyle w:val="ListParagraph"/>
        <w:autoSpaceDE w:val="0"/>
        <w:autoSpaceDN w:val="0"/>
        <w:adjustRightInd w:val="0"/>
        <w:ind w:left="1224" w:right="-45"/>
        <w:jc w:val="both"/>
        <w:rPr>
          <w:rFonts w:ascii="Arial" w:hAnsi="Arial" w:cs="Arial"/>
          <w:i/>
          <w:sz w:val="22"/>
          <w:szCs w:val="22"/>
        </w:rPr>
      </w:pPr>
    </w:p>
    <w:p w:rsidR="00D64562" w:rsidRPr="00B64B09" w:rsidRDefault="0051494B" w:rsidP="000B3DC2">
      <w:pPr>
        <w:pStyle w:val="ListParagraph"/>
        <w:ind w:left="2340" w:right="720" w:hanging="540"/>
        <w:contextualSpacing/>
        <w:jc w:val="both"/>
        <w:rPr>
          <w:rFonts w:ascii="Arial" w:hAnsi="Arial" w:cs="Arial"/>
          <w:i/>
        </w:rPr>
      </w:pPr>
      <w:r w:rsidRPr="004F6C55">
        <w:rPr>
          <w:rFonts w:ascii="Arial" w:hAnsi="Arial" w:cs="Arial"/>
          <w:i/>
          <w:sz w:val="22"/>
          <w:szCs w:val="22"/>
        </w:rPr>
        <w:t>4.4</w:t>
      </w:r>
      <w:r w:rsidR="00EF4855" w:rsidRPr="004F6C55">
        <w:rPr>
          <w:rFonts w:ascii="Arial" w:hAnsi="Arial" w:cs="Arial"/>
          <w:i/>
          <w:sz w:val="22"/>
          <w:szCs w:val="22"/>
        </w:rPr>
        <w:t>.</w:t>
      </w:r>
      <w:r w:rsidR="00D64562" w:rsidRPr="004F6C55">
        <w:rPr>
          <w:rFonts w:ascii="Arial" w:hAnsi="Arial" w:cs="Arial"/>
          <w:i/>
          <w:sz w:val="22"/>
          <w:szCs w:val="22"/>
        </w:rPr>
        <w:tab/>
      </w:r>
      <w:r w:rsidRPr="004F6C55">
        <w:rPr>
          <w:rFonts w:ascii="Arial" w:hAnsi="Arial" w:cs="Arial"/>
          <w:i/>
          <w:sz w:val="22"/>
          <w:szCs w:val="22"/>
        </w:rPr>
        <w:t xml:space="preserve"> (a) An asset is a resource controlled by the entity as a result of past event and from which future economic benefits are expe</w:t>
      </w:r>
      <w:r w:rsidR="00B80DEC" w:rsidRPr="004F6C55">
        <w:rPr>
          <w:rFonts w:ascii="Arial" w:hAnsi="Arial" w:cs="Arial"/>
          <w:i/>
          <w:sz w:val="22"/>
          <w:szCs w:val="22"/>
        </w:rPr>
        <w:t>cted to flow to the entity.</w:t>
      </w:r>
    </w:p>
    <w:p w:rsidR="00D64562" w:rsidRPr="00B64B09" w:rsidRDefault="00D64562" w:rsidP="000B3DC2">
      <w:pPr>
        <w:pStyle w:val="ListParagraph"/>
        <w:ind w:left="2340" w:right="720" w:hanging="540"/>
        <w:contextualSpacing/>
        <w:jc w:val="both"/>
        <w:rPr>
          <w:rFonts w:ascii="Arial" w:hAnsi="Arial" w:cs="Arial"/>
          <w:i/>
        </w:rPr>
      </w:pPr>
    </w:p>
    <w:p w:rsidR="00EF4855" w:rsidRPr="00B64B09" w:rsidRDefault="0051494B" w:rsidP="000B3DC2">
      <w:pPr>
        <w:pStyle w:val="ListParagraph"/>
        <w:ind w:left="2340" w:right="720" w:hanging="540"/>
        <w:contextualSpacing/>
        <w:jc w:val="both"/>
        <w:rPr>
          <w:rFonts w:ascii="Arial" w:hAnsi="Arial" w:cs="Arial"/>
          <w:i/>
        </w:rPr>
      </w:pPr>
      <w:r w:rsidRPr="004F6C55">
        <w:rPr>
          <w:rFonts w:ascii="Arial" w:hAnsi="Arial" w:cs="Arial"/>
          <w:i/>
          <w:sz w:val="22"/>
          <w:szCs w:val="22"/>
        </w:rPr>
        <w:t>4.44</w:t>
      </w:r>
      <w:r w:rsidR="00EF4855" w:rsidRPr="004F6C55">
        <w:rPr>
          <w:rFonts w:ascii="Arial" w:hAnsi="Arial" w:cs="Arial"/>
          <w:i/>
          <w:sz w:val="22"/>
          <w:szCs w:val="22"/>
        </w:rPr>
        <w:t>.</w:t>
      </w:r>
      <w:r w:rsidRPr="004F6C55">
        <w:rPr>
          <w:rFonts w:ascii="Arial" w:hAnsi="Arial" w:cs="Arial"/>
          <w:i/>
          <w:sz w:val="22"/>
          <w:szCs w:val="22"/>
        </w:rPr>
        <w:t xml:space="preserve"> An asset is recognized in the balance sheet when it is probable that the future economic benefits will flow to the entity and the asset has a cost</w:t>
      </w:r>
      <w:r w:rsidR="00B80DEC" w:rsidRPr="004F6C55">
        <w:rPr>
          <w:rFonts w:ascii="Arial" w:hAnsi="Arial" w:cs="Arial"/>
          <w:i/>
          <w:sz w:val="22"/>
          <w:szCs w:val="22"/>
        </w:rPr>
        <w:t xml:space="preserve"> or value that can be measured</w:t>
      </w:r>
      <w:r w:rsidR="00EF4855" w:rsidRPr="004F6C55">
        <w:rPr>
          <w:rFonts w:ascii="Arial" w:hAnsi="Arial" w:cs="Arial"/>
          <w:i/>
          <w:sz w:val="22"/>
          <w:szCs w:val="22"/>
        </w:rPr>
        <w:t>.</w:t>
      </w:r>
    </w:p>
    <w:p w:rsidR="00EF4855" w:rsidRPr="00B64B09" w:rsidRDefault="00EF4855" w:rsidP="000B3DC2">
      <w:pPr>
        <w:pStyle w:val="ListParagraph"/>
        <w:ind w:left="2340" w:right="720" w:hanging="540"/>
        <w:contextualSpacing/>
        <w:jc w:val="both"/>
        <w:rPr>
          <w:rFonts w:ascii="Arial" w:hAnsi="Arial" w:cs="Arial"/>
          <w:i/>
        </w:rPr>
      </w:pPr>
    </w:p>
    <w:p w:rsidR="0051494B" w:rsidRPr="00B64B09" w:rsidRDefault="0051494B" w:rsidP="000B3DC2">
      <w:pPr>
        <w:pStyle w:val="ListParagraph"/>
        <w:ind w:left="2340" w:right="720" w:hanging="540"/>
        <w:contextualSpacing/>
        <w:jc w:val="both"/>
        <w:rPr>
          <w:rFonts w:ascii="Arial" w:hAnsi="Arial" w:cs="Arial"/>
          <w:i/>
        </w:rPr>
      </w:pPr>
      <w:r w:rsidRPr="004F6C55">
        <w:rPr>
          <w:rFonts w:ascii="Arial" w:hAnsi="Arial" w:cs="Arial"/>
          <w:i/>
          <w:sz w:val="22"/>
          <w:szCs w:val="22"/>
        </w:rPr>
        <w:t>4.47</w:t>
      </w:r>
      <w:r w:rsidR="00EF4855" w:rsidRPr="004F6C55">
        <w:rPr>
          <w:rFonts w:ascii="Arial" w:hAnsi="Arial" w:cs="Arial"/>
          <w:i/>
          <w:sz w:val="22"/>
          <w:szCs w:val="22"/>
        </w:rPr>
        <w:t>.</w:t>
      </w:r>
      <w:r w:rsidRPr="004F6C55">
        <w:rPr>
          <w:rFonts w:ascii="Arial" w:hAnsi="Arial" w:cs="Arial"/>
          <w:i/>
          <w:sz w:val="22"/>
          <w:szCs w:val="22"/>
        </w:rPr>
        <w:t xml:space="preserve"> Income is recognized in the income statement when </w:t>
      </w:r>
      <w:r w:rsidR="00061A2E" w:rsidRPr="004F6C55">
        <w:rPr>
          <w:rFonts w:ascii="Arial" w:hAnsi="Arial" w:cs="Arial"/>
          <w:i/>
          <w:sz w:val="22"/>
          <w:szCs w:val="22"/>
        </w:rPr>
        <w:t xml:space="preserve">an </w:t>
      </w:r>
      <w:r w:rsidRPr="004F6C55">
        <w:rPr>
          <w:rFonts w:ascii="Arial" w:hAnsi="Arial" w:cs="Arial"/>
          <w:i/>
          <w:sz w:val="22"/>
          <w:szCs w:val="22"/>
        </w:rPr>
        <w:t xml:space="preserve">increase in the future economic benefits related </w:t>
      </w:r>
      <w:r w:rsidR="00B80DEC" w:rsidRPr="004F6C55">
        <w:rPr>
          <w:rFonts w:ascii="Arial" w:hAnsi="Arial" w:cs="Arial"/>
          <w:i/>
          <w:sz w:val="22"/>
          <w:szCs w:val="22"/>
        </w:rPr>
        <w:t>to an increase in an asset</w:t>
      </w:r>
      <w:r w:rsidR="00061A2E" w:rsidRPr="004F6C55">
        <w:rPr>
          <w:rFonts w:ascii="Arial" w:hAnsi="Arial" w:cs="Arial"/>
          <w:i/>
          <w:sz w:val="22"/>
          <w:szCs w:val="22"/>
        </w:rPr>
        <w:t xml:space="preserve"> or a decrease of a liability has arisen that can be measured reliably.</w:t>
      </w:r>
    </w:p>
    <w:p w:rsidR="00A258C3" w:rsidRPr="00EF4855" w:rsidRDefault="00A258C3" w:rsidP="004C39E3">
      <w:pPr>
        <w:pStyle w:val="ListParagraph"/>
        <w:tabs>
          <w:tab w:val="left" w:pos="8647"/>
        </w:tabs>
        <w:autoSpaceDE w:val="0"/>
        <w:autoSpaceDN w:val="0"/>
        <w:adjustRightInd w:val="0"/>
        <w:ind w:left="732" w:right="544"/>
        <w:jc w:val="both"/>
        <w:rPr>
          <w:rFonts w:ascii="Arial" w:hAnsi="Arial" w:cs="Arial"/>
          <w:i/>
          <w:sz w:val="22"/>
          <w:szCs w:val="22"/>
        </w:rPr>
      </w:pPr>
    </w:p>
    <w:p w:rsidR="00A07138" w:rsidRPr="00EF4855" w:rsidRDefault="0051494B" w:rsidP="00DA78B4">
      <w:pPr>
        <w:pStyle w:val="ListParagraph"/>
        <w:numPr>
          <w:ilvl w:val="1"/>
          <w:numId w:val="1"/>
        </w:numPr>
        <w:ind w:left="1440"/>
        <w:contextualSpacing/>
        <w:jc w:val="both"/>
        <w:rPr>
          <w:rFonts w:ascii="Arial" w:hAnsi="Arial" w:cs="Arial"/>
          <w:color w:val="000000" w:themeColor="text1"/>
          <w:sz w:val="22"/>
          <w:szCs w:val="22"/>
        </w:rPr>
      </w:pPr>
      <w:r w:rsidRPr="00EF4855">
        <w:rPr>
          <w:rFonts w:ascii="Arial" w:hAnsi="Arial" w:cs="Arial"/>
          <w:color w:val="000000" w:themeColor="text1"/>
          <w:sz w:val="22"/>
          <w:szCs w:val="22"/>
        </w:rPr>
        <w:t>One of the obligations of the A</w:t>
      </w:r>
      <w:r w:rsidR="000C44D9" w:rsidRPr="00EF4855">
        <w:rPr>
          <w:rFonts w:ascii="Arial" w:hAnsi="Arial" w:cs="Arial"/>
          <w:color w:val="000000" w:themeColor="text1"/>
          <w:sz w:val="22"/>
          <w:szCs w:val="22"/>
        </w:rPr>
        <w:t xml:space="preserve">uthorized </w:t>
      </w:r>
      <w:r w:rsidRPr="00EF4855">
        <w:rPr>
          <w:rFonts w:ascii="Arial" w:hAnsi="Arial" w:cs="Arial"/>
          <w:color w:val="000000" w:themeColor="text1"/>
          <w:sz w:val="22"/>
          <w:szCs w:val="22"/>
        </w:rPr>
        <w:t>S</w:t>
      </w:r>
      <w:r w:rsidR="000C44D9" w:rsidRPr="00EF4855">
        <w:rPr>
          <w:rFonts w:ascii="Arial" w:hAnsi="Arial" w:cs="Arial"/>
          <w:color w:val="000000" w:themeColor="text1"/>
          <w:sz w:val="22"/>
          <w:szCs w:val="22"/>
        </w:rPr>
        <w:t xml:space="preserve">TL </w:t>
      </w:r>
      <w:r w:rsidRPr="00EF4855">
        <w:rPr>
          <w:rFonts w:ascii="Arial" w:hAnsi="Arial" w:cs="Arial"/>
          <w:color w:val="000000" w:themeColor="text1"/>
          <w:sz w:val="22"/>
          <w:szCs w:val="22"/>
        </w:rPr>
        <w:t>A</w:t>
      </w:r>
      <w:r w:rsidR="000C44D9" w:rsidRPr="00EF4855">
        <w:rPr>
          <w:rFonts w:ascii="Arial" w:hAnsi="Arial" w:cs="Arial"/>
          <w:color w:val="000000" w:themeColor="text1"/>
          <w:sz w:val="22"/>
          <w:szCs w:val="22"/>
        </w:rPr>
        <w:t>gents (ASAs)</w:t>
      </w:r>
      <w:r w:rsidRPr="00EF4855">
        <w:rPr>
          <w:rFonts w:ascii="Arial" w:hAnsi="Arial" w:cs="Arial"/>
          <w:color w:val="000000" w:themeColor="text1"/>
          <w:sz w:val="22"/>
          <w:szCs w:val="22"/>
        </w:rPr>
        <w:t xml:space="preserve"> embodied in the 2016 R</w:t>
      </w:r>
      <w:r w:rsidR="000C44D9" w:rsidRPr="00EF4855">
        <w:rPr>
          <w:rFonts w:ascii="Arial" w:hAnsi="Arial" w:cs="Arial"/>
          <w:color w:val="000000" w:themeColor="text1"/>
          <w:sz w:val="22"/>
          <w:szCs w:val="22"/>
        </w:rPr>
        <w:t xml:space="preserve">evised </w:t>
      </w:r>
      <w:r w:rsidRPr="00EF4855">
        <w:rPr>
          <w:rFonts w:ascii="Arial" w:hAnsi="Arial" w:cs="Arial"/>
          <w:color w:val="000000" w:themeColor="text1"/>
          <w:sz w:val="22"/>
          <w:szCs w:val="22"/>
        </w:rPr>
        <w:t>I</w:t>
      </w:r>
      <w:r w:rsidR="000C44D9" w:rsidRPr="00EF4855">
        <w:rPr>
          <w:rFonts w:ascii="Arial" w:hAnsi="Arial" w:cs="Arial"/>
          <w:color w:val="000000" w:themeColor="text1"/>
          <w:sz w:val="22"/>
          <w:szCs w:val="22"/>
        </w:rPr>
        <w:t xml:space="preserve">mplementing </w:t>
      </w:r>
      <w:r w:rsidRPr="00EF4855">
        <w:rPr>
          <w:rFonts w:ascii="Arial" w:hAnsi="Arial" w:cs="Arial"/>
          <w:color w:val="000000" w:themeColor="text1"/>
          <w:sz w:val="22"/>
          <w:szCs w:val="22"/>
        </w:rPr>
        <w:t>R</w:t>
      </w:r>
      <w:r w:rsidR="000C44D9" w:rsidRPr="00EF4855">
        <w:rPr>
          <w:rFonts w:ascii="Arial" w:hAnsi="Arial" w:cs="Arial"/>
          <w:color w:val="000000" w:themeColor="text1"/>
          <w:sz w:val="22"/>
          <w:szCs w:val="22"/>
        </w:rPr>
        <w:t xml:space="preserve">ules and </w:t>
      </w:r>
      <w:r w:rsidRPr="00EF4855">
        <w:rPr>
          <w:rFonts w:ascii="Arial" w:hAnsi="Arial" w:cs="Arial"/>
          <w:color w:val="000000" w:themeColor="text1"/>
          <w:sz w:val="22"/>
          <w:szCs w:val="22"/>
        </w:rPr>
        <w:t>R</w:t>
      </w:r>
      <w:r w:rsidR="000C44D9" w:rsidRPr="00EF4855">
        <w:rPr>
          <w:rFonts w:ascii="Arial" w:hAnsi="Arial" w:cs="Arial"/>
          <w:color w:val="000000" w:themeColor="text1"/>
          <w:sz w:val="22"/>
          <w:szCs w:val="22"/>
        </w:rPr>
        <w:t>egulations (IRR)</w:t>
      </w:r>
      <w:r w:rsidRPr="00EF4855">
        <w:rPr>
          <w:rFonts w:ascii="Arial" w:hAnsi="Arial" w:cs="Arial"/>
          <w:color w:val="000000" w:themeColor="text1"/>
          <w:sz w:val="22"/>
          <w:szCs w:val="22"/>
        </w:rPr>
        <w:t xml:space="preserve"> for the STL was compliance with the agreed P</w:t>
      </w:r>
      <w:r w:rsidR="000C44D9" w:rsidRPr="00EF4855">
        <w:rPr>
          <w:rFonts w:ascii="Arial" w:hAnsi="Arial" w:cs="Arial"/>
          <w:color w:val="000000" w:themeColor="text1"/>
          <w:sz w:val="22"/>
          <w:szCs w:val="22"/>
        </w:rPr>
        <w:t xml:space="preserve">resumptive </w:t>
      </w:r>
      <w:r w:rsidRPr="00EF4855">
        <w:rPr>
          <w:rFonts w:ascii="Arial" w:hAnsi="Arial" w:cs="Arial"/>
          <w:color w:val="000000" w:themeColor="text1"/>
          <w:sz w:val="22"/>
          <w:szCs w:val="22"/>
        </w:rPr>
        <w:t>M</w:t>
      </w:r>
      <w:r w:rsidR="000C44D9" w:rsidRPr="00EF4855">
        <w:rPr>
          <w:rFonts w:ascii="Arial" w:hAnsi="Arial" w:cs="Arial"/>
          <w:color w:val="000000" w:themeColor="text1"/>
          <w:sz w:val="22"/>
          <w:szCs w:val="22"/>
        </w:rPr>
        <w:t xml:space="preserve">onthly </w:t>
      </w:r>
      <w:r w:rsidRPr="00EF4855">
        <w:rPr>
          <w:rFonts w:ascii="Arial" w:hAnsi="Arial" w:cs="Arial"/>
          <w:color w:val="000000" w:themeColor="text1"/>
          <w:sz w:val="22"/>
          <w:szCs w:val="22"/>
        </w:rPr>
        <w:t>R</w:t>
      </w:r>
      <w:r w:rsidR="000C44D9" w:rsidRPr="00EF4855">
        <w:rPr>
          <w:rFonts w:ascii="Arial" w:hAnsi="Arial" w:cs="Arial"/>
          <w:color w:val="000000" w:themeColor="text1"/>
          <w:sz w:val="22"/>
          <w:szCs w:val="22"/>
        </w:rPr>
        <w:t xml:space="preserve">etail </w:t>
      </w:r>
      <w:r w:rsidRPr="00EF4855">
        <w:rPr>
          <w:rFonts w:ascii="Arial" w:hAnsi="Arial" w:cs="Arial"/>
          <w:color w:val="000000" w:themeColor="text1"/>
          <w:sz w:val="22"/>
          <w:szCs w:val="22"/>
        </w:rPr>
        <w:t>R</w:t>
      </w:r>
      <w:r w:rsidR="000C44D9" w:rsidRPr="00EF4855">
        <w:rPr>
          <w:rFonts w:ascii="Arial" w:hAnsi="Arial" w:cs="Arial"/>
          <w:color w:val="000000" w:themeColor="text1"/>
          <w:sz w:val="22"/>
          <w:szCs w:val="22"/>
        </w:rPr>
        <w:t>eceipt (PMRR)</w:t>
      </w:r>
      <w:r w:rsidRPr="00EF4855">
        <w:rPr>
          <w:rFonts w:ascii="Arial" w:hAnsi="Arial" w:cs="Arial"/>
          <w:color w:val="000000" w:themeColor="text1"/>
          <w:sz w:val="22"/>
          <w:szCs w:val="22"/>
        </w:rPr>
        <w:t xml:space="preserve"> and the remittance to the P</w:t>
      </w:r>
      <w:r w:rsidR="00473C7F" w:rsidRPr="00EF4855">
        <w:rPr>
          <w:rFonts w:ascii="Arial" w:hAnsi="Arial" w:cs="Arial"/>
          <w:color w:val="000000" w:themeColor="text1"/>
          <w:sz w:val="22"/>
          <w:szCs w:val="22"/>
        </w:rPr>
        <w:t>C</w:t>
      </w:r>
      <w:r w:rsidRPr="00EF4855">
        <w:rPr>
          <w:rFonts w:ascii="Arial" w:hAnsi="Arial" w:cs="Arial"/>
          <w:color w:val="000000" w:themeColor="text1"/>
          <w:sz w:val="22"/>
          <w:szCs w:val="22"/>
        </w:rPr>
        <w:t xml:space="preserve">SO of the amount corresponding to the revenue allocation provided therein. </w:t>
      </w:r>
    </w:p>
    <w:p w:rsidR="00A07138" w:rsidRDefault="00A07138" w:rsidP="004C39E3">
      <w:pPr>
        <w:pStyle w:val="ListParagraph"/>
        <w:suppressAutoHyphens/>
        <w:ind w:left="732"/>
        <w:jc w:val="both"/>
        <w:rPr>
          <w:rFonts w:ascii="Arial" w:hAnsi="Arial" w:cs="Arial"/>
          <w:color w:val="000000" w:themeColor="text1"/>
          <w:sz w:val="22"/>
          <w:szCs w:val="22"/>
        </w:rPr>
      </w:pPr>
    </w:p>
    <w:p w:rsidR="0051494B" w:rsidRPr="00A12651" w:rsidRDefault="00246BCC" w:rsidP="00DA78B4">
      <w:pPr>
        <w:pStyle w:val="ListParagraph"/>
        <w:numPr>
          <w:ilvl w:val="1"/>
          <w:numId w:val="1"/>
        </w:numPr>
        <w:ind w:left="1440"/>
        <w:contextualSpacing/>
        <w:jc w:val="both"/>
        <w:rPr>
          <w:rFonts w:ascii="Arial" w:hAnsi="Arial" w:cs="Arial"/>
          <w:color w:val="000000" w:themeColor="text1"/>
          <w:sz w:val="22"/>
          <w:szCs w:val="22"/>
        </w:rPr>
      </w:pPr>
      <w:r w:rsidRPr="00A12651">
        <w:rPr>
          <w:rFonts w:ascii="Arial" w:hAnsi="Arial" w:cs="Arial"/>
          <w:color w:val="000000" w:themeColor="text1"/>
          <w:sz w:val="22"/>
          <w:szCs w:val="22"/>
        </w:rPr>
        <w:lastRenderedPageBreak/>
        <w:t>Review o</w:t>
      </w:r>
      <w:r w:rsidR="000C44D9" w:rsidRPr="00A12651">
        <w:rPr>
          <w:rFonts w:ascii="Arial" w:hAnsi="Arial" w:cs="Arial"/>
          <w:color w:val="000000" w:themeColor="text1"/>
          <w:sz w:val="22"/>
          <w:szCs w:val="22"/>
        </w:rPr>
        <w:t xml:space="preserve">f the </w:t>
      </w:r>
      <w:r w:rsidR="0051494B" w:rsidRPr="00A12651">
        <w:rPr>
          <w:rFonts w:ascii="Arial" w:hAnsi="Arial" w:cs="Arial"/>
          <w:color w:val="000000" w:themeColor="text1"/>
          <w:sz w:val="22"/>
          <w:szCs w:val="22"/>
        </w:rPr>
        <w:t>reports furnished by the Branch Operations Sector (BOS)</w:t>
      </w:r>
      <w:r w:rsidR="000C44D9" w:rsidRPr="00A12651">
        <w:rPr>
          <w:rFonts w:ascii="Arial" w:hAnsi="Arial" w:cs="Arial"/>
          <w:color w:val="000000" w:themeColor="text1"/>
          <w:sz w:val="22"/>
          <w:szCs w:val="22"/>
        </w:rPr>
        <w:t xml:space="preserve"> as of December 31, 2018 disclosed that </w:t>
      </w:r>
      <w:r w:rsidR="006C1045" w:rsidRPr="00A12651">
        <w:rPr>
          <w:rFonts w:ascii="Arial" w:hAnsi="Arial" w:cs="Arial"/>
          <w:color w:val="000000" w:themeColor="text1"/>
          <w:sz w:val="22"/>
          <w:szCs w:val="22"/>
        </w:rPr>
        <w:t xml:space="preserve">fifty-seven (57) </w:t>
      </w:r>
      <w:r w:rsidR="0051494B" w:rsidRPr="00A12651">
        <w:rPr>
          <w:rFonts w:ascii="Arial" w:hAnsi="Arial" w:cs="Arial"/>
          <w:color w:val="000000" w:themeColor="text1"/>
          <w:sz w:val="22"/>
          <w:szCs w:val="22"/>
        </w:rPr>
        <w:t>A</w:t>
      </w:r>
      <w:r w:rsidR="00473C7F" w:rsidRPr="00A12651">
        <w:rPr>
          <w:rFonts w:ascii="Arial" w:hAnsi="Arial" w:cs="Arial"/>
          <w:color w:val="000000" w:themeColor="text1"/>
          <w:sz w:val="22"/>
          <w:szCs w:val="22"/>
        </w:rPr>
        <w:t>SAs</w:t>
      </w:r>
      <w:r w:rsidR="00A12651">
        <w:rPr>
          <w:rFonts w:ascii="Arial" w:hAnsi="Arial" w:cs="Arial"/>
          <w:color w:val="000000" w:themeColor="text1"/>
          <w:sz w:val="22"/>
          <w:szCs w:val="22"/>
        </w:rPr>
        <w:t xml:space="preserve"> and forty-five (45) AACs</w:t>
      </w:r>
      <w:r w:rsidR="0051494B" w:rsidRPr="00A12651">
        <w:rPr>
          <w:rFonts w:ascii="Arial" w:hAnsi="Arial" w:cs="Arial"/>
          <w:color w:val="000000" w:themeColor="text1"/>
          <w:sz w:val="22"/>
          <w:szCs w:val="22"/>
        </w:rPr>
        <w:t xml:space="preserve"> failed to meet the </w:t>
      </w:r>
      <w:r w:rsidR="005D4029" w:rsidRPr="00A12651">
        <w:rPr>
          <w:rFonts w:ascii="Arial" w:hAnsi="Arial" w:cs="Arial"/>
          <w:color w:val="000000" w:themeColor="text1"/>
          <w:sz w:val="22"/>
          <w:szCs w:val="22"/>
        </w:rPr>
        <w:t>required PMRR and had</w:t>
      </w:r>
      <w:r w:rsidR="0051494B" w:rsidRPr="00A12651">
        <w:rPr>
          <w:rFonts w:ascii="Arial" w:hAnsi="Arial" w:cs="Arial"/>
          <w:color w:val="000000" w:themeColor="text1"/>
          <w:sz w:val="22"/>
          <w:szCs w:val="22"/>
        </w:rPr>
        <w:t xml:space="preserve"> incurred PMRR shortfall</w:t>
      </w:r>
      <w:r w:rsidR="00B33142" w:rsidRPr="00A12651">
        <w:rPr>
          <w:rFonts w:ascii="Arial" w:hAnsi="Arial" w:cs="Arial"/>
          <w:color w:val="000000" w:themeColor="text1"/>
          <w:sz w:val="22"/>
          <w:szCs w:val="22"/>
        </w:rPr>
        <w:t>s</w:t>
      </w:r>
      <w:r w:rsidR="0051494B" w:rsidRPr="00A12651">
        <w:rPr>
          <w:rFonts w:ascii="Arial" w:hAnsi="Arial" w:cs="Arial"/>
          <w:color w:val="000000" w:themeColor="text1"/>
          <w:sz w:val="22"/>
          <w:szCs w:val="22"/>
        </w:rPr>
        <w:t xml:space="preserve"> of </w:t>
      </w:r>
      <w:r w:rsidR="006C1045" w:rsidRPr="00A12651">
        <w:rPr>
          <w:rFonts w:ascii="Arial" w:hAnsi="Arial" w:cs="Arial"/>
          <w:color w:val="000000" w:themeColor="text1"/>
          <w:sz w:val="22"/>
          <w:szCs w:val="22"/>
        </w:rPr>
        <w:t>P7</w:t>
      </w:r>
      <w:r w:rsidR="006A47FE" w:rsidRPr="00A12651">
        <w:rPr>
          <w:rFonts w:ascii="Arial" w:hAnsi="Arial" w:cs="Arial"/>
          <w:color w:val="000000" w:themeColor="text1"/>
          <w:sz w:val="22"/>
          <w:szCs w:val="22"/>
        </w:rPr>
        <w:t>.</w:t>
      </w:r>
      <w:r w:rsidR="006C1045" w:rsidRPr="00A12651">
        <w:rPr>
          <w:rFonts w:ascii="Arial" w:hAnsi="Arial" w:cs="Arial"/>
          <w:color w:val="000000" w:themeColor="text1"/>
          <w:sz w:val="22"/>
          <w:szCs w:val="22"/>
        </w:rPr>
        <w:t>320</w:t>
      </w:r>
      <w:r w:rsidR="006A47FE" w:rsidRPr="00A12651">
        <w:rPr>
          <w:rFonts w:ascii="Arial" w:hAnsi="Arial" w:cs="Arial"/>
          <w:color w:val="000000" w:themeColor="text1"/>
          <w:sz w:val="22"/>
          <w:szCs w:val="22"/>
        </w:rPr>
        <w:t xml:space="preserve"> billion</w:t>
      </w:r>
      <w:r w:rsidR="00A12651">
        <w:rPr>
          <w:rFonts w:ascii="Arial" w:hAnsi="Arial" w:cs="Arial"/>
          <w:color w:val="000000" w:themeColor="text1"/>
          <w:sz w:val="22"/>
          <w:szCs w:val="22"/>
        </w:rPr>
        <w:t xml:space="preserve"> in 2018 and P</w:t>
      </w:r>
      <w:r w:rsidR="00957EF4">
        <w:rPr>
          <w:rFonts w:ascii="Arial" w:hAnsi="Arial" w:cs="Arial"/>
          <w:color w:val="000000" w:themeColor="text1"/>
          <w:sz w:val="22"/>
          <w:szCs w:val="22"/>
        </w:rPr>
        <w:t>7.589</w:t>
      </w:r>
      <w:r w:rsidR="00A12651">
        <w:rPr>
          <w:rFonts w:ascii="Arial" w:hAnsi="Arial" w:cs="Arial"/>
          <w:color w:val="000000" w:themeColor="text1"/>
          <w:sz w:val="22"/>
          <w:szCs w:val="22"/>
        </w:rPr>
        <w:t xml:space="preserve"> billion in 2017</w:t>
      </w:r>
      <w:r w:rsidR="0051494B" w:rsidRPr="00A12651">
        <w:rPr>
          <w:rFonts w:ascii="Arial" w:hAnsi="Arial" w:cs="Arial"/>
          <w:color w:val="000000" w:themeColor="text1"/>
          <w:sz w:val="22"/>
          <w:szCs w:val="22"/>
        </w:rPr>
        <w:t xml:space="preserve"> with equivalent shortfall</w:t>
      </w:r>
      <w:r w:rsidR="00B33142" w:rsidRPr="00A12651">
        <w:rPr>
          <w:rFonts w:ascii="Arial" w:hAnsi="Arial" w:cs="Arial"/>
          <w:color w:val="000000" w:themeColor="text1"/>
          <w:sz w:val="22"/>
          <w:szCs w:val="22"/>
        </w:rPr>
        <w:t>s</w:t>
      </w:r>
      <w:r w:rsidR="0051494B" w:rsidRPr="00A12651">
        <w:rPr>
          <w:rFonts w:ascii="Arial" w:hAnsi="Arial" w:cs="Arial"/>
          <w:color w:val="000000" w:themeColor="text1"/>
          <w:sz w:val="22"/>
          <w:szCs w:val="22"/>
        </w:rPr>
        <w:t xml:space="preserve"> due to PCSO in the net amount of </w:t>
      </w:r>
      <w:r w:rsidR="006C1045" w:rsidRPr="00A12651">
        <w:rPr>
          <w:rFonts w:ascii="Arial" w:hAnsi="Arial" w:cs="Arial"/>
          <w:color w:val="000000" w:themeColor="text1"/>
          <w:sz w:val="22"/>
          <w:szCs w:val="22"/>
        </w:rPr>
        <w:t>P3</w:t>
      </w:r>
      <w:r w:rsidR="006A47FE" w:rsidRPr="00A12651">
        <w:rPr>
          <w:rFonts w:ascii="Arial" w:hAnsi="Arial" w:cs="Arial"/>
          <w:color w:val="000000" w:themeColor="text1"/>
          <w:sz w:val="22"/>
          <w:szCs w:val="22"/>
        </w:rPr>
        <w:t>.</w:t>
      </w:r>
      <w:r w:rsidR="006C1045" w:rsidRPr="00A12651">
        <w:rPr>
          <w:rFonts w:ascii="Arial" w:hAnsi="Arial" w:cs="Arial"/>
          <w:color w:val="000000" w:themeColor="text1"/>
          <w:sz w:val="22"/>
          <w:szCs w:val="22"/>
        </w:rPr>
        <w:t>051</w:t>
      </w:r>
      <w:r w:rsidR="006A47FE" w:rsidRPr="00A12651">
        <w:rPr>
          <w:rFonts w:ascii="Arial" w:hAnsi="Arial" w:cs="Arial"/>
          <w:color w:val="000000" w:themeColor="text1"/>
          <w:sz w:val="22"/>
          <w:szCs w:val="22"/>
        </w:rPr>
        <w:t xml:space="preserve"> billion</w:t>
      </w:r>
      <w:r w:rsidR="00A12651">
        <w:rPr>
          <w:rFonts w:ascii="Arial" w:hAnsi="Arial" w:cs="Arial"/>
          <w:color w:val="000000" w:themeColor="text1"/>
          <w:sz w:val="22"/>
          <w:szCs w:val="22"/>
        </w:rPr>
        <w:t xml:space="preserve"> and P2.983 billion, respectively</w:t>
      </w:r>
      <w:r w:rsidR="0051494B" w:rsidRPr="00A12651">
        <w:rPr>
          <w:rFonts w:ascii="Arial" w:hAnsi="Arial" w:cs="Arial"/>
          <w:color w:val="000000" w:themeColor="text1"/>
          <w:sz w:val="22"/>
          <w:szCs w:val="22"/>
        </w:rPr>
        <w:t xml:space="preserve">. </w:t>
      </w:r>
    </w:p>
    <w:p w:rsidR="0051494B" w:rsidRPr="00EF4855" w:rsidRDefault="0051494B" w:rsidP="004C39E3">
      <w:pPr>
        <w:pStyle w:val="ListParagraph"/>
        <w:suppressAutoHyphens/>
        <w:ind w:left="732"/>
        <w:jc w:val="both"/>
        <w:rPr>
          <w:rFonts w:ascii="Arial" w:hAnsi="Arial" w:cs="Arial"/>
          <w:color w:val="000000" w:themeColor="text1"/>
          <w:sz w:val="22"/>
          <w:szCs w:val="22"/>
        </w:rPr>
      </w:pPr>
    </w:p>
    <w:p w:rsidR="00CE270D" w:rsidRDefault="00246BCC" w:rsidP="00DA78B4">
      <w:pPr>
        <w:pStyle w:val="ListParagraph"/>
        <w:numPr>
          <w:ilvl w:val="1"/>
          <w:numId w:val="1"/>
        </w:numPr>
        <w:ind w:left="1440"/>
        <w:contextualSpacing/>
        <w:jc w:val="both"/>
        <w:rPr>
          <w:rFonts w:ascii="Arial" w:hAnsi="Arial" w:cs="Arial"/>
          <w:sz w:val="22"/>
          <w:szCs w:val="22"/>
        </w:rPr>
      </w:pPr>
      <w:r w:rsidRPr="00B179E9">
        <w:rPr>
          <w:rFonts w:ascii="Arial" w:hAnsi="Arial" w:cs="Arial"/>
          <w:sz w:val="22"/>
          <w:szCs w:val="22"/>
        </w:rPr>
        <w:t>Verification of the financial statements</w:t>
      </w:r>
      <w:r w:rsidR="001961E6" w:rsidRPr="00B179E9">
        <w:rPr>
          <w:rFonts w:ascii="Arial" w:hAnsi="Arial" w:cs="Arial"/>
          <w:sz w:val="22"/>
          <w:szCs w:val="22"/>
        </w:rPr>
        <w:t>,</w:t>
      </w:r>
      <w:r w:rsidRPr="00B179E9">
        <w:rPr>
          <w:rFonts w:ascii="Arial" w:hAnsi="Arial" w:cs="Arial"/>
          <w:sz w:val="22"/>
          <w:szCs w:val="22"/>
        </w:rPr>
        <w:t xml:space="preserve"> </w:t>
      </w:r>
      <w:r w:rsidR="0051494B" w:rsidRPr="00B179E9">
        <w:rPr>
          <w:rFonts w:ascii="Arial" w:hAnsi="Arial" w:cs="Arial"/>
          <w:sz w:val="22"/>
          <w:szCs w:val="22"/>
        </w:rPr>
        <w:t>however,</w:t>
      </w:r>
      <w:r w:rsidRPr="00B179E9">
        <w:rPr>
          <w:rFonts w:ascii="Arial" w:hAnsi="Arial" w:cs="Arial"/>
          <w:sz w:val="22"/>
          <w:szCs w:val="22"/>
        </w:rPr>
        <w:t xml:space="preserve"> </w:t>
      </w:r>
      <w:r w:rsidR="006C1045" w:rsidRPr="00B179E9">
        <w:rPr>
          <w:rFonts w:ascii="Arial" w:hAnsi="Arial" w:cs="Arial"/>
          <w:sz w:val="22"/>
          <w:szCs w:val="22"/>
        </w:rPr>
        <w:t xml:space="preserve">revealed </w:t>
      </w:r>
      <w:r w:rsidR="0051494B" w:rsidRPr="00B179E9">
        <w:rPr>
          <w:rFonts w:ascii="Arial" w:hAnsi="Arial" w:cs="Arial"/>
          <w:sz w:val="22"/>
          <w:szCs w:val="22"/>
        </w:rPr>
        <w:t xml:space="preserve">that </w:t>
      </w:r>
      <w:r w:rsidR="005D4029" w:rsidRPr="00B179E9">
        <w:rPr>
          <w:rFonts w:ascii="Arial" w:hAnsi="Arial" w:cs="Arial"/>
          <w:sz w:val="22"/>
          <w:szCs w:val="22"/>
        </w:rPr>
        <w:t xml:space="preserve">the </w:t>
      </w:r>
      <w:r w:rsidR="0051494B" w:rsidRPr="00B179E9">
        <w:rPr>
          <w:rFonts w:ascii="Arial" w:hAnsi="Arial" w:cs="Arial"/>
          <w:sz w:val="22"/>
          <w:szCs w:val="22"/>
        </w:rPr>
        <w:t>said PMRR shortfall</w:t>
      </w:r>
      <w:r w:rsidR="00B33142" w:rsidRPr="00B179E9">
        <w:rPr>
          <w:rFonts w:ascii="Arial" w:hAnsi="Arial" w:cs="Arial"/>
          <w:sz w:val="22"/>
          <w:szCs w:val="22"/>
        </w:rPr>
        <w:t>s</w:t>
      </w:r>
      <w:r w:rsidR="0051494B" w:rsidRPr="00B179E9">
        <w:rPr>
          <w:rFonts w:ascii="Arial" w:hAnsi="Arial" w:cs="Arial"/>
          <w:sz w:val="22"/>
          <w:szCs w:val="22"/>
        </w:rPr>
        <w:t xml:space="preserve"> during CY</w:t>
      </w:r>
      <w:r w:rsidR="00AE304C">
        <w:rPr>
          <w:rFonts w:ascii="Arial" w:hAnsi="Arial" w:cs="Arial"/>
          <w:sz w:val="22"/>
          <w:szCs w:val="22"/>
        </w:rPr>
        <w:t>s</w:t>
      </w:r>
      <w:r w:rsidR="0051494B" w:rsidRPr="00B179E9">
        <w:rPr>
          <w:rFonts w:ascii="Arial" w:hAnsi="Arial" w:cs="Arial"/>
          <w:sz w:val="22"/>
          <w:szCs w:val="22"/>
        </w:rPr>
        <w:t xml:space="preserve"> 2018</w:t>
      </w:r>
      <w:r w:rsidR="00AE304C">
        <w:rPr>
          <w:rFonts w:ascii="Arial" w:hAnsi="Arial" w:cs="Arial"/>
          <w:sz w:val="22"/>
          <w:szCs w:val="22"/>
        </w:rPr>
        <w:t xml:space="preserve"> and 2017</w:t>
      </w:r>
      <w:r w:rsidR="0051494B" w:rsidRPr="00B179E9">
        <w:rPr>
          <w:rFonts w:ascii="Arial" w:hAnsi="Arial" w:cs="Arial"/>
          <w:sz w:val="22"/>
          <w:szCs w:val="22"/>
        </w:rPr>
        <w:t xml:space="preserve"> </w:t>
      </w:r>
      <w:r w:rsidR="006D275A" w:rsidRPr="00B179E9">
        <w:rPr>
          <w:rFonts w:ascii="Arial" w:hAnsi="Arial" w:cs="Arial"/>
          <w:sz w:val="22"/>
          <w:szCs w:val="22"/>
        </w:rPr>
        <w:t>totaling</w:t>
      </w:r>
      <w:r w:rsidR="0051494B" w:rsidRPr="00B179E9">
        <w:rPr>
          <w:rFonts w:ascii="Arial" w:hAnsi="Arial" w:cs="Arial"/>
          <w:sz w:val="22"/>
          <w:szCs w:val="22"/>
        </w:rPr>
        <w:t xml:space="preserve"> </w:t>
      </w:r>
      <w:r w:rsidR="006C1045" w:rsidRPr="00B179E9">
        <w:rPr>
          <w:rFonts w:ascii="Arial" w:hAnsi="Arial" w:cs="Arial"/>
          <w:sz w:val="22"/>
          <w:szCs w:val="22"/>
        </w:rPr>
        <w:t>P7</w:t>
      </w:r>
      <w:r w:rsidR="006A47FE" w:rsidRPr="00B179E9">
        <w:rPr>
          <w:rFonts w:ascii="Arial" w:hAnsi="Arial" w:cs="Arial"/>
          <w:sz w:val="22"/>
          <w:szCs w:val="22"/>
        </w:rPr>
        <w:t>.</w:t>
      </w:r>
      <w:r w:rsidR="006C1045" w:rsidRPr="00B179E9">
        <w:rPr>
          <w:rFonts w:ascii="Arial" w:hAnsi="Arial" w:cs="Arial"/>
          <w:sz w:val="22"/>
          <w:szCs w:val="22"/>
        </w:rPr>
        <w:t>320</w:t>
      </w:r>
      <w:r w:rsidR="006A47FE" w:rsidRPr="00B179E9">
        <w:rPr>
          <w:rFonts w:ascii="Arial" w:hAnsi="Arial" w:cs="Arial"/>
          <w:sz w:val="22"/>
          <w:szCs w:val="22"/>
        </w:rPr>
        <w:t xml:space="preserve"> billion</w:t>
      </w:r>
      <w:r w:rsidR="00AE304C">
        <w:rPr>
          <w:rFonts w:ascii="Arial" w:hAnsi="Arial" w:cs="Arial"/>
          <w:sz w:val="22"/>
          <w:szCs w:val="22"/>
        </w:rPr>
        <w:t xml:space="preserve"> and P</w:t>
      </w:r>
      <w:r w:rsidR="00957EF4">
        <w:rPr>
          <w:rFonts w:ascii="Arial" w:hAnsi="Arial" w:cs="Arial"/>
          <w:sz w:val="22"/>
          <w:szCs w:val="22"/>
        </w:rPr>
        <w:t>7.589</w:t>
      </w:r>
      <w:r w:rsidR="00AE304C">
        <w:rPr>
          <w:rFonts w:ascii="Arial" w:hAnsi="Arial" w:cs="Arial"/>
          <w:sz w:val="22"/>
          <w:szCs w:val="22"/>
        </w:rPr>
        <w:t xml:space="preserve"> billion</w:t>
      </w:r>
      <w:r w:rsidR="0051494B" w:rsidRPr="00B179E9">
        <w:rPr>
          <w:rFonts w:ascii="Arial" w:hAnsi="Arial" w:cs="Arial"/>
          <w:sz w:val="22"/>
          <w:szCs w:val="22"/>
        </w:rPr>
        <w:t xml:space="preserve"> were not included in the recognized revenue</w:t>
      </w:r>
      <w:r w:rsidR="001961E6" w:rsidRPr="00B179E9">
        <w:rPr>
          <w:rFonts w:ascii="Arial" w:hAnsi="Arial" w:cs="Arial"/>
          <w:sz w:val="22"/>
          <w:szCs w:val="22"/>
        </w:rPr>
        <w:t>s</w:t>
      </w:r>
      <w:r w:rsidR="0051494B" w:rsidRPr="00B179E9">
        <w:rPr>
          <w:rFonts w:ascii="Arial" w:hAnsi="Arial" w:cs="Arial"/>
          <w:sz w:val="22"/>
          <w:szCs w:val="22"/>
        </w:rPr>
        <w:t xml:space="preserve"> for </w:t>
      </w:r>
      <w:r w:rsidR="00AE304C">
        <w:rPr>
          <w:rFonts w:ascii="Arial" w:hAnsi="Arial" w:cs="Arial"/>
          <w:sz w:val="22"/>
          <w:szCs w:val="22"/>
        </w:rPr>
        <w:t>both years</w:t>
      </w:r>
      <w:r w:rsidR="0051494B" w:rsidRPr="00B179E9">
        <w:rPr>
          <w:rFonts w:ascii="Arial" w:hAnsi="Arial" w:cs="Arial"/>
          <w:sz w:val="22"/>
          <w:szCs w:val="22"/>
        </w:rPr>
        <w:t>.  Likewise, the net amount due to the PCSO from the said shortfall</w:t>
      </w:r>
      <w:r w:rsidR="00B33142" w:rsidRPr="00B179E9">
        <w:rPr>
          <w:rFonts w:ascii="Arial" w:hAnsi="Arial" w:cs="Arial"/>
          <w:sz w:val="22"/>
          <w:szCs w:val="22"/>
        </w:rPr>
        <w:t>s</w:t>
      </w:r>
      <w:r w:rsidR="0051494B" w:rsidRPr="00B179E9">
        <w:rPr>
          <w:rFonts w:ascii="Arial" w:hAnsi="Arial" w:cs="Arial"/>
          <w:sz w:val="22"/>
          <w:szCs w:val="22"/>
        </w:rPr>
        <w:t xml:space="preserve"> </w:t>
      </w:r>
      <w:r w:rsidR="001961E6" w:rsidRPr="00B179E9">
        <w:rPr>
          <w:rFonts w:ascii="Arial" w:hAnsi="Arial" w:cs="Arial"/>
          <w:sz w:val="22"/>
          <w:szCs w:val="22"/>
        </w:rPr>
        <w:t xml:space="preserve">amounting to P3.051 billion </w:t>
      </w:r>
      <w:r w:rsidR="00AE304C">
        <w:rPr>
          <w:rFonts w:ascii="Arial" w:hAnsi="Arial" w:cs="Arial"/>
          <w:sz w:val="22"/>
          <w:szCs w:val="22"/>
        </w:rPr>
        <w:t xml:space="preserve">and P2.983 billion were </w:t>
      </w:r>
      <w:r w:rsidR="0051494B" w:rsidRPr="00B179E9">
        <w:rPr>
          <w:rFonts w:ascii="Arial" w:hAnsi="Arial" w:cs="Arial"/>
          <w:sz w:val="22"/>
          <w:szCs w:val="22"/>
        </w:rPr>
        <w:t>not recognized as receivables</w:t>
      </w:r>
      <w:r w:rsidR="00AE304C">
        <w:rPr>
          <w:rFonts w:ascii="Arial" w:hAnsi="Arial" w:cs="Arial"/>
          <w:sz w:val="22"/>
          <w:szCs w:val="22"/>
        </w:rPr>
        <w:t xml:space="preserve"> in CYs 2018 and 2017, respectively</w:t>
      </w:r>
      <w:r w:rsidR="00CE270D" w:rsidRPr="00B179E9">
        <w:rPr>
          <w:rFonts w:ascii="Arial" w:hAnsi="Arial" w:cs="Arial"/>
          <w:sz w:val="22"/>
          <w:szCs w:val="22"/>
        </w:rPr>
        <w:t xml:space="preserve">.  Further verification disclosed that the recorded receivables and revenue from the STL pertained only to the actual sales reported by </w:t>
      </w:r>
      <w:r w:rsidR="001961E6" w:rsidRPr="00B179E9">
        <w:rPr>
          <w:rFonts w:ascii="Arial" w:hAnsi="Arial" w:cs="Arial"/>
          <w:sz w:val="22"/>
          <w:szCs w:val="22"/>
        </w:rPr>
        <w:t xml:space="preserve">the </w:t>
      </w:r>
      <w:r w:rsidR="005D4029" w:rsidRPr="00B179E9">
        <w:rPr>
          <w:rFonts w:ascii="Arial" w:hAnsi="Arial" w:cs="Arial"/>
          <w:sz w:val="22"/>
          <w:szCs w:val="22"/>
        </w:rPr>
        <w:t xml:space="preserve">ASAs without any recognition of the </w:t>
      </w:r>
      <w:r w:rsidR="00CE270D" w:rsidRPr="00B179E9">
        <w:rPr>
          <w:rFonts w:ascii="Arial" w:hAnsi="Arial" w:cs="Arial"/>
          <w:sz w:val="22"/>
          <w:szCs w:val="22"/>
        </w:rPr>
        <w:t>PMRR</w:t>
      </w:r>
      <w:r w:rsidR="005D4029" w:rsidRPr="00B179E9">
        <w:rPr>
          <w:rFonts w:ascii="Arial" w:hAnsi="Arial" w:cs="Arial"/>
          <w:sz w:val="22"/>
          <w:szCs w:val="22"/>
        </w:rPr>
        <w:t xml:space="preserve"> shortfall</w:t>
      </w:r>
      <w:r w:rsidR="00B33142" w:rsidRPr="00B179E9">
        <w:rPr>
          <w:rFonts w:ascii="Arial" w:hAnsi="Arial" w:cs="Arial"/>
          <w:sz w:val="22"/>
          <w:szCs w:val="22"/>
        </w:rPr>
        <w:t>s</w:t>
      </w:r>
      <w:r w:rsidR="00CE270D" w:rsidRPr="00B179E9">
        <w:rPr>
          <w:rFonts w:ascii="Arial" w:hAnsi="Arial" w:cs="Arial"/>
          <w:sz w:val="22"/>
          <w:szCs w:val="22"/>
        </w:rPr>
        <w:t xml:space="preserve">. </w:t>
      </w:r>
    </w:p>
    <w:p w:rsidR="00CE270D" w:rsidRPr="00EF4855" w:rsidRDefault="00CE270D" w:rsidP="00CE270D">
      <w:pPr>
        <w:pStyle w:val="ListParagraph"/>
        <w:suppressAutoHyphens/>
        <w:ind w:left="1296"/>
        <w:jc w:val="both"/>
        <w:rPr>
          <w:rFonts w:ascii="Arial" w:hAnsi="Arial" w:cs="Arial"/>
          <w:color w:val="000000" w:themeColor="text1"/>
          <w:sz w:val="22"/>
          <w:szCs w:val="22"/>
        </w:rPr>
      </w:pPr>
    </w:p>
    <w:p w:rsidR="0051494B" w:rsidRPr="00EF4855" w:rsidRDefault="00FF4934" w:rsidP="00DA78B4">
      <w:pPr>
        <w:pStyle w:val="ListParagraph"/>
        <w:numPr>
          <w:ilvl w:val="1"/>
          <w:numId w:val="1"/>
        </w:numPr>
        <w:ind w:left="1440"/>
        <w:contextualSpacing/>
        <w:jc w:val="both"/>
        <w:rPr>
          <w:rFonts w:ascii="Arial" w:hAnsi="Arial" w:cs="Arial"/>
          <w:color w:val="000000" w:themeColor="text1"/>
          <w:sz w:val="22"/>
          <w:szCs w:val="22"/>
        </w:rPr>
      </w:pPr>
      <w:r w:rsidRPr="00EF4855">
        <w:rPr>
          <w:rFonts w:ascii="Arial" w:hAnsi="Arial" w:cs="Arial"/>
          <w:color w:val="000000" w:themeColor="text1"/>
          <w:sz w:val="22"/>
          <w:szCs w:val="22"/>
        </w:rPr>
        <w:t xml:space="preserve">The </w:t>
      </w:r>
      <w:r w:rsidR="00A07138" w:rsidRPr="00EF4855">
        <w:rPr>
          <w:rFonts w:ascii="Arial" w:hAnsi="Arial" w:cs="Arial"/>
          <w:color w:val="000000" w:themeColor="text1"/>
          <w:sz w:val="22"/>
          <w:szCs w:val="22"/>
        </w:rPr>
        <w:t xml:space="preserve">non-recognition of </w:t>
      </w:r>
      <w:r w:rsidR="001961E6">
        <w:rPr>
          <w:rFonts w:ascii="Arial" w:hAnsi="Arial" w:cs="Arial"/>
          <w:color w:val="000000" w:themeColor="text1"/>
          <w:sz w:val="22"/>
          <w:szCs w:val="22"/>
        </w:rPr>
        <w:t xml:space="preserve">the </w:t>
      </w:r>
      <w:r w:rsidR="00A07138" w:rsidRPr="00EF4855">
        <w:rPr>
          <w:rFonts w:ascii="Arial" w:hAnsi="Arial" w:cs="Arial"/>
          <w:color w:val="000000" w:themeColor="text1"/>
          <w:sz w:val="22"/>
          <w:szCs w:val="22"/>
        </w:rPr>
        <w:t xml:space="preserve">PMRR shortfall and Shortfall Due </w:t>
      </w:r>
      <w:r w:rsidR="00EC68C7" w:rsidRPr="00EF4855">
        <w:rPr>
          <w:rFonts w:ascii="Arial" w:hAnsi="Arial" w:cs="Arial"/>
          <w:color w:val="000000" w:themeColor="text1"/>
          <w:sz w:val="22"/>
          <w:szCs w:val="22"/>
        </w:rPr>
        <w:t>to</w:t>
      </w:r>
      <w:r w:rsidRPr="00EF4855">
        <w:rPr>
          <w:rFonts w:ascii="Arial" w:hAnsi="Arial" w:cs="Arial"/>
          <w:color w:val="000000" w:themeColor="text1"/>
          <w:sz w:val="22"/>
          <w:szCs w:val="22"/>
        </w:rPr>
        <w:t xml:space="preserve"> PCSO </w:t>
      </w:r>
      <w:r w:rsidR="005D4029">
        <w:rPr>
          <w:rFonts w:ascii="Arial" w:hAnsi="Arial" w:cs="Arial"/>
          <w:color w:val="000000" w:themeColor="text1"/>
          <w:sz w:val="22"/>
          <w:szCs w:val="22"/>
        </w:rPr>
        <w:t xml:space="preserve">in the books of accounts </w:t>
      </w:r>
      <w:r w:rsidRPr="00EF4855">
        <w:rPr>
          <w:rFonts w:ascii="Arial" w:hAnsi="Arial" w:cs="Arial"/>
          <w:color w:val="000000" w:themeColor="text1"/>
          <w:sz w:val="22"/>
          <w:szCs w:val="22"/>
        </w:rPr>
        <w:t xml:space="preserve">resulted in the </w:t>
      </w:r>
      <w:r w:rsidR="008C0168" w:rsidRPr="00EF4855">
        <w:rPr>
          <w:rFonts w:ascii="Arial" w:hAnsi="Arial" w:cs="Arial"/>
          <w:color w:val="000000" w:themeColor="text1"/>
          <w:sz w:val="22"/>
          <w:szCs w:val="22"/>
        </w:rPr>
        <w:t>u</w:t>
      </w:r>
      <w:r w:rsidR="0051494B" w:rsidRPr="00EF4855">
        <w:rPr>
          <w:rFonts w:ascii="Arial" w:hAnsi="Arial" w:cs="Arial"/>
          <w:color w:val="000000" w:themeColor="text1"/>
          <w:sz w:val="22"/>
          <w:szCs w:val="22"/>
        </w:rPr>
        <w:t xml:space="preserve">nderstatement of </w:t>
      </w:r>
      <w:r w:rsidR="005D4029">
        <w:rPr>
          <w:rFonts w:ascii="Arial" w:hAnsi="Arial" w:cs="Arial"/>
          <w:color w:val="000000" w:themeColor="text1"/>
          <w:sz w:val="22"/>
          <w:szCs w:val="22"/>
        </w:rPr>
        <w:t xml:space="preserve">the </w:t>
      </w:r>
      <w:r w:rsidR="006C1045" w:rsidRPr="00EF4855">
        <w:rPr>
          <w:rFonts w:ascii="Arial" w:hAnsi="Arial" w:cs="Arial"/>
          <w:color w:val="000000" w:themeColor="text1"/>
          <w:sz w:val="22"/>
          <w:szCs w:val="22"/>
        </w:rPr>
        <w:t>revenue</w:t>
      </w:r>
      <w:r w:rsidR="00EC68C7" w:rsidRPr="00EF4855">
        <w:rPr>
          <w:rFonts w:ascii="Arial" w:hAnsi="Arial" w:cs="Arial"/>
          <w:color w:val="000000" w:themeColor="text1"/>
          <w:sz w:val="22"/>
          <w:szCs w:val="22"/>
        </w:rPr>
        <w:t xml:space="preserve"> account</w:t>
      </w:r>
      <w:r w:rsidR="006C1045" w:rsidRPr="00EF4855">
        <w:rPr>
          <w:rFonts w:ascii="Arial" w:hAnsi="Arial" w:cs="Arial"/>
          <w:color w:val="000000" w:themeColor="text1"/>
          <w:sz w:val="22"/>
          <w:szCs w:val="22"/>
        </w:rPr>
        <w:t xml:space="preserve"> </w:t>
      </w:r>
      <w:r w:rsidR="0051494B" w:rsidRPr="00EF4855">
        <w:rPr>
          <w:rFonts w:ascii="Arial" w:hAnsi="Arial" w:cs="Arial"/>
          <w:color w:val="000000" w:themeColor="text1"/>
          <w:sz w:val="22"/>
          <w:szCs w:val="22"/>
        </w:rPr>
        <w:t xml:space="preserve">by </w:t>
      </w:r>
      <w:r w:rsidR="006C1045" w:rsidRPr="00EF4855">
        <w:rPr>
          <w:rFonts w:ascii="Arial" w:hAnsi="Arial" w:cs="Arial"/>
          <w:color w:val="000000" w:themeColor="text1"/>
          <w:sz w:val="22"/>
          <w:szCs w:val="22"/>
        </w:rPr>
        <w:t>P7</w:t>
      </w:r>
      <w:r w:rsidR="006A47FE" w:rsidRPr="00EF4855">
        <w:rPr>
          <w:rFonts w:ascii="Arial" w:hAnsi="Arial" w:cs="Arial"/>
          <w:color w:val="000000" w:themeColor="text1"/>
          <w:sz w:val="22"/>
          <w:szCs w:val="22"/>
        </w:rPr>
        <w:t>.</w:t>
      </w:r>
      <w:r w:rsidR="006C1045" w:rsidRPr="00EF4855">
        <w:rPr>
          <w:rFonts w:ascii="Arial" w:hAnsi="Arial" w:cs="Arial"/>
          <w:color w:val="000000" w:themeColor="text1"/>
          <w:sz w:val="22"/>
          <w:szCs w:val="22"/>
        </w:rPr>
        <w:t>320</w:t>
      </w:r>
      <w:r w:rsidR="006A47FE" w:rsidRPr="00EF4855">
        <w:rPr>
          <w:rFonts w:ascii="Arial" w:hAnsi="Arial" w:cs="Arial"/>
          <w:color w:val="000000" w:themeColor="text1"/>
          <w:sz w:val="22"/>
          <w:szCs w:val="22"/>
        </w:rPr>
        <w:t xml:space="preserve"> billion</w:t>
      </w:r>
      <w:r w:rsidR="00424846">
        <w:rPr>
          <w:rFonts w:ascii="Arial" w:hAnsi="Arial" w:cs="Arial"/>
          <w:color w:val="000000" w:themeColor="text1"/>
          <w:sz w:val="22"/>
          <w:szCs w:val="22"/>
        </w:rPr>
        <w:t>, Retained Earnings account by P</w:t>
      </w:r>
      <w:r w:rsidR="00957EF4">
        <w:rPr>
          <w:rFonts w:ascii="Arial" w:hAnsi="Arial" w:cs="Arial"/>
          <w:color w:val="000000" w:themeColor="text1"/>
          <w:sz w:val="22"/>
          <w:szCs w:val="22"/>
        </w:rPr>
        <w:t>2.983</w:t>
      </w:r>
      <w:r w:rsidR="00424846">
        <w:rPr>
          <w:rFonts w:ascii="Arial" w:hAnsi="Arial" w:cs="Arial"/>
          <w:color w:val="000000" w:themeColor="text1"/>
          <w:sz w:val="22"/>
          <w:szCs w:val="22"/>
        </w:rPr>
        <w:t xml:space="preserve"> billion</w:t>
      </w:r>
      <w:r w:rsidR="006A47FE" w:rsidRPr="00EF4855">
        <w:rPr>
          <w:rFonts w:ascii="Arial" w:hAnsi="Arial" w:cs="Arial"/>
          <w:color w:val="000000" w:themeColor="text1"/>
          <w:sz w:val="22"/>
          <w:szCs w:val="22"/>
        </w:rPr>
        <w:t xml:space="preserve"> </w:t>
      </w:r>
      <w:r w:rsidRPr="00EF4855">
        <w:rPr>
          <w:rFonts w:ascii="Arial" w:hAnsi="Arial" w:cs="Arial"/>
          <w:color w:val="000000" w:themeColor="text1"/>
          <w:sz w:val="22"/>
          <w:szCs w:val="22"/>
        </w:rPr>
        <w:t xml:space="preserve">and of </w:t>
      </w:r>
      <w:r w:rsidR="001961E6">
        <w:rPr>
          <w:rFonts w:ascii="Arial" w:hAnsi="Arial" w:cs="Arial"/>
          <w:color w:val="000000" w:themeColor="text1"/>
          <w:sz w:val="22"/>
          <w:szCs w:val="22"/>
        </w:rPr>
        <w:t xml:space="preserve">the </w:t>
      </w:r>
      <w:r w:rsidR="0051494B" w:rsidRPr="00EF4855">
        <w:rPr>
          <w:rFonts w:ascii="Arial" w:hAnsi="Arial" w:cs="Arial"/>
          <w:color w:val="000000" w:themeColor="text1"/>
          <w:sz w:val="22"/>
          <w:szCs w:val="22"/>
        </w:rPr>
        <w:t>receivables</w:t>
      </w:r>
      <w:r w:rsidR="008C0168" w:rsidRPr="00EF4855">
        <w:rPr>
          <w:rFonts w:ascii="Arial" w:hAnsi="Arial" w:cs="Arial"/>
          <w:color w:val="000000" w:themeColor="text1"/>
          <w:sz w:val="22"/>
          <w:szCs w:val="22"/>
        </w:rPr>
        <w:t>-STL</w:t>
      </w:r>
      <w:r w:rsidR="0051494B" w:rsidRPr="00EF4855">
        <w:rPr>
          <w:rFonts w:ascii="Arial" w:hAnsi="Arial" w:cs="Arial"/>
          <w:color w:val="000000" w:themeColor="text1"/>
          <w:sz w:val="22"/>
          <w:szCs w:val="22"/>
        </w:rPr>
        <w:t xml:space="preserve"> account by P</w:t>
      </w:r>
      <w:r w:rsidR="00424846">
        <w:rPr>
          <w:rFonts w:ascii="Arial" w:hAnsi="Arial" w:cs="Arial"/>
          <w:color w:val="000000" w:themeColor="text1"/>
          <w:sz w:val="22"/>
          <w:szCs w:val="22"/>
        </w:rPr>
        <w:t>6.034</w:t>
      </w:r>
      <w:r w:rsidR="001961E6">
        <w:rPr>
          <w:rFonts w:ascii="Arial" w:hAnsi="Arial" w:cs="Arial"/>
          <w:color w:val="000000" w:themeColor="text1"/>
          <w:sz w:val="22"/>
          <w:szCs w:val="22"/>
        </w:rPr>
        <w:t xml:space="preserve"> billion</w:t>
      </w:r>
      <w:r w:rsidR="00AE304C">
        <w:rPr>
          <w:rFonts w:ascii="Arial" w:hAnsi="Arial" w:cs="Arial"/>
          <w:color w:val="000000" w:themeColor="text1"/>
          <w:sz w:val="22"/>
          <w:szCs w:val="22"/>
        </w:rPr>
        <w:t xml:space="preserve"> [P3.051 billion + P2.983 billion]</w:t>
      </w:r>
      <w:r w:rsidR="005D4029">
        <w:rPr>
          <w:rFonts w:ascii="Arial" w:hAnsi="Arial" w:cs="Arial"/>
          <w:color w:val="000000" w:themeColor="text1"/>
          <w:sz w:val="22"/>
          <w:szCs w:val="22"/>
        </w:rPr>
        <w:t xml:space="preserve"> as of December 31, 2018.</w:t>
      </w:r>
    </w:p>
    <w:p w:rsidR="00424846" w:rsidRPr="00EF4855" w:rsidRDefault="00424846" w:rsidP="004C39E3">
      <w:pPr>
        <w:pStyle w:val="ListParagraph"/>
        <w:suppressAutoHyphens/>
        <w:jc w:val="both"/>
        <w:rPr>
          <w:rFonts w:ascii="Arial" w:hAnsi="Arial" w:cs="Arial"/>
          <w:b/>
          <w:color w:val="000000" w:themeColor="text1"/>
          <w:sz w:val="22"/>
          <w:szCs w:val="22"/>
        </w:rPr>
      </w:pPr>
    </w:p>
    <w:p w:rsidR="00B80DEC" w:rsidRPr="004F6C55" w:rsidRDefault="00323C4B" w:rsidP="00DA78B4">
      <w:pPr>
        <w:pStyle w:val="ListParagraph"/>
        <w:numPr>
          <w:ilvl w:val="1"/>
          <w:numId w:val="1"/>
        </w:numPr>
        <w:ind w:left="1440"/>
        <w:contextualSpacing/>
        <w:jc w:val="both"/>
        <w:rPr>
          <w:rFonts w:ascii="Arial" w:eastAsia="Calibri" w:hAnsi="Arial" w:cs="Arial"/>
          <w:b/>
          <w:sz w:val="22"/>
          <w:szCs w:val="22"/>
        </w:rPr>
      </w:pPr>
      <w:r w:rsidRPr="004F6C55">
        <w:rPr>
          <w:rFonts w:ascii="Arial" w:eastAsia="Calibri" w:hAnsi="Arial" w:cs="Arial"/>
          <w:b/>
          <w:sz w:val="22"/>
          <w:szCs w:val="22"/>
        </w:rPr>
        <w:t>W</w:t>
      </w:r>
      <w:r w:rsidR="0051494B" w:rsidRPr="004F6C55">
        <w:rPr>
          <w:rFonts w:ascii="Arial" w:eastAsia="Calibri" w:hAnsi="Arial" w:cs="Arial"/>
          <w:b/>
          <w:sz w:val="22"/>
          <w:szCs w:val="22"/>
        </w:rPr>
        <w:t>e recommend</w:t>
      </w:r>
      <w:r w:rsidR="00BC6970" w:rsidRPr="004F6C55">
        <w:rPr>
          <w:rFonts w:ascii="Arial" w:eastAsia="Calibri" w:hAnsi="Arial" w:cs="Arial"/>
          <w:b/>
          <w:sz w:val="22"/>
          <w:szCs w:val="22"/>
        </w:rPr>
        <w:t xml:space="preserve">ed </w:t>
      </w:r>
      <w:r w:rsidR="0051494B" w:rsidRPr="004F6C55">
        <w:rPr>
          <w:rFonts w:ascii="Arial" w:eastAsia="Calibri" w:hAnsi="Arial" w:cs="Arial"/>
          <w:b/>
          <w:sz w:val="22"/>
          <w:szCs w:val="22"/>
        </w:rPr>
        <w:t>that Management</w:t>
      </w:r>
      <w:r w:rsidR="000E7AE5" w:rsidRPr="004F6C55">
        <w:rPr>
          <w:rFonts w:ascii="Arial" w:eastAsia="Calibri" w:hAnsi="Arial" w:cs="Arial"/>
          <w:b/>
          <w:sz w:val="22"/>
          <w:szCs w:val="22"/>
        </w:rPr>
        <w:t xml:space="preserve"> direct the Accounting and Budget Department</w:t>
      </w:r>
      <w:r w:rsidR="001B5C73">
        <w:rPr>
          <w:rFonts w:ascii="Arial" w:eastAsia="Calibri" w:hAnsi="Arial" w:cs="Arial"/>
          <w:b/>
          <w:sz w:val="22"/>
          <w:szCs w:val="22"/>
        </w:rPr>
        <w:t xml:space="preserve"> (ABD)</w:t>
      </w:r>
      <w:r w:rsidR="000E7AE5" w:rsidRPr="004F6C55">
        <w:rPr>
          <w:rFonts w:ascii="Arial" w:eastAsia="Calibri" w:hAnsi="Arial" w:cs="Arial"/>
          <w:b/>
          <w:sz w:val="22"/>
          <w:szCs w:val="22"/>
        </w:rPr>
        <w:t xml:space="preserve"> to</w:t>
      </w:r>
      <w:r w:rsidR="00B12BFF" w:rsidRPr="004F6C55">
        <w:rPr>
          <w:rFonts w:ascii="Arial" w:eastAsia="Calibri" w:hAnsi="Arial" w:cs="Arial"/>
          <w:b/>
          <w:sz w:val="22"/>
          <w:szCs w:val="22"/>
        </w:rPr>
        <w:t>:</w:t>
      </w:r>
    </w:p>
    <w:p w:rsidR="00B80DEC" w:rsidRPr="00EF4855" w:rsidRDefault="00B80DEC" w:rsidP="004C39E3">
      <w:pPr>
        <w:pStyle w:val="ListParagraph"/>
        <w:rPr>
          <w:rFonts w:ascii="Arial" w:hAnsi="Arial" w:cs="Arial"/>
          <w:b/>
          <w:color w:val="000000" w:themeColor="text1"/>
          <w:sz w:val="22"/>
          <w:szCs w:val="22"/>
        </w:rPr>
      </w:pPr>
    </w:p>
    <w:p w:rsidR="00B80DEC" w:rsidRPr="00B179E9" w:rsidRDefault="000E7AE5" w:rsidP="00DA78B4">
      <w:pPr>
        <w:pStyle w:val="ListParagraph"/>
        <w:numPr>
          <w:ilvl w:val="0"/>
          <w:numId w:val="3"/>
        </w:numPr>
        <w:ind w:left="1980" w:hanging="540"/>
        <w:contextualSpacing/>
        <w:jc w:val="both"/>
        <w:rPr>
          <w:rFonts w:ascii="Arial" w:hAnsi="Arial" w:cs="Arial"/>
          <w:b/>
          <w:sz w:val="22"/>
          <w:szCs w:val="22"/>
        </w:rPr>
      </w:pPr>
      <w:r w:rsidRPr="00B179E9">
        <w:rPr>
          <w:rFonts w:ascii="Arial" w:hAnsi="Arial" w:cs="Arial"/>
          <w:b/>
          <w:sz w:val="22"/>
          <w:szCs w:val="22"/>
        </w:rPr>
        <w:t>R</w:t>
      </w:r>
      <w:r w:rsidR="0051494B" w:rsidRPr="00B179E9">
        <w:rPr>
          <w:rFonts w:ascii="Arial" w:hAnsi="Arial" w:cs="Arial"/>
          <w:b/>
          <w:sz w:val="22"/>
          <w:szCs w:val="22"/>
        </w:rPr>
        <w:t xml:space="preserve">ecognize as part </w:t>
      </w:r>
      <w:r w:rsidR="00B8100B" w:rsidRPr="00B179E9">
        <w:rPr>
          <w:rFonts w:ascii="Arial" w:hAnsi="Arial" w:cs="Arial"/>
          <w:b/>
          <w:sz w:val="22"/>
          <w:szCs w:val="22"/>
        </w:rPr>
        <w:t xml:space="preserve">of the PCSO’s </w:t>
      </w:r>
      <w:r w:rsidR="0051494B" w:rsidRPr="00B179E9">
        <w:rPr>
          <w:rFonts w:ascii="Arial" w:hAnsi="Arial" w:cs="Arial"/>
          <w:b/>
          <w:sz w:val="22"/>
          <w:szCs w:val="22"/>
        </w:rPr>
        <w:t xml:space="preserve">revenues </w:t>
      </w:r>
      <w:r w:rsidR="00B8100B" w:rsidRPr="00B179E9">
        <w:rPr>
          <w:rFonts w:ascii="Arial" w:hAnsi="Arial" w:cs="Arial"/>
          <w:b/>
          <w:sz w:val="22"/>
          <w:szCs w:val="22"/>
        </w:rPr>
        <w:t>the PMRR shortfall</w:t>
      </w:r>
      <w:r w:rsidR="00AE304C">
        <w:rPr>
          <w:rFonts w:ascii="Arial" w:hAnsi="Arial" w:cs="Arial"/>
          <w:b/>
          <w:sz w:val="22"/>
          <w:szCs w:val="22"/>
        </w:rPr>
        <w:t>s</w:t>
      </w:r>
      <w:r w:rsidR="00B8100B" w:rsidRPr="00B179E9">
        <w:rPr>
          <w:rFonts w:ascii="Arial" w:hAnsi="Arial" w:cs="Arial"/>
          <w:b/>
          <w:sz w:val="22"/>
          <w:szCs w:val="22"/>
        </w:rPr>
        <w:t xml:space="preserve"> incurred </w:t>
      </w:r>
      <w:r w:rsidR="00AE304C">
        <w:rPr>
          <w:rFonts w:ascii="Arial" w:hAnsi="Arial" w:cs="Arial"/>
          <w:b/>
          <w:sz w:val="22"/>
          <w:szCs w:val="22"/>
        </w:rPr>
        <w:t>in</w:t>
      </w:r>
      <w:r w:rsidR="0051494B" w:rsidRPr="00B179E9">
        <w:rPr>
          <w:rFonts w:ascii="Arial" w:hAnsi="Arial" w:cs="Arial"/>
          <w:b/>
          <w:sz w:val="22"/>
          <w:szCs w:val="22"/>
        </w:rPr>
        <w:t xml:space="preserve"> CY</w:t>
      </w:r>
      <w:r w:rsidR="00AE304C">
        <w:rPr>
          <w:rFonts w:ascii="Arial" w:hAnsi="Arial" w:cs="Arial"/>
          <w:b/>
          <w:sz w:val="22"/>
          <w:szCs w:val="22"/>
        </w:rPr>
        <w:t>s</w:t>
      </w:r>
      <w:r w:rsidR="0051494B" w:rsidRPr="00B179E9">
        <w:rPr>
          <w:rFonts w:ascii="Arial" w:hAnsi="Arial" w:cs="Arial"/>
          <w:b/>
          <w:sz w:val="22"/>
          <w:szCs w:val="22"/>
        </w:rPr>
        <w:t xml:space="preserve"> 2018</w:t>
      </w:r>
      <w:r w:rsidR="00AE304C">
        <w:rPr>
          <w:rFonts w:ascii="Arial" w:hAnsi="Arial" w:cs="Arial"/>
          <w:b/>
          <w:sz w:val="22"/>
          <w:szCs w:val="22"/>
        </w:rPr>
        <w:t xml:space="preserve"> and 2017</w:t>
      </w:r>
      <w:r w:rsidR="0051494B" w:rsidRPr="00B179E9">
        <w:rPr>
          <w:rFonts w:ascii="Arial" w:hAnsi="Arial" w:cs="Arial"/>
          <w:b/>
          <w:sz w:val="22"/>
          <w:szCs w:val="22"/>
        </w:rPr>
        <w:t xml:space="preserve"> and recognize as among the receivables the net amount representing unsettled PMRR shortfall</w:t>
      </w:r>
      <w:r w:rsidR="00B33142" w:rsidRPr="00B179E9">
        <w:rPr>
          <w:rFonts w:ascii="Arial" w:hAnsi="Arial" w:cs="Arial"/>
          <w:b/>
          <w:sz w:val="22"/>
          <w:szCs w:val="22"/>
        </w:rPr>
        <w:t>s</w:t>
      </w:r>
      <w:r w:rsidR="0051494B" w:rsidRPr="00B179E9">
        <w:rPr>
          <w:rFonts w:ascii="Arial" w:hAnsi="Arial" w:cs="Arial"/>
          <w:b/>
          <w:sz w:val="22"/>
          <w:szCs w:val="22"/>
        </w:rPr>
        <w:t xml:space="preserve"> due to PCSO </w:t>
      </w:r>
      <w:r w:rsidR="00AE304C">
        <w:rPr>
          <w:rFonts w:ascii="Arial" w:hAnsi="Arial" w:cs="Arial"/>
          <w:b/>
          <w:sz w:val="22"/>
          <w:szCs w:val="22"/>
        </w:rPr>
        <w:t>in</w:t>
      </w:r>
      <w:r w:rsidR="0051494B" w:rsidRPr="00B179E9">
        <w:rPr>
          <w:rFonts w:ascii="Arial" w:hAnsi="Arial" w:cs="Arial"/>
          <w:b/>
          <w:sz w:val="22"/>
          <w:szCs w:val="22"/>
        </w:rPr>
        <w:t xml:space="preserve"> 2018</w:t>
      </w:r>
      <w:r w:rsidR="00AE304C">
        <w:rPr>
          <w:rFonts w:ascii="Arial" w:hAnsi="Arial" w:cs="Arial"/>
          <w:b/>
          <w:sz w:val="22"/>
          <w:szCs w:val="22"/>
        </w:rPr>
        <w:t xml:space="preserve"> and 2017</w:t>
      </w:r>
      <w:r w:rsidR="0051494B" w:rsidRPr="00B179E9">
        <w:rPr>
          <w:rFonts w:ascii="Arial" w:hAnsi="Arial" w:cs="Arial"/>
          <w:b/>
          <w:sz w:val="22"/>
          <w:szCs w:val="22"/>
        </w:rPr>
        <w:t xml:space="preserve">.  </w:t>
      </w:r>
    </w:p>
    <w:p w:rsidR="00B80DEC" w:rsidRPr="00EF4855" w:rsidRDefault="00B80DEC" w:rsidP="00021CA9">
      <w:pPr>
        <w:pStyle w:val="ListParagraph"/>
        <w:suppressAutoHyphens/>
        <w:ind w:left="1980" w:hanging="540"/>
        <w:jc w:val="both"/>
        <w:rPr>
          <w:rFonts w:ascii="Arial" w:hAnsi="Arial" w:cs="Arial"/>
          <w:b/>
          <w:color w:val="000000" w:themeColor="text1"/>
          <w:sz w:val="22"/>
          <w:szCs w:val="22"/>
        </w:rPr>
      </w:pPr>
    </w:p>
    <w:p w:rsidR="00F81AA1" w:rsidRPr="00B179E9" w:rsidRDefault="000E7AE5" w:rsidP="00DA78B4">
      <w:pPr>
        <w:pStyle w:val="ListParagraph"/>
        <w:numPr>
          <w:ilvl w:val="0"/>
          <w:numId w:val="3"/>
        </w:numPr>
        <w:ind w:left="1980" w:hanging="540"/>
        <w:contextualSpacing/>
        <w:jc w:val="both"/>
        <w:rPr>
          <w:rFonts w:ascii="Arial" w:hAnsi="Arial" w:cs="Arial"/>
          <w:b/>
          <w:sz w:val="22"/>
          <w:szCs w:val="22"/>
        </w:rPr>
      </w:pPr>
      <w:r w:rsidRPr="00B179E9">
        <w:rPr>
          <w:rFonts w:ascii="Arial" w:hAnsi="Arial" w:cs="Arial"/>
          <w:b/>
          <w:sz w:val="22"/>
          <w:szCs w:val="22"/>
        </w:rPr>
        <w:t>R</w:t>
      </w:r>
      <w:r w:rsidR="0051494B" w:rsidRPr="00B179E9">
        <w:rPr>
          <w:rFonts w:ascii="Arial" w:hAnsi="Arial" w:cs="Arial"/>
          <w:b/>
          <w:sz w:val="22"/>
          <w:szCs w:val="22"/>
        </w:rPr>
        <w:t>ecord the STL transactions on accrual basis</w:t>
      </w:r>
      <w:r w:rsidR="00B8100B" w:rsidRPr="00B179E9">
        <w:rPr>
          <w:rFonts w:ascii="Arial" w:hAnsi="Arial" w:cs="Arial"/>
          <w:b/>
          <w:sz w:val="22"/>
          <w:szCs w:val="22"/>
        </w:rPr>
        <w:t xml:space="preserve"> </w:t>
      </w:r>
      <w:r w:rsidR="0051494B" w:rsidRPr="00B179E9">
        <w:rPr>
          <w:rFonts w:ascii="Arial" w:hAnsi="Arial" w:cs="Arial"/>
          <w:b/>
          <w:sz w:val="22"/>
          <w:szCs w:val="22"/>
        </w:rPr>
        <w:t>to ensure that the same are recognized in the period in which they were earned and not when cash was collected pursuant to Paragraphs 27 and 28 of PAS 1 and the CFFR.</w:t>
      </w:r>
    </w:p>
    <w:p w:rsidR="00061A2E" w:rsidRPr="00EF4855" w:rsidRDefault="00061A2E" w:rsidP="00061A2E">
      <w:pPr>
        <w:pStyle w:val="ListParagraph"/>
        <w:rPr>
          <w:rFonts w:ascii="Arial" w:hAnsi="Arial" w:cs="Arial"/>
          <w:b/>
          <w:color w:val="000000" w:themeColor="text1"/>
          <w:sz w:val="22"/>
          <w:szCs w:val="22"/>
        </w:rPr>
      </w:pPr>
    </w:p>
    <w:p w:rsidR="00B179E9" w:rsidRDefault="00061A2E" w:rsidP="00DA78B4">
      <w:pPr>
        <w:pStyle w:val="ListParagraph"/>
        <w:numPr>
          <w:ilvl w:val="1"/>
          <w:numId w:val="1"/>
        </w:numPr>
        <w:ind w:left="1440"/>
        <w:contextualSpacing/>
        <w:jc w:val="both"/>
        <w:rPr>
          <w:rFonts w:ascii="Arial" w:hAnsi="Arial" w:cs="Arial"/>
          <w:sz w:val="22"/>
          <w:szCs w:val="22"/>
        </w:rPr>
      </w:pPr>
      <w:r w:rsidRPr="00EF4855">
        <w:rPr>
          <w:rFonts w:ascii="Arial" w:hAnsi="Arial" w:cs="Arial"/>
          <w:sz w:val="22"/>
          <w:szCs w:val="22"/>
        </w:rPr>
        <w:t xml:space="preserve">Management </w:t>
      </w:r>
      <w:r w:rsidR="008D0CA4" w:rsidRPr="00EF4855">
        <w:rPr>
          <w:rFonts w:ascii="Arial" w:hAnsi="Arial" w:cs="Arial"/>
          <w:sz w:val="22"/>
          <w:szCs w:val="22"/>
        </w:rPr>
        <w:t xml:space="preserve">commented </w:t>
      </w:r>
      <w:r w:rsidRPr="00EF4855">
        <w:rPr>
          <w:rFonts w:ascii="Arial" w:hAnsi="Arial" w:cs="Arial"/>
          <w:sz w:val="22"/>
          <w:szCs w:val="22"/>
        </w:rPr>
        <w:t>that</w:t>
      </w:r>
      <w:r w:rsidR="00B179E9">
        <w:rPr>
          <w:rFonts w:ascii="Arial" w:hAnsi="Arial" w:cs="Arial"/>
          <w:sz w:val="22"/>
          <w:szCs w:val="22"/>
        </w:rPr>
        <w:t>:</w:t>
      </w:r>
    </w:p>
    <w:p w:rsidR="00B179E9" w:rsidRDefault="00B179E9" w:rsidP="00B179E9">
      <w:pPr>
        <w:pStyle w:val="ListParagraph"/>
        <w:ind w:left="1260"/>
        <w:contextualSpacing/>
        <w:jc w:val="both"/>
        <w:rPr>
          <w:rFonts w:ascii="Arial" w:hAnsi="Arial" w:cs="Arial"/>
          <w:sz w:val="22"/>
          <w:szCs w:val="22"/>
        </w:rPr>
      </w:pPr>
    </w:p>
    <w:p w:rsidR="00BA3D2A" w:rsidRPr="00EF4855" w:rsidRDefault="008D0CA4" w:rsidP="00DA78B4">
      <w:pPr>
        <w:pStyle w:val="ListParagraph"/>
        <w:numPr>
          <w:ilvl w:val="1"/>
          <w:numId w:val="17"/>
        </w:numPr>
        <w:ind w:left="1980" w:hanging="540"/>
        <w:contextualSpacing/>
        <w:jc w:val="both"/>
        <w:rPr>
          <w:rFonts w:ascii="Arial" w:hAnsi="Arial" w:cs="Arial"/>
          <w:sz w:val="22"/>
          <w:szCs w:val="22"/>
        </w:rPr>
      </w:pPr>
      <w:r w:rsidRPr="00EF4855">
        <w:rPr>
          <w:rFonts w:ascii="Arial" w:hAnsi="Arial" w:cs="Arial"/>
          <w:sz w:val="22"/>
          <w:szCs w:val="22"/>
        </w:rPr>
        <w:t>PCSO record</w:t>
      </w:r>
      <w:r w:rsidR="00B8100B">
        <w:rPr>
          <w:rFonts w:ascii="Arial" w:hAnsi="Arial" w:cs="Arial"/>
          <w:sz w:val="22"/>
          <w:szCs w:val="22"/>
        </w:rPr>
        <w:t xml:space="preserve">s transactions on accrual basis but the </w:t>
      </w:r>
      <w:r w:rsidRPr="00EF4855">
        <w:rPr>
          <w:rFonts w:ascii="Arial" w:hAnsi="Arial" w:cs="Arial"/>
          <w:sz w:val="22"/>
          <w:szCs w:val="22"/>
        </w:rPr>
        <w:t>criteria for the recognition of the reve</w:t>
      </w:r>
      <w:r w:rsidR="00B8100B">
        <w:rPr>
          <w:rFonts w:ascii="Arial" w:hAnsi="Arial" w:cs="Arial"/>
          <w:sz w:val="22"/>
          <w:szCs w:val="22"/>
        </w:rPr>
        <w:t xml:space="preserve">nues must all be met. They </w:t>
      </w:r>
      <w:r w:rsidRPr="00EF4855">
        <w:rPr>
          <w:rFonts w:ascii="Arial" w:hAnsi="Arial" w:cs="Arial"/>
          <w:sz w:val="22"/>
          <w:szCs w:val="22"/>
        </w:rPr>
        <w:t>cited Section 7, Chapter V. Volume 1 of the Government Accounting Manual as their reference, which identifies the conditions that have to be fully satisfied for the revenue recognition from the sale of goods (STL sales) such as</w:t>
      </w:r>
      <w:r w:rsidR="00C10C70" w:rsidRPr="00EF4855">
        <w:rPr>
          <w:rFonts w:ascii="Arial" w:hAnsi="Arial" w:cs="Arial"/>
          <w:sz w:val="22"/>
          <w:szCs w:val="22"/>
        </w:rPr>
        <w:t>:</w:t>
      </w:r>
      <w:r w:rsidRPr="00EF4855">
        <w:rPr>
          <w:rFonts w:ascii="Arial" w:hAnsi="Arial" w:cs="Arial"/>
          <w:sz w:val="22"/>
          <w:szCs w:val="22"/>
        </w:rPr>
        <w:t xml:space="preserve"> </w:t>
      </w:r>
      <w:r w:rsidR="00B179E9">
        <w:rPr>
          <w:rFonts w:ascii="Arial" w:hAnsi="Arial" w:cs="Arial"/>
          <w:sz w:val="22"/>
          <w:szCs w:val="22"/>
        </w:rPr>
        <w:t>(a) t</w:t>
      </w:r>
      <w:r w:rsidRPr="00EF4855">
        <w:rPr>
          <w:rFonts w:ascii="Arial" w:hAnsi="Arial" w:cs="Arial"/>
          <w:sz w:val="22"/>
          <w:szCs w:val="22"/>
        </w:rPr>
        <w:t>he entity has transferred to the purchaser the significant risks and rewards of owner</w:t>
      </w:r>
      <w:r w:rsidR="00F3107F">
        <w:rPr>
          <w:rFonts w:ascii="Arial" w:hAnsi="Arial" w:cs="Arial"/>
          <w:sz w:val="22"/>
          <w:szCs w:val="22"/>
        </w:rPr>
        <w:t>ship of the goods; (b</w:t>
      </w:r>
      <w:r w:rsidRPr="00EF4855">
        <w:rPr>
          <w:rFonts w:ascii="Arial" w:hAnsi="Arial" w:cs="Arial"/>
          <w:sz w:val="22"/>
          <w:szCs w:val="22"/>
        </w:rPr>
        <w:t xml:space="preserve">) </w:t>
      </w:r>
      <w:r w:rsidR="00B179E9">
        <w:rPr>
          <w:rFonts w:ascii="Arial" w:hAnsi="Arial" w:cs="Arial"/>
          <w:sz w:val="22"/>
          <w:szCs w:val="22"/>
        </w:rPr>
        <w:t>t</w:t>
      </w:r>
      <w:r w:rsidRPr="00EF4855">
        <w:rPr>
          <w:rFonts w:ascii="Arial" w:hAnsi="Arial" w:cs="Arial"/>
          <w:sz w:val="22"/>
          <w:szCs w:val="22"/>
        </w:rPr>
        <w:t>he entity retains neither continuing managerial involvement to the degree usually associated with ownership nor effective</w:t>
      </w:r>
      <w:r w:rsidR="00F3107F">
        <w:rPr>
          <w:rFonts w:ascii="Arial" w:hAnsi="Arial" w:cs="Arial"/>
          <w:sz w:val="22"/>
          <w:szCs w:val="22"/>
        </w:rPr>
        <w:t xml:space="preserve"> control over the goods sold; (c</w:t>
      </w:r>
      <w:r w:rsidR="00B179E9">
        <w:rPr>
          <w:rFonts w:ascii="Arial" w:hAnsi="Arial" w:cs="Arial"/>
          <w:sz w:val="22"/>
          <w:szCs w:val="22"/>
        </w:rPr>
        <w:t>) t</w:t>
      </w:r>
      <w:r w:rsidRPr="00EF4855">
        <w:rPr>
          <w:rFonts w:ascii="Arial" w:hAnsi="Arial" w:cs="Arial"/>
          <w:sz w:val="22"/>
          <w:szCs w:val="22"/>
        </w:rPr>
        <w:t>he amount of reve</w:t>
      </w:r>
      <w:r w:rsidR="00F3107F">
        <w:rPr>
          <w:rFonts w:ascii="Arial" w:hAnsi="Arial" w:cs="Arial"/>
          <w:sz w:val="22"/>
          <w:szCs w:val="22"/>
        </w:rPr>
        <w:t>nue can be measured reliably; (d</w:t>
      </w:r>
      <w:r w:rsidR="00B179E9">
        <w:rPr>
          <w:rFonts w:ascii="Arial" w:hAnsi="Arial" w:cs="Arial"/>
          <w:sz w:val="22"/>
          <w:szCs w:val="22"/>
        </w:rPr>
        <w:t>) i</w:t>
      </w:r>
      <w:r w:rsidRPr="00EF4855">
        <w:rPr>
          <w:rFonts w:ascii="Arial" w:hAnsi="Arial" w:cs="Arial"/>
          <w:sz w:val="22"/>
          <w:szCs w:val="22"/>
        </w:rPr>
        <w:t>t is probable that the economic benefits or service potential associated with the transaction</w:t>
      </w:r>
      <w:r w:rsidR="00F3107F">
        <w:rPr>
          <w:rFonts w:ascii="Arial" w:hAnsi="Arial" w:cs="Arial"/>
          <w:sz w:val="22"/>
          <w:szCs w:val="22"/>
        </w:rPr>
        <w:t xml:space="preserve"> will flow to the entity; and (e</w:t>
      </w:r>
      <w:r w:rsidRPr="00EF4855">
        <w:rPr>
          <w:rFonts w:ascii="Arial" w:hAnsi="Arial" w:cs="Arial"/>
          <w:sz w:val="22"/>
          <w:szCs w:val="22"/>
        </w:rPr>
        <w:t xml:space="preserve">) </w:t>
      </w:r>
      <w:r w:rsidR="00527A95">
        <w:rPr>
          <w:rFonts w:ascii="Arial" w:hAnsi="Arial" w:cs="Arial"/>
          <w:sz w:val="22"/>
          <w:szCs w:val="22"/>
        </w:rPr>
        <w:t>t</w:t>
      </w:r>
      <w:r w:rsidRPr="00EF4855">
        <w:rPr>
          <w:rFonts w:ascii="Arial" w:hAnsi="Arial" w:cs="Arial"/>
          <w:sz w:val="22"/>
          <w:szCs w:val="22"/>
        </w:rPr>
        <w:t>he costs incurred or to be incurred in respect of the transaction</w:t>
      </w:r>
      <w:r w:rsidR="00527A95">
        <w:rPr>
          <w:rFonts w:ascii="Arial" w:hAnsi="Arial" w:cs="Arial"/>
          <w:sz w:val="22"/>
          <w:szCs w:val="22"/>
        </w:rPr>
        <w:t xml:space="preserve"> can</w:t>
      </w:r>
      <w:r w:rsidRPr="00EF4855">
        <w:rPr>
          <w:rFonts w:ascii="Arial" w:hAnsi="Arial" w:cs="Arial"/>
          <w:sz w:val="22"/>
          <w:szCs w:val="22"/>
        </w:rPr>
        <w:t xml:space="preserve"> be </w:t>
      </w:r>
      <w:r w:rsidRPr="00EF4855">
        <w:rPr>
          <w:rFonts w:ascii="Arial" w:hAnsi="Arial" w:cs="Arial"/>
          <w:sz w:val="22"/>
          <w:szCs w:val="22"/>
        </w:rPr>
        <w:lastRenderedPageBreak/>
        <w:t>measured reliably.</w:t>
      </w:r>
      <w:r w:rsidR="00024213" w:rsidRPr="00EF4855">
        <w:rPr>
          <w:rFonts w:ascii="Arial" w:hAnsi="Arial" w:cs="Arial"/>
          <w:sz w:val="22"/>
          <w:szCs w:val="22"/>
        </w:rPr>
        <w:t xml:space="preserve"> They explained that based on the above conditions, they could not recognize sales on PMRR shortfall since the amount of revenues to be collected cannot be ascertained.  </w:t>
      </w:r>
    </w:p>
    <w:p w:rsidR="00BA3D2A" w:rsidRPr="00EF4855" w:rsidRDefault="00BA3D2A" w:rsidP="00BA3D2A">
      <w:pPr>
        <w:pStyle w:val="ListParagraph"/>
        <w:tabs>
          <w:tab w:val="left" w:pos="1276"/>
          <w:tab w:val="left" w:pos="1418"/>
        </w:tabs>
        <w:suppressAutoHyphens/>
        <w:ind w:left="360"/>
        <w:jc w:val="both"/>
        <w:rPr>
          <w:rFonts w:ascii="Arial" w:hAnsi="Arial" w:cs="Arial"/>
          <w:sz w:val="22"/>
          <w:szCs w:val="22"/>
        </w:rPr>
      </w:pPr>
    </w:p>
    <w:p w:rsidR="00BB4039" w:rsidRPr="00527A95" w:rsidRDefault="00527A95" w:rsidP="00DA78B4">
      <w:pPr>
        <w:pStyle w:val="ListParagraph"/>
        <w:numPr>
          <w:ilvl w:val="1"/>
          <w:numId w:val="17"/>
        </w:numPr>
        <w:ind w:left="1980" w:hanging="540"/>
        <w:contextualSpacing/>
        <w:jc w:val="both"/>
        <w:rPr>
          <w:rFonts w:ascii="Arial" w:hAnsi="Arial" w:cs="Arial"/>
          <w:sz w:val="22"/>
          <w:szCs w:val="22"/>
        </w:rPr>
      </w:pPr>
      <w:r>
        <w:rPr>
          <w:rFonts w:ascii="Arial" w:hAnsi="Arial" w:cs="Arial"/>
          <w:sz w:val="22"/>
          <w:szCs w:val="22"/>
        </w:rPr>
        <w:t>A</w:t>
      </w:r>
      <w:r w:rsidR="00BA3D2A" w:rsidRPr="00EF4855">
        <w:rPr>
          <w:rFonts w:ascii="Arial" w:hAnsi="Arial" w:cs="Arial"/>
          <w:sz w:val="22"/>
          <w:szCs w:val="22"/>
        </w:rPr>
        <w:t>lso</w:t>
      </w:r>
      <w:r>
        <w:rPr>
          <w:rFonts w:ascii="Arial" w:hAnsi="Arial" w:cs="Arial"/>
          <w:sz w:val="22"/>
          <w:szCs w:val="22"/>
        </w:rPr>
        <w:t>, they</w:t>
      </w:r>
      <w:r w:rsidR="00BA3D2A" w:rsidRPr="00EF4855">
        <w:rPr>
          <w:rFonts w:ascii="Arial" w:hAnsi="Arial" w:cs="Arial"/>
          <w:sz w:val="22"/>
          <w:szCs w:val="22"/>
        </w:rPr>
        <w:t xml:space="preserve"> </w:t>
      </w:r>
      <w:r w:rsidR="00405B12">
        <w:rPr>
          <w:rFonts w:ascii="Arial" w:hAnsi="Arial" w:cs="Arial"/>
          <w:sz w:val="22"/>
          <w:szCs w:val="22"/>
        </w:rPr>
        <w:t>explained</w:t>
      </w:r>
      <w:r w:rsidR="00916B55" w:rsidRPr="004F6C55">
        <w:rPr>
          <w:rFonts w:ascii="Arial" w:hAnsi="Arial" w:cs="Arial"/>
          <w:sz w:val="22"/>
          <w:szCs w:val="22"/>
        </w:rPr>
        <w:t xml:space="preserve"> that </w:t>
      </w:r>
      <w:r w:rsidR="00405B12">
        <w:rPr>
          <w:rFonts w:ascii="Arial" w:hAnsi="Arial" w:cs="Arial"/>
          <w:sz w:val="22"/>
          <w:szCs w:val="22"/>
        </w:rPr>
        <w:t xml:space="preserve">the </w:t>
      </w:r>
      <w:r w:rsidR="00916B55" w:rsidRPr="004F6C55">
        <w:rPr>
          <w:rFonts w:ascii="Arial" w:hAnsi="Arial" w:cs="Arial"/>
          <w:sz w:val="22"/>
          <w:szCs w:val="22"/>
        </w:rPr>
        <w:t xml:space="preserve">ABD cannot recognize </w:t>
      </w:r>
      <w:r w:rsidR="00BA3D2A" w:rsidRPr="004F6C55">
        <w:rPr>
          <w:rFonts w:ascii="Arial" w:hAnsi="Arial" w:cs="Arial"/>
          <w:sz w:val="22"/>
          <w:szCs w:val="22"/>
        </w:rPr>
        <w:t xml:space="preserve">the </w:t>
      </w:r>
      <w:r w:rsidR="005029AA" w:rsidRPr="004F6C55">
        <w:rPr>
          <w:rFonts w:ascii="Arial" w:hAnsi="Arial" w:cs="Arial"/>
          <w:sz w:val="22"/>
          <w:szCs w:val="22"/>
        </w:rPr>
        <w:t xml:space="preserve">accounts receivable because there would be </w:t>
      </w:r>
      <w:r w:rsidR="00B8100B">
        <w:rPr>
          <w:rFonts w:ascii="Arial" w:hAnsi="Arial" w:cs="Arial"/>
          <w:sz w:val="22"/>
          <w:szCs w:val="22"/>
        </w:rPr>
        <w:t xml:space="preserve">a </w:t>
      </w:r>
      <w:r w:rsidR="005029AA" w:rsidRPr="004F6C55">
        <w:rPr>
          <w:rFonts w:ascii="Arial" w:hAnsi="Arial" w:cs="Arial"/>
          <w:sz w:val="22"/>
          <w:szCs w:val="22"/>
        </w:rPr>
        <w:t>deliberate mis</w:t>
      </w:r>
      <w:r w:rsidR="00BA3D2A" w:rsidRPr="004F6C55">
        <w:rPr>
          <w:rFonts w:ascii="Arial" w:hAnsi="Arial" w:cs="Arial"/>
          <w:sz w:val="22"/>
          <w:szCs w:val="22"/>
        </w:rPr>
        <w:t>s</w:t>
      </w:r>
      <w:r w:rsidR="005029AA" w:rsidRPr="004F6C55">
        <w:rPr>
          <w:rFonts w:ascii="Arial" w:hAnsi="Arial" w:cs="Arial"/>
          <w:sz w:val="22"/>
          <w:szCs w:val="22"/>
        </w:rPr>
        <w:t xml:space="preserve">tatement in the </w:t>
      </w:r>
      <w:r w:rsidR="005029AA" w:rsidRPr="00527A95">
        <w:rPr>
          <w:rFonts w:ascii="Arial" w:hAnsi="Arial" w:cs="Arial"/>
          <w:sz w:val="22"/>
          <w:szCs w:val="22"/>
        </w:rPr>
        <w:t xml:space="preserve">financial statements since </w:t>
      </w:r>
      <w:r w:rsidR="00F7002B" w:rsidRPr="00527A95">
        <w:rPr>
          <w:rFonts w:ascii="Arial" w:hAnsi="Arial" w:cs="Arial"/>
          <w:sz w:val="22"/>
          <w:szCs w:val="22"/>
        </w:rPr>
        <w:t>PCSO</w:t>
      </w:r>
      <w:r w:rsidR="005029AA" w:rsidRPr="00527A95">
        <w:rPr>
          <w:rFonts w:ascii="Arial" w:hAnsi="Arial" w:cs="Arial"/>
          <w:sz w:val="22"/>
          <w:szCs w:val="22"/>
        </w:rPr>
        <w:t xml:space="preserve"> will be constrained to remit taxes due in relation to STL sales even without actual cash collection and</w:t>
      </w:r>
      <w:r w:rsidR="00E15417" w:rsidRPr="00527A95">
        <w:rPr>
          <w:rFonts w:ascii="Arial" w:hAnsi="Arial" w:cs="Arial"/>
          <w:sz w:val="22"/>
          <w:szCs w:val="22"/>
        </w:rPr>
        <w:t xml:space="preserve"> business loss will be incurred for shortfall reco</w:t>
      </w:r>
      <w:r w:rsidR="003F2A57" w:rsidRPr="00527A95">
        <w:rPr>
          <w:rFonts w:ascii="Arial" w:hAnsi="Arial" w:cs="Arial"/>
          <w:sz w:val="22"/>
          <w:szCs w:val="22"/>
        </w:rPr>
        <w:t xml:space="preserve">gnized as sales.  In addition, </w:t>
      </w:r>
      <w:r w:rsidR="00E15417" w:rsidRPr="00527A95">
        <w:rPr>
          <w:rFonts w:ascii="Arial" w:hAnsi="Arial" w:cs="Arial"/>
          <w:sz w:val="22"/>
          <w:szCs w:val="22"/>
        </w:rPr>
        <w:t>t</w:t>
      </w:r>
      <w:r w:rsidR="00687CF7" w:rsidRPr="00527A95">
        <w:rPr>
          <w:rFonts w:ascii="Arial" w:hAnsi="Arial" w:cs="Arial"/>
          <w:sz w:val="22"/>
          <w:szCs w:val="22"/>
        </w:rPr>
        <w:t xml:space="preserve">hey explained that they have </w:t>
      </w:r>
      <w:r w:rsidR="00BA3D2A" w:rsidRPr="00527A95">
        <w:rPr>
          <w:rFonts w:ascii="Arial" w:hAnsi="Arial" w:cs="Arial"/>
          <w:sz w:val="22"/>
          <w:szCs w:val="22"/>
        </w:rPr>
        <w:t xml:space="preserve">computed all the taxes related to the </w:t>
      </w:r>
      <w:r w:rsidR="00F407D7">
        <w:rPr>
          <w:rFonts w:ascii="Arial" w:hAnsi="Arial" w:cs="Arial"/>
          <w:sz w:val="22"/>
          <w:szCs w:val="22"/>
        </w:rPr>
        <w:t xml:space="preserve">CY 2018 </w:t>
      </w:r>
      <w:r w:rsidR="003F7CFA" w:rsidRPr="00527A95">
        <w:rPr>
          <w:rFonts w:ascii="Arial" w:hAnsi="Arial" w:cs="Arial"/>
          <w:sz w:val="22"/>
          <w:szCs w:val="22"/>
        </w:rPr>
        <w:t xml:space="preserve">PMRR </w:t>
      </w:r>
      <w:r w:rsidR="00BA3D2A" w:rsidRPr="00527A95">
        <w:rPr>
          <w:rFonts w:ascii="Arial" w:hAnsi="Arial" w:cs="Arial"/>
          <w:sz w:val="22"/>
          <w:szCs w:val="22"/>
        </w:rPr>
        <w:t>shortfall if recognized</w:t>
      </w:r>
      <w:r w:rsidR="00BB4039" w:rsidRPr="00527A95">
        <w:rPr>
          <w:rFonts w:ascii="Arial" w:hAnsi="Arial" w:cs="Arial"/>
          <w:sz w:val="22"/>
          <w:szCs w:val="22"/>
        </w:rPr>
        <w:t xml:space="preserve"> as revenue in the </w:t>
      </w:r>
      <w:r w:rsidR="00687CF7" w:rsidRPr="00527A95">
        <w:rPr>
          <w:rFonts w:ascii="Arial" w:hAnsi="Arial" w:cs="Arial"/>
          <w:sz w:val="22"/>
          <w:szCs w:val="22"/>
        </w:rPr>
        <w:t xml:space="preserve">PCSO’s </w:t>
      </w:r>
      <w:r w:rsidR="00BB4039" w:rsidRPr="00527A95">
        <w:rPr>
          <w:rFonts w:ascii="Arial" w:hAnsi="Arial" w:cs="Arial"/>
          <w:sz w:val="22"/>
          <w:szCs w:val="22"/>
        </w:rPr>
        <w:t xml:space="preserve">books </w:t>
      </w:r>
      <w:r w:rsidR="00BA3D2A" w:rsidRPr="00527A95">
        <w:rPr>
          <w:rFonts w:ascii="Arial" w:hAnsi="Arial" w:cs="Arial"/>
          <w:sz w:val="22"/>
          <w:szCs w:val="22"/>
        </w:rPr>
        <w:t>and in summary, PCSO will have P2.662</w:t>
      </w:r>
      <w:r w:rsidR="00B8100B" w:rsidRPr="00527A95">
        <w:rPr>
          <w:rFonts w:ascii="Arial" w:hAnsi="Arial" w:cs="Arial"/>
          <w:sz w:val="22"/>
          <w:szCs w:val="22"/>
        </w:rPr>
        <w:t xml:space="preserve"> b</w:t>
      </w:r>
      <w:r w:rsidR="00BA3D2A" w:rsidRPr="00527A95">
        <w:rPr>
          <w:rFonts w:ascii="Arial" w:hAnsi="Arial" w:cs="Arial"/>
          <w:sz w:val="22"/>
          <w:szCs w:val="22"/>
        </w:rPr>
        <w:t>illion total cash outflow</w:t>
      </w:r>
      <w:r w:rsidR="00BB4039" w:rsidRPr="00527A95">
        <w:rPr>
          <w:rFonts w:ascii="Arial" w:hAnsi="Arial" w:cs="Arial"/>
          <w:sz w:val="22"/>
          <w:szCs w:val="22"/>
        </w:rPr>
        <w:t xml:space="preserve"> if PCSO wi</w:t>
      </w:r>
      <w:r w:rsidR="003F7CFA" w:rsidRPr="00527A95">
        <w:rPr>
          <w:rFonts w:ascii="Arial" w:hAnsi="Arial" w:cs="Arial"/>
          <w:sz w:val="22"/>
          <w:szCs w:val="22"/>
        </w:rPr>
        <w:t>ll follow COA’s recommendations, when in fact the probability of receiving cash is almost impossible taking into consideration that the PMRR</w:t>
      </w:r>
      <w:r w:rsidR="00B33142" w:rsidRPr="00527A95">
        <w:rPr>
          <w:rFonts w:ascii="Arial" w:hAnsi="Arial" w:cs="Arial"/>
          <w:sz w:val="22"/>
          <w:szCs w:val="22"/>
        </w:rPr>
        <w:t>s</w:t>
      </w:r>
      <w:r w:rsidR="003F7CFA" w:rsidRPr="00527A95">
        <w:rPr>
          <w:rFonts w:ascii="Arial" w:hAnsi="Arial" w:cs="Arial"/>
          <w:sz w:val="22"/>
          <w:szCs w:val="22"/>
        </w:rPr>
        <w:t xml:space="preserve"> are just based on presumptions by the ASAs.</w:t>
      </w:r>
    </w:p>
    <w:p w:rsidR="00FA4129" w:rsidRPr="00FA4129" w:rsidRDefault="00FA4129" w:rsidP="00FA4129">
      <w:pPr>
        <w:pStyle w:val="ListParagraph"/>
        <w:rPr>
          <w:rFonts w:ascii="Arial" w:hAnsi="Arial" w:cs="Arial"/>
          <w:sz w:val="22"/>
          <w:szCs w:val="22"/>
        </w:rPr>
      </w:pPr>
    </w:p>
    <w:p w:rsidR="00527A95" w:rsidRDefault="00B40E1B" w:rsidP="00DA78B4">
      <w:pPr>
        <w:pStyle w:val="ListParagraph"/>
        <w:numPr>
          <w:ilvl w:val="1"/>
          <w:numId w:val="1"/>
        </w:numPr>
        <w:ind w:left="1440"/>
        <w:contextualSpacing/>
        <w:jc w:val="both"/>
        <w:rPr>
          <w:rFonts w:ascii="Arial" w:hAnsi="Arial" w:cs="Arial"/>
          <w:sz w:val="22"/>
          <w:szCs w:val="22"/>
        </w:rPr>
      </w:pPr>
      <w:r w:rsidRPr="00FA4129">
        <w:rPr>
          <w:rFonts w:ascii="Arial" w:hAnsi="Arial" w:cs="Arial"/>
          <w:sz w:val="22"/>
          <w:szCs w:val="22"/>
        </w:rPr>
        <w:t>As rejoinder</w:t>
      </w:r>
      <w:r w:rsidR="00527A95">
        <w:rPr>
          <w:rFonts w:ascii="Arial" w:hAnsi="Arial" w:cs="Arial"/>
          <w:sz w:val="22"/>
          <w:szCs w:val="22"/>
        </w:rPr>
        <w:t>s,</w:t>
      </w:r>
      <w:r w:rsidRPr="00FA4129">
        <w:rPr>
          <w:rFonts w:ascii="Arial" w:hAnsi="Arial" w:cs="Arial"/>
          <w:sz w:val="22"/>
          <w:szCs w:val="22"/>
        </w:rPr>
        <w:t xml:space="preserve"> the Audit Team</w:t>
      </w:r>
      <w:r w:rsidR="00527A95">
        <w:rPr>
          <w:rFonts w:ascii="Arial" w:hAnsi="Arial" w:cs="Arial"/>
          <w:sz w:val="22"/>
          <w:szCs w:val="22"/>
        </w:rPr>
        <w:t>:</w:t>
      </w:r>
    </w:p>
    <w:p w:rsidR="00527A95" w:rsidRDefault="00527A95" w:rsidP="00527A95">
      <w:pPr>
        <w:pStyle w:val="ListParagraph"/>
        <w:ind w:left="1260"/>
        <w:contextualSpacing/>
        <w:jc w:val="both"/>
        <w:rPr>
          <w:rFonts w:ascii="Arial" w:hAnsi="Arial" w:cs="Arial"/>
          <w:sz w:val="22"/>
          <w:szCs w:val="22"/>
        </w:rPr>
      </w:pPr>
    </w:p>
    <w:p w:rsidR="00405B12" w:rsidRDefault="00527A95" w:rsidP="00DA78B4">
      <w:pPr>
        <w:pStyle w:val="ListParagraph"/>
        <w:numPr>
          <w:ilvl w:val="2"/>
          <w:numId w:val="18"/>
        </w:numPr>
        <w:ind w:left="1980" w:hanging="540"/>
        <w:contextualSpacing/>
        <w:jc w:val="both"/>
        <w:rPr>
          <w:rFonts w:ascii="Arial" w:hAnsi="Arial" w:cs="Arial"/>
          <w:sz w:val="22"/>
          <w:szCs w:val="22"/>
        </w:rPr>
      </w:pPr>
      <w:r>
        <w:rPr>
          <w:rFonts w:ascii="Arial" w:hAnsi="Arial" w:cs="Arial"/>
          <w:sz w:val="22"/>
          <w:szCs w:val="22"/>
        </w:rPr>
        <w:t>M</w:t>
      </w:r>
      <w:r w:rsidR="00B40E1B" w:rsidRPr="00FA4129">
        <w:rPr>
          <w:rFonts w:ascii="Arial" w:hAnsi="Arial" w:cs="Arial"/>
          <w:sz w:val="22"/>
          <w:szCs w:val="22"/>
        </w:rPr>
        <w:t>aintain</w:t>
      </w:r>
      <w:r w:rsidR="00B8100B" w:rsidRPr="00FA4129">
        <w:rPr>
          <w:rFonts w:ascii="Arial" w:hAnsi="Arial" w:cs="Arial"/>
          <w:sz w:val="22"/>
          <w:szCs w:val="22"/>
        </w:rPr>
        <w:t>s its p</w:t>
      </w:r>
      <w:r w:rsidR="00B40E1B" w:rsidRPr="00FA4129">
        <w:rPr>
          <w:rFonts w:ascii="Arial" w:hAnsi="Arial" w:cs="Arial"/>
          <w:sz w:val="22"/>
          <w:szCs w:val="22"/>
        </w:rPr>
        <w:t>osition that the PMRR Shortfall</w:t>
      </w:r>
      <w:r w:rsidR="00C420C4">
        <w:rPr>
          <w:rFonts w:ascii="Arial" w:hAnsi="Arial" w:cs="Arial"/>
          <w:sz w:val="22"/>
          <w:szCs w:val="22"/>
        </w:rPr>
        <w:t>s</w:t>
      </w:r>
      <w:r w:rsidR="00B40E1B" w:rsidRPr="00FA4129">
        <w:rPr>
          <w:rFonts w:ascii="Arial" w:hAnsi="Arial" w:cs="Arial"/>
          <w:sz w:val="22"/>
          <w:szCs w:val="22"/>
        </w:rPr>
        <w:t xml:space="preserve"> should be recorded in the PCSO’s books as revenue and the corresponding PMRR Shor</w:t>
      </w:r>
      <w:r w:rsidR="00FA4129" w:rsidRPr="00FA4129">
        <w:rPr>
          <w:rFonts w:ascii="Arial" w:hAnsi="Arial" w:cs="Arial"/>
          <w:sz w:val="22"/>
          <w:szCs w:val="22"/>
        </w:rPr>
        <w:t xml:space="preserve">tfall due as receivable. </w:t>
      </w:r>
      <w:r w:rsidR="00B8100B" w:rsidRPr="00FA4129">
        <w:rPr>
          <w:rFonts w:ascii="Arial" w:hAnsi="Arial" w:cs="Arial"/>
          <w:sz w:val="22"/>
          <w:szCs w:val="22"/>
        </w:rPr>
        <w:t>Subject recommendation was in accordance with t</w:t>
      </w:r>
      <w:r w:rsidR="00B40E1B" w:rsidRPr="00FA4129">
        <w:rPr>
          <w:rFonts w:ascii="Arial" w:hAnsi="Arial" w:cs="Arial"/>
          <w:sz w:val="22"/>
          <w:szCs w:val="22"/>
        </w:rPr>
        <w:t>he income a</w:t>
      </w:r>
      <w:r w:rsidR="00B8100B" w:rsidRPr="00FA4129">
        <w:rPr>
          <w:rFonts w:ascii="Arial" w:hAnsi="Arial" w:cs="Arial"/>
          <w:sz w:val="22"/>
          <w:szCs w:val="22"/>
        </w:rPr>
        <w:t xml:space="preserve">nd asset recognition principle embodied in the </w:t>
      </w:r>
      <w:r w:rsidR="00B6095B" w:rsidRPr="00FA4129">
        <w:rPr>
          <w:rFonts w:ascii="Arial" w:hAnsi="Arial" w:cs="Arial"/>
          <w:sz w:val="22"/>
          <w:szCs w:val="22"/>
        </w:rPr>
        <w:t>Philippine Financial Re</w:t>
      </w:r>
      <w:r w:rsidR="00FD39B8" w:rsidRPr="00FA4129">
        <w:rPr>
          <w:rFonts w:ascii="Arial" w:hAnsi="Arial" w:cs="Arial"/>
          <w:sz w:val="22"/>
          <w:szCs w:val="22"/>
        </w:rPr>
        <w:t xml:space="preserve">porting Standard (PFRS), </w:t>
      </w:r>
      <w:r w:rsidR="00B40E1B" w:rsidRPr="00FA4129">
        <w:rPr>
          <w:rFonts w:ascii="Arial" w:hAnsi="Arial" w:cs="Arial"/>
          <w:sz w:val="22"/>
          <w:szCs w:val="22"/>
        </w:rPr>
        <w:t>which</w:t>
      </w:r>
      <w:r w:rsidR="00FD39B8" w:rsidRPr="00FA4129">
        <w:rPr>
          <w:rFonts w:ascii="Arial" w:hAnsi="Arial" w:cs="Arial"/>
          <w:sz w:val="22"/>
          <w:szCs w:val="22"/>
        </w:rPr>
        <w:t xml:space="preserve">, according to the </w:t>
      </w:r>
      <w:r w:rsidR="00A27467" w:rsidRPr="00FA4129">
        <w:rPr>
          <w:rFonts w:ascii="Arial" w:hAnsi="Arial" w:cs="Arial"/>
          <w:sz w:val="22"/>
          <w:szCs w:val="22"/>
        </w:rPr>
        <w:t xml:space="preserve">Statement of Management’s Responsibility </w:t>
      </w:r>
      <w:r w:rsidR="00431016" w:rsidRPr="00FA4129">
        <w:rPr>
          <w:rFonts w:ascii="Arial" w:hAnsi="Arial" w:cs="Arial"/>
          <w:sz w:val="22"/>
          <w:szCs w:val="22"/>
        </w:rPr>
        <w:t xml:space="preserve">issued by Management is being presently adopted by </w:t>
      </w:r>
      <w:r w:rsidR="008D7E1D" w:rsidRPr="00FA4129">
        <w:rPr>
          <w:rFonts w:ascii="Arial" w:hAnsi="Arial" w:cs="Arial"/>
          <w:sz w:val="22"/>
          <w:szCs w:val="22"/>
        </w:rPr>
        <w:t xml:space="preserve">PCSO. </w:t>
      </w:r>
    </w:p>
    <w:p w:rsidR="00405B12" w:rsidRPr="00405B12" w:rsidRDefault="00405B12" w:rsidP="00405B12">
      <w:pPr>
        <w:pStyle w:val="ListParagraph"/>
        <w:rPr>
          <w:rFonts w:ascii="Arial" w:hAnsi="Arial" w:cs="Arial"/>
          <w:sz w:val="22"/>
          <w:szCs w:val="22"/>
        </w:rPr>
      </w:pPr>
    </w:p>
    <w:p w:rsidR="00BA1644" w:rsidRDefault="00431016" w:rsidP="00DA78B4">
      <w:pPr>
        <w:pStyle w:val="ListParagraph"/>
        <w:numPr>
          <w:ilvl w:val="2"/>
          <w:numId w:val="18"/>
        </w:numPr>
        <w:ind w:left="1980" w:hanging="540"/>
        <w:contextualSpacing/>
        <w:jc w:val="both"/>
        <w:rPr>
          <w:rFonts w:ascii="Arial" w:hAnsi="Arial" w:cs="Arial"/>
          <w:sz w:val="22"/>
          <w:szCs w:val="22"/>
        </w:rPr>
      </w:pPr>
      <w:r w:rsidRPr="00FA4129">
        <w:rPr>
          <w:rFonts w:ascii="Arial" w:hAnsi="Arial" w:cs="Arial"/>
          <w:sz w:val="22"/>
          <w:szCs w:val="22"/>
        </w:rPr>
        <w:t xml:space="preserve">The agreed PMRR </w:t>
      </w:r>
      <w:r w:rsidR="005D4029">
        <w:rPr>
          <w:rFonts w:ascii="Arial" w:hAnsi="Arial" w:cs="Arial"/>
          <w:sz w:val="22"/>
          <w:szCs w:val="22"/>
        </w:rPr>
        <w:t xml:space="preserve">was </w:t>
      </w:r>
      <w:r w:rsidR="00B40E1B" w:rsidRPr="00FA4129">
        <w:rPr>
          <w:rFonts w:ascii="Arial" w:hAnsi="Arial" w:cs="Arial"/>
          <w:sz w:val="22"/>
          <w:szCs w:val="22"/>
        </w:rPr>
        <w:t>incorporated in a valid and enforceable contract between the</w:t>
      </w:r>
      <w:r w:rsidRPr="00FA4129">
        <w:rPr>
          <w:rFonts w:ascii="Arial" w:hAnsi="Arial" w:cs="Arial"/>
          <w:sz w:val="22"/>
          <w:szCs w:val="22"/>
        </w:rPr>
        <w:t xml:space="preserve"> PCSO and the ST</w:t>
      </w:r>
      <w:r w:rsidR="008D7E1D" w:rsidRPr="00FA4129">
        <w:rPr>
          <w:rFonts w:ascii="Arial" w:hAnsi="Arial" w:cs="Arial"/>
          <w:sz w:val="22"/>
          <w:szCs w:val="22"/>
        </w:rPr>
        <w:t>L Agents</w:t>
      </w:r>
      <w:r w:rsidR="00BA1644">
        <w:rPr>
          <w:rFonts w:ascii="Arial" w:hAnsi="Arial" w:cs="Arial"/>
          <w:sz w:val="22"/>
          <w:szCs w:val="22"/>
        </w:rPr>
        <w:t xml:space="preserve"> and was a legal obligation by itself.  Therefore, it cannot be said that the probability of collection is almost impossible. </w:t>
      </w:r>
      <w:r w:rsidR="00527A95">
        <w:rPr>
          <w:rFonts w:ascii="Arial" w:hAnsi="Arial" w:cs="Arial"/>
          <w:sz w:val="22"/>
          <w:szCs w:val="22"/>
        </w:rPr>
        <w:t>I</w:t>
      </w:r>
      <w:r w:rsidR="00BA1644">
        <w:rPr>
          <w:rFonts w:ascii="Arial" w:hAnsi="Arial" w:cs="Arial"/>
          <w:sz w:val="22"/>
          <w:szCs w:val="22"/>
        </w:rPr>
        <w:t xml:space="preserve">t is part of </w:t>
      </w:r>
      <w:r w:rsidR="00B33142">
        <w:rPr>
          <w:rFonts w:ascii="Arial" w:hAnsi="Arial" w:cs="Arial"/>
          <w:sz w:val="22"/>
          <w:szCs w:val="22"/>
        </w:rPr>
        <w:t>Management’</w:t>
      </w:r>
      <w:r w:rsidR="00BA1644">
        <w:rPr>
          <w:rFonts w:ascii="Arial" w:hAnsi="Arial" w:cs="Arial"/>
          <w:sz w:val="22"/>
          <w:szCs w:val="22"/>
        </w:rPr>
        <w:t>s responsibility to exercise the diligence of a good father of a family by undertaking</w:t>
      </w:r>
      <w:r w:rsidR="005D4029">
        <w:rPr>
          <w:rFonts w:ascii="Arial" w:hAnsi="Arial" w:cs="Arial"/>
          <w:sz w:val="22"/>
          <w:szCs w:val="22"/>
        </w:rPr>
        <w:t xml:space="preserve"> the necessary efforts to collect the </w:t>
      </w:r>
      <w:r w:rsidR="00BA1644">
        <w:rPr>
          <w:rFonts w:ascii="Arial" w:hAnsi="Arial" w:cs="Arial"/>
          <w:sz w:val="22"/>
          <w:szCs w:val="22"/>
        </w:rPr>
        <w:t xml:space="preserve">PMRR shortfall </w:t>
      </w:r>
      <w:r w:rsidR="005D4029">
        <w:rPr>
          <w:rFonts w:ascii="Arial" w:hAnsi="Arial" w:cs="Arial"/>
          <w:sz w:val="22"/>
          <w:szCs w:val="22"/>
        </w:rPr>
        <w:t>in case actual sales be lower than</w:t>
      </w:r>
      <w:r w:rsidR="00BA1644">
        <w:rPr>
          <w:rFonts w:ascii="Arial" w:hAnsi="Arial" w:cs="Arial"/>
          <w:sz w:val="22"/>
          <w:szCs w:val="22"/>
        </w:rPr>
        <w:t xml:space="preserve"> the agreed PMRR.  </w:t>
      </w:r>
    </w:p>
    <w:p w:rsidR="00BA1644" w:rsidRPr="00BA1644" w:rsidRDefault="00BA1644" w:rsidP="00BA1644">
      <w:pPr>
        <w:pStyle w:val="ListParagraph"/>
        <w:rPr>
          <w:rFonts w:ascii="Arial" w:hAnsi="Arial" w:cs="Arial"/>
          <w:sz w:val="22"/>
          <w:szCs w:val="22"/>
        </w:rPr>
      </w:pPr>
    </w:p>
    <w:p w:rsidR="00B40E1B" w:rsidRPr="00FA4129" w:rsidRDefault="00FA4129" w:rsidP="00DA78B4">
      <w:pPr>
        <w:pStyle w:val="ListParagraph"/>
        <w:numPr>
          <w:ilvl w:val="2"/>
          <w:numId w:val="18"/>
        </w:numPr>
        <w:ind w:left="1980" w:hanging="540"/>
        <w:contextualSpacing/>
        <w:jc w:val="both"/>
        <w:rPr>
          <w:rFonts w:ascii="Arial" w:hAnsi="Arial" w:cs="Arial"/>
          <w:sz w:val="22"/>
          <w:szCs w:val="22"/>
        </w:rPr>
      </w:pPr>
      <w:r w:rsidRPr="00FA4129">
        <w:rPr>
          <w:rFonts w:ascii="Arial" w:hAnsi="Arial" w:cs="Arial"/>
          <w:sz w:val="22"/>
          <w:szCs w:val="22"/>
        </w:rPr>
        <w:t xml:space="preserve">On the other </w:t>
      </w:r>
      <w:r w:rsidR="008D7E1D" w:rsidRPr="00FA4129">
        <w:rPr>
          <w:rFonts w:ascii="Arial" w:hAnsi="Arial" w:cs="Arial"/>
          <w:sz w:val="22"/>
          <w:szCs w:val="22"/>
        </w:rPr>
        <w:t xml:space="preserve">hand, the </w:t>
      </w:r>
      <w:r w:rsidR="00B40E1B" w:rsidRPr="00FA4129">
        <w:rPr>
          <w:rFonts w:ascii="Arial" w:hAnsi="Arial" w:cs="Arial"/>
          <w:sz w:val="22"/>
          <w:szCs w:val="22"/>
        </w:rPr>
        <w:t>con</w:t>
      </w:r>
      <w:r w:rsidR="008D7E1D" w:rsidRPr="00FA4129">
        <w:rPr>
          <w:rFonts w:ascii="Arial" w:hAnsi="Arial" w:cs="Arial"/>
          <w:sz w:val="22"/>
          <w:szCs w:val="22"/>
        </w:rPr>
        <w:t xml:space="preserve">tractual obligations </w:t>
      </w:r>
      <w:r w:rsidR="00B40E1B" w:rsidRPr="00FA4129">
        <w:rPr>
          <w:rFonts w:ascii="Arial" w:hAnsi="Arial" w:cs="Arial"/>
          <w:sz w:val="22"/>
          <w:szCs w:val="22"/>
        </w:rPr>
        <w:t xml:space="preserve">of the </w:t>
      </w:r>
      <w:r w:rsidR="008D7E1D" w:rsidRPr="00FA4129">
        <w:rPr>
          <w:rFonts w:ascii="Arial" w:hAnsi="Arial" w:cs="Arial"/>
          <w:sz w:val="22"/>
          <w:szCs w:val="22"/>
        </w:rPr>
        <w:t xml:space="preserve">ASAs to remit the amount </w:t>
      </w:r>
      <w:r w:rsidR="00B40E1B" w:rsidRPr="00FA4129">
        <w:rPr>
          <w:rFonts w:ascii="Arial" w:hAnsi="Arial" w:cs="Arial"/>
          <w:sz w:val="22"/>
          <w:szCs w:val="22"/>
        </w:rPr>
        <w:t xml:space="preserve">due to PCSO </w:t>
      </w:r>
      <w:r w:rsidR="008D7E1D" w:rsidRPr="00FA4129">
        <w:rPr>
          <w:rFonts w:ascii="Arial" w:hAnsi="Arial" w:cs="Arial"/>
          <w:sz w:val="22"/>
          <w:szCs w:val="22"/>
        </w:rPr>
        <w:t>in accordance with t</w:t>
      </w:r>
      <w:r>
        <w:rPr>
          <w:rFonts w:ascii="Arial" w:hAnsi="Arial" w:cs="Arial"/>
          <w:sz w:val="22"/>
          <w:szCs w:val="22"/>
        </w:rPr>
        <w:t xml:space="preserve">he terms of the STL Agreement was </w:t>
      </w:r>
      <w:r w:rsidR="008D7E1D" w:rsidRPr="00FA4129">
        <w:rPr>
          <w:rFonts w:ascii="Arial" w:hAnsi="Arial" w:cs="Arial"/>
          <w:sz w:val="22"/>
          <w:szCs w:val="22"/>
        </w:rPr>
        <w:t xml:space="preserve">more than enough proof that these are valid </w:t>
      </w:r>
      <w:r w:rsidR="00BA1644">
        <w:rPr>
          <w:rFonts w:ascii="Arial" w:hAnsi="Arial" w:cs="Arial"/>
          <w:sz w:val="22"/>
          <w:szCs w:val="22"/>
        </w:rPr>
        <w:t xml:space="preserve">and enforceable claims by PCSO, hence, should be properly recognized in the books of accounts.  </w:t>
      </w:r>
      <w:r w:rsidR="00B40E1B" w:rsidRPr="00FA4129">
        <w:rPr>
          <w:rFonts w:ascii="Arial" w:hAnsi="Arial" w:cs="Arial"/>
          <w:sz w:val="22"/>
          <w:szCs w:val="22"/>
        </w:rPr>
        <w:t>Moreover, the future economic benefit</w:t>
      </w:r>
      <w:r w:rsidR="00405B12">
        <w:rPr>
          <w:rFonts w:ascii="Arial" w:hAnsi="Arial" w:cs="Arial"/>
          <w:sz w:val="22"/>
          <w:szCs w:val="22"/>
        </w:rPr>
        <w:t xml:space="preserve"> </w:t>
      </w:r>
      <w:r w:rsidR="00B40E1B" w:rsidRPr="00FA4129">
        <w:rPr>
          <w:rFonts w:ascii="Arial" w:hAnsi="Arial" w:cs="Arial"/>
          <w:sz w:val="22"/>
          <w:szCs w:val="22"/>
        </w:rPr>
        <w:t>mentioned in the</w:t>
      </w:r>
      <w:r w:rsidR="00405B12">
        <w:rPr>
          <w:rFonts w:ascii="Arial" w:hAnsi="Arial" w:cs="Arial"/>
          <w:sz w:val="22"/>
          <w:szCs w:val="22"/>
        </w:rPr>
        <w:t xml:space="preserve"> subject </w:t>
      </w:r>
      <w:r w:rsidR="00B40E1B" w:rsidRPr="00FA4129">
        <w:rPr>
          <w:rFonts w:ascii="Arial" w:hAnsi="Arial" w:cs="Arial"/>
          <w:sz w:val="22"/>
          <w:szCs w:val="22"/>
        </w:rPr>
        <w:t>definition of asset and income</w:t>
      </w:r>
      <w:r w:rsidR="00405B12">
        <w:rPr>
          <w:rFonts w:ascii="Arial" w:hAnsi="Arial" w:cs="Arial"/>
          <w:sz w:val="22"/>
          <w:szCs w:val="22"/>
        </w:rPr>
        <w:t xml:space="preserve"> </w:t>
      </w:r>
      <w:r w:rsidR="0062775B">
        <w:rPr>
          <w:rFonts w:ascii="Arial" w:hAnsi="Arial" w:cs="Arial"/>
          <w:sz w:val="22"/>
          <w:szCs w:val="22"/>
        </w:rPr>
        <w:t>would refer</w:t>
      </w:r>
      <w:r w:rsidR="008D7E1D" w:rsidRPr="00FA4129">
        <w:rPr>
          <w:rFonts w:ascii="Arial" w:hAnsi="Arial" w:cs="Arial"/>
          <w:sz w:val="22"/>
          <w:szCs w:val="22"/>
        </w:rPr>
        <w:t xml:space="preserve"> to the </w:t>
      </w:r>
      <w:r w:rsidR="00B40E1B" w:rsidRPr="00FA4129">
        <w:rPr>
          <w:rFonts w:ascii="Arial" w:hAnsi="Arial" w:cs="Arial"/>
          <w:sz w:val="22"/>
          <w:szCs w:val="22"/>
        </w:rPr>
        <w:t>agreed PMRR or the actual sa</w:t>
      </w:r>
      <w:r w:rsidR="00405B12">
        <w:rPr>
          <w:rFonts w:ascii="Arial" w:hAnsi="Arial" w:cs="Arial"/>
          <w:sz w:val="22"/>
          <w:szCs w:val="22"/>
        </w:rPr>
        <w:t>les (whichever is higher) that wa</w:t>
      </w:r>
      <w:r w:rsidR="00B40E1B" w:rsidRPr="00FA4129">
        <w:rPr>
          <w:rFonts w:ascii="Arial" w:hAnsi="Arial" w:cs="Arial"/>
          <w:sz w:val="22"/>
          <w:szCs w:val="22"/>
        </w:rPr>
        <w:t>s expected to be realized by PCSO from the STL operations</w:t>
      </w:r>
      <w:r w:rsidR="008D7E1D" w:rsidRPr="00FA4129">
        <w:rPr>
          <w:rFonts w:ascii="Arial" w:hAnsi="Arial" w:cs="Arial"/>
          <w:sz w:val="22"/>
          <w:szCs w:val="22"/>
        </w:rPr>
        <w:t xml:space="preserve"> pursuant to the </w:t>
      </w:r>
      <w:r w:rsidR="00B40E1B" w:rsidRPr="00FA4129">
        <w:rPr>
          <w:rFonts w:ascii="Arial" w:hAnsi="Arial" w:cs="Arial"/>
          <w:sz w:val="22"/>
          <w:szCs w:val="22"/>
        </w:rPr>
        <w:t xml:space="preserve">STL Agreement.  </w:t>
      </w:r>
    </w:p>
    <w:p w:rsidR="004573F8" w:rsidRDefault="004573F8" w:rsidP="004F6C55">
      <w:pPr>
        <w:spacing w:after="0" w:line="240" w:lineRule="auto"/>
        <w:ind w:left="540"/>
        <w:contextualSpacing/>
        <w:jc w:val="both"/>
        <w:rPr>
          <w:rFonts w:ascii="Arial" w:hAnsi="Arial" w:cs="Arial"/>
        </w:rPr>
      </w:pPr>
    </w:p>
    <w:p w:rsidR="000B3DC2" w:rsidRDefault="000B3DC2" w:rsidP="009F4736">
      <w:pPr>
        <w:pStyle w:val="ListParagraph"/>
        <w:ind w:left="1080"/>
        <w:contextualSpacing/>
        <w:jc w:val="both"/>
        <w:rPr>
          <w:rFonts w:ascii="Arial" w:eastAsia="Calibri" w:hAnsi="Arial" w:cs="Arial"/>
          <w:sz w:val="22"/>
          <w:szCs w:val="22"/>
        </w:rPr>
      </w:pPr>
    </w:p>
    <w:p w:rsidR="00AE304C" w:rsidRDefault="00AE304C" w:rsidP="009F4736">
      <w:pPr>
        <w:pStyle w:val="ListParagraph"/>
        <w:ind w:left="1080"/>
        <w:contextualSpacing/>
        <w:jc w:val="both"/>
        <w:rPr>
          <w:rFonts w:ascii="Arial" w:eastAsia="Calibri" w:hAnsi="Arial" w:cs="Arial"/>
          <w:sz w:val="22"/>
          <w:szCs w:val="22"/>
        </w:rPr>
      </w:pPr>
    </w:p>
    <w:p w:rsidR="00AE304C" w:rsidRDefault="00AE304C" w:rsidP="009F4736">
      <w:pPr>
        <w:pStyle w:val="ListParagraph"/>
        <w:ind w:left="1080"/>
        <w:contextualSpacing/>
        <w:jc w:val="both"/>
        <w:rPr>
          <w:rFonts w:ascii="Arial" w:eastAsia="Calibri" w:hAnsi="Arial" w:cs="Arial"/>
          <w:sz w:val="22"/>
          <w:szCs w:val="22"/>
        </w:rPr>
      </w:pPr>
    </w:p>
    <w:p w:rsidR="00AE304C" w:rsidRDefault="00AE304C" w:rsidP="009F4736">
      <w:pPr>
        <w:pStyle w:val="ListParagraph"/>
        <w:ind w:left="1080"/>
        <w:contextualSpacing/>
        <w:jc w:val="both"/>
        <w:rPr>
          <w:rFonts w:ascii="Arial" w:eastAsia="Calibri" w:hAnsi="Arial" w:cs="Arial"/>
          <w:sz w:val="22"/>
          <w:szCs w:val="22"/>
        </w:rPr>
      </w:pPr>
    </w:p>
    <w:p w:rsidR="00AE304C" w:rsidRDefault="00AE304C" w:rsidP="009F4736">
      <w:pPr>
        <w:pStyle w:val="ListParagraph"/>
        <w:ind w:left="1080"/>
        <w:contextualSpacing/>
        <w:jc w:val="both"/>
        <w:rPr>
          <w:rFonts w:ascii="Arial" w:eastAsia="Calibri" w:hAnsi="Arial" w:cs="Arial"/>
          <w:sz w:val="22"/>
          <w:szCs w:val="22"/>
        </w:rPr>
      </w:pPr>
    </w:p>
    <w:p w:rsidR="00AE304C" w:rsidRDefault="00AE304C" w:rsidP="009F4736">
      <w:pPr>
        <w:pStyle w:val="ListParagraph"/>
        <w:ind w:left="1080"/>
        <w:contextualSpacing/>
        <w:jc w:val="both"/>
        <w:rPr>
          <w:rFonts w:ascii="Arial" w:eastAsia="Calibri" w:hAnsi="Arial" w:cs="Arial"/>
          <w:sz w:val="22"/>
          <w:szCs w:val="22"/>
        </w:rPr>
      </w:pPr>
    </w:p>
    <w:p w:rsidR="00B80DEC" w:rsidRPr="00AE304C" w:rsidRDefault="007558FF" w:rsidP="00DA78B4">
      <w:pPr>
        <w:pStyle w:val="ListParagraph"/>
        <w:numPr>
          <w:ilvl w:val="0"/>
          <w:numId w:val="1"/>
        </w:numPr>
        <w:tabs>
          <w:tab w:val="left" w:pos="1260"/>
        </w:tabs>
        <w:ind w:left="720" w:hanging="720"/>
        <w:jc w:val="both"/>
        <w:rPr>
          <w:rFonts w:ascii="Arial" w:hAnsi="Arial" w:cs="Arial"/>
          <w:b/>
        </w:rPr>
      </w:pPr>
      <w:r w:rsidRPr="00FD5402">
        <w:rPr>
          <w:rFonts w:ascii="Arial" w:hAnsi="Arial" w:cs="Arial"/>
          <w:b/>
          <w:sz w:val="22"/>
          <w:szCs w:val="22"/>
        </w:rPr>
        <w:lastRenderedPageBreak/>
        <w:t xml:space="preserve">The </w:t>
      </w:r>
      <w:r w:rsidR="009151BC" w:rsidRPr="00FD5402">
        <w:rPr>
          <w:rFonts w:ascii="Arial" w:hAnsi="Arial" w:cs="Arial"/>
          <w:b/>
          <w:sz w:val="22"/>
          <w:szCs w:val="22"/>
        </w:rPr>
        <w:t>faithful re</w:t>
      </w:r>
      <w:r w:rsidRPr="00FD5402">
        <w:rPr>
          <w:rFonts w:ascii="Arial" w:hAnsi="Arial" w:cs="Arial"/>
          <w:b/>
          <w:sz w:val="22"/>
          <w:szCs w:val="22"/>
        </w:rPr>
        <w:t xml:space="preserve">presentation </w:t>
      </w:r>
      <w:r w:rsidR="00FD5402" w:rsidRPr="00FD5402">
        <w:rPr>
          <w:rFonts w:ascii="Arial" w:hAnsi="Arial" w:cs="Arial"/>
          <w:b/>
          <w:sz w:val="22"/>
          <w:szCs w:val="22"/>
        </w:rPr>
        <w:t>of</w:t>
      </w:r>
      <w:r w:rsidR="008A230C" w:rsidRPr="00FD5402">
        <w:rPr>
          <w:rFonts w:ascii="Arial" w:hAnsi="Arial" w:cs="Arial"/>
          <w:b/>
          <w:sz w:val="22"/>
          <w:szCs w:val="22"/>
        </w:rPr>
        <w:t xml:space="preserve"> the balance of Cash and Cash Equivalents account amounting to P9</w:t>
      </w:r>
      <w:r w:rsidR="00C40836" w:rsidRPr="00FD5402">
        <w:rPr>
          <w:rFonts w:ascii="Arial" w:hAnsi="Arial" w:cs="Arial"/>
          <w:b/>
          <w:sz w:val="22"/>
          <w:szCs w:val="22"/>
        </w:rPr>
        <w:t>.</w:t>
      </w:r>
      <w:r w:rsidR="008A230C" w:rsidRPr="00FD5402">
        <w:rPr>
          <w:rFonts w:ascii="Arial" w:hAnsi="Arial" w:cs="Arial"/>
          <w:b/>
          <w:sz w:val="22"/>
          <w:szCs w:val="22"/>
        </w:rPr>
        <w:t>81</w:t>
      </w:r>
      <w:r w:rsidR="00517962" w:rsidRPr="00FD5402">
        <w:rPr>
          <w:rFonts w:ascii="Arial" w:hAnsi="Arial" w:cs="Arial"/>
          <w:b/>
          <w:sz w:val="22"/>
          <w:szCs w:val="22"/>
        </w:rPr>
        <w:t>5</w:t>
      </w:r>
      <w:r w:rsidR="00C40836" w:rsidRPr="00FD5402">
        <w:rPr>
          <w:rFonts w:ascii="Arial" w:hAnsi="Arial" w:cs="Arial"/>
          <w:b/>
          <w:sz w:val="22"/>
          <w:szCs w:val="22"/>
        </w:rPr>
        <w:t xml:space="preserve"> billion</w:t>
      </w:r>
      <w:r w:rsidR="008A230C" w:rsidRPr="00FD5402">
        <w:rPr>
          <w:rFonts w:ascii="Arial" w:hAnsi="Arial" w:cs="Arial"/>
          <w:b/>
          <w:sz w:val="22"/>
          <w:szCs w:val="22"/>
        </w:rPr>
        <w:t xml:space="preserve"> </w:t>
      </w:r>
      <w:r w:rsidR="007634A0" w:rsidRPr="00FD5402">
        <w:rPr>
          <w:rFonts w:ascii="Arial" w:hAnsi="Arial" w:cs="Arial"/>
          <w:b/>
          <w:sz w:val="22"/>
          <w:szCs w:val="22"/>
        </w:rPr>
        <w:t xml:space="preserve">as </w:t>
      </w:r>
      <w:r w:rsidR="00FD5402">
        <w:rPr>
          <w:rFonts w:ascii="Arial" w:hAnsi="Arial" w:cs="Arial"/>
          <w:b/>
          <w:sz w:val="22"/>
          <w:szCs w:val="22"/>
        </w:rPr>
        <w:t>at</w:t>
      </w:r>
      <w:r w:rsidR="007634A0" w:rsidRPr="00FD5402">
        <w:rPr>
          <w:rFonts w:ascii="Arial" w:hAnsi="Arial" w:cs="Arial"/>
          <w:b/>
          <w:sz w:val="22"/>
          <w:szCs w:val="22"/>
        </w:rPr>
        <w:t xml:space="preserve"> December 31, 2018 </w:t>
      </w:r>
      <w:r w:rsidR="0000752C" w:rsidRPr="00FD5402">
        <w:rPr>
          <w:rFonts w:ascii="Arial" w:hAnsi="Arial" w:cs="Arial"/>
          <w:b/>
          <w:sz w:val="22"/>
          <w:szCs w:val="22"/>
        </w:rPr>
        <w:t xml:space="preserve">was not </w:t>
      </w:r>
      <w:r w:rsidR="008A230C" w:rsidRPr="00FD5402">
        <w:rPr>
          <w:rFonts w:ascii="Arial" w:hAnsi="Arial" w:cs="Arial"/>
          <w:b/>
          <w:sz w:val="22"/>
          <w:szCs w:val="22"/>
        </w:rPr>
        <w:t xml:space="preserve">established due to </w:t>
      </w:r>
      <w:r w:rsidR="00D019CA" w:rsidRPr="00FD5402">
        <w:rPr>
          <w:rFonts w:ascii="Arial" w:hAnsi="Arial" w:cs="Arial"/>
          <w:b/>
          <w:sz w:val="22"/>
          <w:szCs w:val="22"/>
        </w:rPr>
        <w:t>various de</w:t>
      </w:r>
      <w:r w:rsidR="008A230C" w:rsidRPr="00FD5402">
        <w:rPr>
          <w:rFonts w:ascii="Arial" w:hAnsi="Arial" w:cs="Arial"/>
          <w:b/>
          <w:sz w:val="22"/>
          <w:szCs w:val="22"/>
        </w:rPr>
        <w:t>ficiencies</w:t>
      </w:r>
      <w:r w:rsidR="00FE3190" w:rsidRPr="00FD5402">
        <w:rPr>
          <w:rFonts w:ascii="Arial" w:hAnsi="Arial" w:cs="Arial"/>
          <w:b/>
          <w:sz w:val="22"/>
          <w:szCs w:val="22"/>
        </w:rPr>
        <w:t xml:space="preserve"> enumerated below, </w:t>
      </w:r>
      <w:r w:rsidR="00E96CC2" w:rsidRPr="00FD5402">
        <w:rPr>
          <w:rFonts w:ascii="Arial" w:hAnsi="Arial" w:cs="Arial"/>
          <w:b/>
          <w:sz w:val="22"/>
          <w:szCs w:val="22"/>
        </w:rPr>
        <w:t xml:space="preserve">contrary to Paragraph 15 of the </w:t>
      </w:r>
      <w:r w:rsidR="00BF1241" w:rsidRPr="00FD5402">
        <w:rPr>
          <w:rFonts w:ascii="Arial" w:hAnsi="Arial" w:cs="Arial"/>
          <w:b/>
          <w:sz w:val="22"/>
          <w:szCs w:val="22"/>
        </w:rPr>
        <w:t xml:space="preserve">Philippine Accounting Standard </w:t>
      </w:r>
      <w:r w:rsidR="00E96CC2" w:rsidRPr="00FD5402">
        <w:rPr>
          <w:rFonts w:ascii="Arial" w:hAnsi="Arial" w:cs="Arial"/>
          <w:b/>
          <w:sz w:val="22"/>
          <w:szCs w:val="22"/>
        </w:rPr>
        <w:t>1</w:t>
      </w:r>
      <w:r w:rsidR="0000752C" w:rsidRPr="00FD5402">
        <w:rPr>
          <w:rFonts w:ascii="Arial" w:hAnsi="Arial" w:cs="Arial"/>
          <w:b/>
          <w:sz w:val="22"/>
          <w:szCs w:val="22"/>
        </w:rPr>
        <w:t xml:space="preserve"> and QC</w:t>
      </w:r>
      <w:r w:rsidR="00AD2733" w:rsidRPr="00FD5402">
        <w:rPr>
          <w:rFonts w:ascii="Arial" w:hAnsi="Arial" w:cs="Arial"/>
          <w:b/>
          <w:sz w:val="22"/>
          <w:szCs w:val="22"/>
        </w:rPr>
        <w:t>12 of the Conceptual Framework for Financial Reporting</w:t>
      </w:r>
      <w:r w:rsidR="00FD5402">
        <w:rPr>
          <w:rFonts w:ascii="Arial" w:hAnsi="Arial" w:cs="Arial"/>
          <w:b/>
          <w:sz w:val="22"/>
          <w:szCs w:val="22"/>
        </w:rPr>
        <w:t>:</w:t>
      </w:r>
    </w:p>
    <w:p w:rsidR="00AE304C" w:rsidRPr="00FD5402" w:rsidRDefault="00AE304C" w:rsidP="00AE304C">
      <w:pPr>
        <w:pStyle w:val="ListParagraph"/>
        <w:tabs>
          <w:tab w:val="left" w:pos="1260"/>
        </w:tabs>
        <w:jc w:val="both"/>
        <w:rPr>
          <w:rFonts w:ascii="Arial" w:hAnsi="Arial" w:cs="Arial"/>
          <w:b/>
        </w:rPr>
      </w:pPr>
    </w:p>
    <w:p w:rsidR="000957DD" w:rsidRPr="00827670" w:rsidRDefault="000957DD" w:rsidP="00DA78B4">
      <w:pPr>
        <w:pStyle w:val="ListParagraph"/>
        <w:numPr>
          <w:ilvl w:val="0"/>
          <w:numId w:val="15"/>
        </w:numPr>
        <w:ind w:hanging="720"/>
        <w:jc w:val="both"/>
        <w:rPr>
          <w:rFonts w:ascii="Arial" w:hAnsi="Arial" w:cs="Arial"/>
          <w:b/>
          <w:sz w:val="22"/>
          <w:szCs w:val="22"/>
        </w:rPr>
      </w:pPr>
      <w:r w:rsidRPr="00827670">
        <w:rPr>
          <w:rFonts w:ascii="Arial" w:hAnsi="Arial" w:cs="Arial"/>
          <w:b/>
          <w:sz w:val="22"/>
          <w:szCs w:val="22"/>
        </w:rPr>
        <w:t>Variance of P11.882 million between the balance per books and the confirmed bank balances of the Operating Fund accounts and Main account;</w:t>
      </w:r>
    </w:p>
    <w:p w:rsidR="000957DD" w:rsidRPr="00827670" w:rsidRDefault="000957DD" w:rsidP="00827670">
      <w:pPr>
        <w:pStyle w:val="ListParagraph"/>
        <w:ind w:left="1440" w:hanging="720"/>
        <w:jc w:val="both"/>
        <w:rPr>
          <w:rFonts w:ascii="Arial" w:hAnsi="Arial" w:cs="Arial"/>
          <w:b/>
          <w:sz w:val="22"/>
          <w:szCs w:val="22"/>
        </w:rPr>
      </w:pPr>
    </w:p>
    <w:p w:rsidR="000957DD" w:rsidRPr="00827670" w:rsidRDefault="000957DD" w:rsidP="00DA78B4">
      <w:pPr>
        <w:pStyle w:val="ListParagraph"/>
        <w:numPr>
          <w:ilvl w:val="0"/>
          <w:numId w:val="15"/>
        </w:numPr>
        <w:ind w:hanging="720"/>
        <w:jc w:val="both"/>
        <w:rPr>
          <w:rFonts w:ascii="Arial" w:hAnsi="Arial" w:cs="Arial"/>
          <w:b/>
          <w:sz w:val="22"/>
          <w:szCs w:val="22"/>
        </w:rPr>
      </w:pPr>
      <w:r w:rsidRPr="00827670">
        <w:rPr>
          <w:rFonts w:ascii="Arial" w:hAnsi="Arial" w:cs="Arial"/>
          <w:b/>
          <w:sz w:val="22"/>
          <w:szCs w:val="22"/>
        </w:rPr>
        <w:t>Variance of P497.338 million between the balance per books and the confirmed bank balances of the Charity Fund (CF) and Prize Fund (PF) accounts;</w:t>
      </w:r>
    </w:p>
    <w:p w:rsidR="000957DD" w:rsidRPr="00827670" w:rsidRDefault="000957DD" w:rsidP="00827670">
      <w:pPr>
        <w:pStyle w:val="ListParagraph"/>
        <w:ind w:left="1440" w:hanging="720"/>
        <w:rPr>
          <w:rFonts w:ascii="Arial" w:hAnsi="Arial" w:cs="Arial"/>
          <w:b/>
          <w:sz w:val="22"/>
          <w:szCs w:val="22"/>
        </w:rPr>
      </w:pPr>
    </w:p>
    <w:p w:rsidR="00361653" w:rsidRPr="00827670" w:rsidRDefault="00361653" w:rsidP="00DA78B4">
      <w:pPr>
        <w:pStyle w:val="ListParagraph"/>
        <w:numPr>
          <w:ilvl w:val="0"/>
          <w:numId w:val="15"/>
        </w:numPr>
        <w:ind w:hanging="720"/>
        <w:jc w:val="both"/>
        <w:rPr>
          <w:rFonts w:ascii="Arial" w:hAnsi="Arial" w:cs="Arial"/>
          <w:b/>
          <w:sz w:val="22"/>
          <w:szCs w:val="22"/>
        </w:rPr>
      </w:pPr>
      <w:r w:rsidRPr="00827670">
        <w:rPr>
          <w:rFonts w:ascii="Arial" w:hAnsi="Arial" w:cs="Arial"/>
          <w:b/>
          <w:sz w:val="22"/>
          <w:szCs w:val="22"/>
        </w:rPr>
        <w:t>Closed accounts still having outstanding balances in the books amounting to P22.254 million and P18.178 mi</w:t>
      </w:r>
      <w:r w:rsidR="007558FF" w:rsidRPr="00827670">
        <w:rPr>
          <w:rFonts w:ascii="Arial" w:hAnsi="Arial" w:cs="Arial"/>
          <w:b/>
          <w:sz w:val="22"/>
          <w:szCs w:val="22"/>
        </w:rPr>
        <w:t xml:space="preserve">llion (negative); and </w:t>
      </w:r>
    </w:p>
    <w:p w:rsidR="00827670" w:rsidRPr="00827670" w:rsidRDefault="00827670" w:rsidP="00827670">
      <w:pPr>
        <w:pStyle w:val="ListParagraph"/>
        <w:rPr>
          <w:rFonts w:ascii="Arial" w:hAnsi="Arial" w:cs="Arial"/>
          <w:b/>
          <w:sz w:val="22"/>
          <w:szCs w:val="22"/>
        </w:rPr>
      </w:pPr>
    </w:p>
    <w:p w:rsidR="00EF4855" w:rsidRPr="00827670" w:rsidRDefault="000957DD" w:rsidP="00DA78B4">
      <w:pPr>
        <w:pStyle w:val="ListParagraph"/>
        <w:numPr>
          <w:ilvl w:val="0"/>
          <w:numId w:val="15"/>
        </w:numPr>
        <w:ind w:hanging="720"/>
        <w:jc w:val="both"/>
        <w:rPr>
          <w:rFonts w:ascii="Arial" w:hAnsi="Arial" w:cs="Arial"/>
          <w:vanish/>
          <w:sz w:val="22"/>
          <w:szCs w:val="22"/>
        </w:rPr>
      </w:pPr>
      <w:r w:rsidRPr="00827670">
        <w:rPr>
          <w:rFonts w:ascii="Arial" w:hAnsi="Arial" w:cs="Arial"/>
          <w:b/>
          <w:sz w:val="22"/>
          <w:szCs w:val="22"/>
        </w:rPr>
        <w:t>Checks</w:t>
      </w:r>
      <w:r w:rsidR="009151BC" w:rsidRPr="00827670">
        <w:rPr>
          <w:rFonts w:ascii="Arial" w:hAnsi="Arial" w:cs="Arial"/>
          <w:b/>
          <w:sz w:val="22"/>
          <w:szCs w:val="22"/>
        </w:rPr>
        <w:t xml:space="preserve"> </w:t>
      </w:r>
      <w:r w:rsidR="002E708D" w:rsidRPr="00827670">
        <w:rPr>
          <w:rFonts w:ascii="Arial" w:hAnsi="Arial" w:cs="Arial"/>
          <w:b/>
          <w:sz w:val="22"/>
          <w:szCs w:val="22"/>
        </w:rPr>
        <w:t>totalling</w:t>
      </w:r>
      <w:r w:rsidR="009151BC" w:rsidRPr="00827670">
        <w:rPr>
          <w:rFonts w:ascii="Arial" w:hAnsi="Arial" w:cs="Arial"/>
          <w:b/>
          <w:sz w:val="22"/>
          <w:szCs w:val="22"/>
        </w:rPr>
        <w:t xml:space="preserve"> P8.631 million already</w:t>
      </w:r>
      <w:r w:rsidRPr="00827670">
        <w:rPr>
          <w:rFonts w:ascii="Arial" w:hAnsi="Arial" w:cs="Arial"/>
          <w:b/>
          <w:sz w:val="22"/>
          <w:szCs w:val="22"/>
        </w:rPr>
        <w:t xml:space="preserve"> presented to and cleared by bank </w:t>
      </w:r>
      <w:r w:rsidR="001B5C73" w:rsidRPr="00827670">
        <w:rPr>
          <w:rFonts w:ascii="Arial" w:hAnsi="Arial" w:cs="Arial"/>
          <w:b/>
          <w:sz w:val="22"/>
          <w:szCs w:val="22"/>
        </w:rPr>
        <w:t>were</w:t>
      </w:r>
      <w:r w:rsidRPr="00827670">
        <w:rPr>
          <w:rFonts w:ascii="Arial" w:hAnsi="Arial" w:cs="Arial"/>
          <w:b/>
          <w:sz w:val="22"/>
          <w:szCs w:val="22"/>
        </w:rPr>
        <w:t xml:space="preserve"> erroneously included as unreleased checks that were reverted back to cash</w:t>
      </w:r>
      <w:r w:rsidR="007558FF" w:rsidRPr="00827670">
        <w:rPr>
          <w:rFonts w:ascii="Arial" w:hAnsi="Arial" w:cs="Arial"/>
          <w:b/>
          <w:sz w:val="22"/>
          <w:szCs w:val="22"/>
        </w:rPr>
        <w:t>.</w:t>
      </w:r>
    </w:p>
    <w:p w:rsidR="00827670" w:rsidRPr="00827670" w:rsidRDefault="00827670" w:rsidP="00827670">
      <w:pPr>
        <w:ind w:left="1440" w:hanging="720"/>
        <w:rPr>
          <w:rFonts w:ascii="Arial" w:hAnsi="Arial" w:cs="Arial"/>
        </w:rPr>
      </w:pPr>
    </w:p>
    <w:p w:rsidR="00DD1217" w:rsidRPr="00DD1217" w:rsidRDefault="00DD1217" w:rsidP="00DA78B4">
      <w:pPr>
        <w:pStyle w:val="ListParagraph"/>
        <w:numPr>
          <w:ilvl w:val="0"/>
          <w:numId w:val="10"/>
        </w:numPr>
        <w:contextualSpacing/>
        <w:jc w:val="both"/>
        <w:rPr>
          <w:rFonts w:ascii="Arial" w:hAnsi="Arial" w:cs="Arial"/>
          <w:vanish/>
          <w:color w:val="000000" w:themeColor="text1"/>
        </w:rPr>
      </w:pPr>
    </w:p>
    <w:p w:rsidR="00DD1217" w:rsidRPr="00DD1217" w:rsidRDefault="00DD1217" w:rsidP="00DA78B4">
      <w:pPr>
        <w:pStyle w:val="ListParagraph"/>
        <w:numPr>
          <w:ilvl w:val="0"/>
          <w:numId w:val="10"/>
        </w:numPr>
        <w:contextualSpacing/>
        <w:jc w:val="both"/>
        <w:rPr>
          <w:rFonts w:ascii="Arial" w:hAnsi="Arial" w:cs="Arial"/>
          <w:vanish/>
          <w:color w:val="000000" w:themeColor="text1"/>
        </w:rPr>
      </w:pPr>
    </w:p>
    <w:p w:rsidR="00DD1217" w:rsidRPr="00DD1217" w:rsidRDefault="00DD1217" w:rsidP="00DA78B4">
      <w:pPr>
        <w:pStyle w:val="ListParagraph"/>
        <w:numPr>
          <w:ilvl w:val="0"/>
          <w:numId w:val="10"/>
        </w:numPr>
        <w:contextualSpacing/>
        <w:jc w:val="both"/>
        <w:rPr>
          <w:rFonts w:ascii="Arial" w:hAnsi="Arial" w:cs="Arial"/>
          <w:vanish/>
          <w:color w:val="000000" w:themeColor="text1"/>
        </w:rPr>
      </w:pPr>
    </w:p>
    <w:p w:rsidR="00E96CC2" w:rsidRPr="000B3DC2" w:rsidRDefault="00117B8C" w:rsidP="00DA78B4">
      <w:pPr>
        <w:pStyle w:val="ListParagraph"/>
        <w:numPr>
          <w:ilvl w:val="1"/>
          <w:numId w:val="1"/>
        </w:numPr>
        <w:ind w:left="1440"/>
        <w:contextualSpacing/>
        <w:jc w:val="both"/>
        <w:rPr>
          <w:rFonts w:ascii="Arial" w:hAnsi="Arial" w:cs="Arial"/>
          <w:b/>
          <w:color w:val="FF0000"/>
        </w:rPr>
      </w:pPr>
      <w:r w:rsidRPr="000B3DC2">
        <w:rPr>
          <w:rFonts w:ascii="Arial" w:hAnsi="Arial" w:cs="Arial"/>
          <w:color w:val="000000" w:themeColor="text1"/>
          <w:sz w:val="22"/>
          <w:szCs w:val="22"/>
        </w:rPr>
        <w:t>Paragraph 15 of PAS 1 provides</w:t>
      </w:r>
      <w:r w:rsidR="00E96CC2" w:rsidRPr="000B3DC2">
        <w:rPr>
          <w:rFonts w:ascii="Arial" w:hAnsi="Arial" w:cs="Arial"/>
          <w:color w:val="FF0000"/>
        </w:rPr>
        <w:t>:</w:t>
      </w:r>
    </w:p>
    <w:p w:rsidR="00B80DEC" w:rsidRPr="00EF4855" w:rsidRDefault="00B80DEC" w:rsidP="004C39E3">
      <w:pPr>
        <w:spacing w:after="0" w:line="240" w:lineRule="auto"/>
        <w:ind w:right="730"/>
        <w:jc w:val="both"/>
        <w:rPr>
          <w:rFonts w:ascii="Arial" w:hAnsi="Arial" w:cs="Arial"/>
          <w:i/>
        </w:rPr>
      </w:pPr>
    </w:p>
    <w:p w:rsidR="00E96CC2" w:rsidRPr="004F6C55" w:rsidRDefault="00E96CC2" w:rsidP="000B3DC2">
      <w:pPr>
        <w:spacing w:after="0" w:line="240" w:lineRule="auto"/>
        <w:ind w:left="1800" w:right="730"/>
        <w:jc w:val="both"/>
        <w:rPr>
          <w:rFonts w:ascii="Arial" w:hAnsi="Arial" w:cs="Arial"/>
          <w:i/>
        </w:rPr>
      </w:pPr>
      <w:r w:rsidRPr="004F6C55">
        <w:rPr>
          <w:rFonts w:ascii="Arial" w:eastAsia="Calibri" w:hAnsi="Arial" w:cs="Arial"/>
          <w:i/>
        </w:rPr>
        <w:t>Financial</w:t>
      </w:r>
      <w:r w:rsidRPr="00EF4855">
        <w:rPr>
          <w:rFonts w:ascii="Arial" w:hAnsi="Arial" w:cs="Arial"/>
          <w:i/>
        </w:rPr>
        <w:t xml:space="preserve"> statements shall present fairly the financial position, financial performance and cash flows of an entity. Fair presentation requires the faithful representation of the effects of transactions, other events and conditions in accordance with the definitions and recognition criteria for assets, liabilities, income and expenses s</w:t>
      </w:r>
      <w:r w:rsidR="000A418C">
        <w:rPr>
          <w:rFonts w:ascii="Arial" w:hAnsi="Arial" w:cs="Arial"/>
          <w:i/>
        </w:rPr>
        <w:t>et out in the Framework.</w:t>
      </w:r>
    </w:p>
    <w:p w:rsidR="00EC4043" w:rsidRPr="00EF4855" w:rsidRDefault="00EC4043" w:rsidP="004C39E3">
      <w:pPr>
        <w:pStyle w:val="NoSpacing"/>
        <w:ind w:left="720"/>
        <w:jc w:val="both"/>
        <w:rPr>
          <w:rFonts w:ascii="Arial" w:hAnsi="Arial" w:cs="Arial"/>
          <w:b/>
        </w:rPr>
      </w:pPr>
    </w:p>
    <w:p w:rsidR="007634A0" w:rsidRPr="00B64B09" w:rsidRDefault="00AD2733" w:rsidP="00DA78B4">
      <w:pPr>
        <w:pStyle w:val="ListParagraph"/>
        <w:numPr>
          <w:ilvl w:val="1"/>
          <w:numId w:val="1"/>
        </w:numPr>
        <w:ind w:left="1440"/>
        <w:contextualSpacing/>
        <w:jc w:val="both"/>
        <w:rPr>
          <w:rFonts w:ascii="Arial" w:hAnsi="Arial" w:cs="Arial"/>
          <w:i/>
        </w:rPr>
      </w:pPr>
      <w:r w:rsidRPr="004F6C55">
        <w:rPr>
          <w:rFonts w:ascii="Arial" w:hAnsi="Arial" w:cs="Arial"/>
          <w:sz w:val="22"/>
          <w:szCs w:val="22"/>
        </w:rPr>
        <w:t>T</w:t>
      </w:r>
      <w:r w:rsidR="007F4BBF" w:rsidRPr="004F6C55">
        <w:rPr>
          <w:rFonts w:ascii="Arial" w:hAnsi="Arial" w:cs="Arial"/>
          <w:sz w:val="22"/>
          <w:szCs w:val="22"/>
        </w:rPr>
        <w:t xml:space="preserve">he Conceptual Framework for Financial Reporting </w:t>
      </w:r>
      <w:r w:rsidR="00EB515D" w:rsidRPr="004F6C55">
        <w:rPr>
          <w:rFonts w:ascii="Arial" w:hAnsi="Arial" w:cs="Arial"/>
          <w:sz w:val="22"/>
          <w:szCs w:val="22"/>
        </w:rPr>
        <w:t>enumerate</w:t>
      </w:r>
      <w:r w:rsidR="00F6071F">
        <w:rPr>
          <w:rFonts w:ascii="Arial" w:hAnsi="Arial" w:cs="Arial"/>
          <w:sz w:val="22"/>
          <w:szCs w:val="22"/>
        </w:rPr>
        <w:t>s</w:t>
      </w:r>
      <w:r w:rsidR="00EB515D" w:rsidRPr="004F6C55">
        <w:rPr>
          <w:rFonts w:ascii="Arial" w:hAnsi="Arial" w:cs="Arial"/>
          <w:sz w:val="22"/>
          <w:szCs w:val="22"/>
        </w:rPr>
        <w:t xml:space="preserve"> </w:t>
      </w:r>
      <w:r w:rsidR="007F4BBF" w:rsidRPr="004F6C55">
        <w:rPr>
          <w:rFonts w:ascii="Arial" w:hAnsi="Arial" w:cs="Arial"/>
          <w:sz w:val="22"/>
          <w:szCs w:val="22"/>
        </w:rPr>
        <w:t xml:space="preserve">faithful representation as one of the </w:t>
      </w:r>
      <w:r w:rsidR="007146B1" w:rsidRPr="004F6C55">
        <w:rPr>
          <w:rFonts w:ascii="Arial" w:hAnsi="Arial" w:cs="Arial"/>
          <w:sz w:val="22"/>
          <w:szCs w:val="22"/>
        </w:rPr>
        <w:t>qualitative</w:t>
      </w:r>
      <w:r w:rsidR="007F4BBF" w:rsidRPr="004F6C55">
        <w:rPr>
          <w:rFonts w:ascii="Arial" w:hAnsi="Arial" w:cs="Arial"/>
          <w:sz w:val="22"/>
          <w:szCs w:val="22"/>
        </w:rPr>
        <w:t xml:space="preserve"> characteristics of </w:t>
      </w:r>
      <w:r w:rsidR="00617DD8">
        <w:rPr>
          <w:rFonts w:ascii="Arial" w:hAnsi="Arial" w:cs="Arial"/>
          <w:sz w:val="22"/>
          <w:szCs w:val="22"/>
        </w:rPr>
        <w:t xml:space="preserve">a </w:t>
      </w:r>
      <w:r w:rsidR="00547A87" w:rsidRPr="004F6C55">
        <w:rPr>
          <w:rFonts w:ascii="Arial" w:hAnsi="Arial" w:cs="Arial"/>
          <w:sz w:val="22"/>
          <w:szCs w:val="22"/>
        </w:rPr>
        <w:t xml:space="preserve">useful </w:t>
      </w:r>
      <w:r w:rsidR="007F4BBF" w:rsidRPr="004F6C55">
        <w:rPr>
          <w:rFonts w:ascii="Arial" w:hAnsi="Arial" w:cs="Arial"/>
          <w:sz w:val="22"/>
          <w:szCs w:val="22"/>
        </w:rPr>
        <w:t>financial information.</w:t>
      </w:r>
      <w:r w:rsidRPr="004F6C55">
        <w:rPr>
          <w:rFonts w:ascii="Arial" w:hAnsi="Arial" w:cs="Arial"/>
          <w:sz w:val="22"/>
          <w:szCs w:val="22"/>
        </w:rPr>
        <w:t xml:space="preserve"> </w:t>
      </w:r>
      <w:r w:rsidR="007F4BBF" w:rsidRPr="004F6C55">
        <w:rPr>
          <w:rFonts w:ascii="Arial" w:hAnsi="Arial" w:cs="Arial"/>
          <w:sz w:val="22"/>
          <w:szCs w:val="22"/>
        </w:rPr>
        <w:t xml:space="preserve"> As stated under QC12</w:t>
      </w:r>
      <w:r w:rsidR="00BC6AB0" w:rsidRPr="004F6C55">
        <w:rPr>
          <w:rFonts w:ascii="Arial" w:hAnsi="Arial" w:cs="Arial"/>
          <w:sz w:val="22"/>
          <w:szCs w:val="22"/>
        </w:rPr>
        <w:t>, “</w:t>
      </w:r>
      <w:r w:rsidR="00BC6AB0" w:rsidRPr="004F6C55">
        <w:rPr>
          <w:rFonts w:ascii="Arial" w:hAnsi="Arial" w:cs="Arial"/>
          <w:i/>
          <w:sz w:val="22"/>
          <w:szCs w:val="22"/>
        </w:rPr>
        <w:t xml:space="preserve">To be </w:t>
      </w:r>
      <w:r w:rsidR="00547A87" w:rsidRPr="004F6C55">
        <w:rPr>
          <w:rFonts w:ascii="Arial" w:hAnsi="Arial" w:cs="Arial"/>
          <w:i/>
          <w:sz w:val="22"/>
          <w:szCs w:val="22"/>
        </w:rPr>
        <w:t xml:space="preserve">a perfectly </w:t>
      </w:r>
      <w:r w:rsidR="00BC6AB0" w:rsidRPr="004F6C55">
        <w:rPr>
          <w:rFonts w:ascii="Arial" w:hAnsi="Arial" w:cs="Arial"/>
          <w:i/>
          <w:sz w:val="22"/>
          <w:szCs w:val="22"/>
        </w:rPr>
        <w:t>faithful</w:t>
      </w:r>
      <w:r w:rsidR="00547A87" w:rsidRPr="004F6C55">
        <w:rPr>
          <w:rFonts w:ascii="Arial" w:hAnsi="Arial" w:cs="Arial"/>
          <w:i/>
          <w:sz w:val="22"/>
          <w:szCs w:val="22"/>
        </w:rPr>
        <w:t xml:space="preserve"> </w:t>
      </w:r>
      <w:r w:rsidR="00BC6AB0" w:rsidRPr="004F6C55">
        <w:rPr>
          <w:rFonts w:ascii="Arial" w:hAnsi="Arial" w:cs="Arial"/>
          <w:i/>
          <w:sz w:val="22"/>
          <w:szCs w:val="22"/>
        </w:rPr>
        <w:t>representation</w:t>
      </w:r>
      <w:r w:rsidR="00547A87" w:rsidRPr="004F6C55">
        <w:rPr>
          <w:rFonts w:ascii="Arial" w:hAnsi="Arial" w:cs="Arial"/>
          <w:i/>
          <w:sz w:val="22"/>
          <w:szCs w:val="22"/>
        </w:rPr>
        <w:t>, a depiction would have three characteristics. It would be complete, neutral and free from error”.</w:t>
      </w:r>
    </w:p>
    <w:p w:rsidR="00547A87" w:rsidRPr="00EF4855" w:rsidRDefault="00547A87" w:rsidP="00547A87">
      <w:pPr>
        <w:pStyle w:val="NoSpacing"/>
        <w:ind w:left="576"/>
        <w:jc w:val="both"/>
        <w:rPr>
          <w:rFonts w:ascii="Arial" w:hAnsi="Arial" w:cs="Arial"/>
        </w:rPr>
      </w:pPr>
    </w:p>
    <w:p w:rsidR="008A230C" w:rsidRPr="00325359" w:rsidRDefault="00BD70AF" w:rsidP="00DA78B4">
      <w:pPr>
        <w:pStyle w:val="ListParagraph"/>
        <w:numPr>
          <w:ilvl w:val="1"/>
          <w:numId w:val="1"/>
        </w:numPr>
        <w:ind w:left="1440"/>
        <w:contextualSpacing/>
        <w:jc w:val="both"/>
        <w:rPr>
          <w:rFonts w:ascii="Arial" w:hAnsi="Arial" w:cs="Arial"/>
        </w:rPr>
      </w:pPr>
      <w:r w:rsidRPr="004F6C55">
        <w:rPr>
          <w:rFonts w:ascii="Arial" w:hAnsi="Arial" w:cs="Arial"/>
          <w:sz w:val="22"/>
          <w:szCs w:val="22"/>
        </w:rPr>
        <w:t>Audit of the Cash and Cash Equivalent</w:t>
      </w:r>
      <w:r w:rsidR="00117B8C">
        <w:rPr>
          <w:rFonts w:ascii="Arial" w:hAnsi="Arial" w:cs="Arial"/>
          <w:sz w:val="22"/>
          <w:szCs w:val="22"/>
        </w:rPr>
        <w:t>s</w:t>
      </w:r>
      <w:r w:rsidRPr="004F6C55">
        <w:rPr>
          <w:rFonts w:ascii="Arial" w:hAnsi="Arial" w:cs="Arial"/>
          <w:sz w:val="22"/>
          <w:szCs w:val="22"/>
        </w:rPr>
        <w:t xml:space="preserve"> account</w:t>
      </w:r>
      <w:r w:rsidR="00617DD8" w:rsidRPr="00617DD8">
        <w:rPr>
          <w:rFonts w:ascii="Arial" w:hAnsi="Arial" w:cs="Arial"/>
          <w:sz w:val="22"/>
          <w:szCs w:val="22"/>
        </w:rPr>
        <w:t xml:space="preserve"> </w:t>
      </w:r>
      <w:r w:rsidR="00FE3190">
        <w:rPr>
          <w:rFonts w:ascii="Arial" w:hAnsi="Arial" w:cs="Arial"/>
          <w:sz w:val="22"/>
          <w:szCs w:val="22"/>
        </w:rPr>
        <w:t xml:space="preserve">having a balance of </w:t>
      </w:r>
      <w:r w:rsidR="00617DD8" w:rsidRPr="004F6C55">
        <w:rPr>
          <w:rFonts w:ascii="Arial" w:hAnsi="Arial" w:cs="Arial"/>
          <w:sz w:val="22"/>
          <w:szCs w:val="22"/>
        </w:rPr>
        <w:t>P9.81</w:t>
      </w:r>
      <w:r w:rsidR="007F4F7E">
        <w:rPr>
          <w:rFonts w:ascii="Arial" w:hAnsi="Arial" w:cs="Arial"/>
          <w:sz w:val="22"/>
          <w:szCs w:val="22"/>
        </w:rPr>
        <w:t>5</w:t>
      </w:r>
      <w:r w:rsidR="00617DD8" w:rsidRPr="004F6C55">
        <w:rPr>
          <w:rFonts w:ascii="Arial" w:hAnsi="Arial" w:cs="Arial"/>
          <w:sz w:val="22"/>
          <w:szCs w:val="22"/>
        </w:rPr>
        <w:t xml:space="preserve"> billion</w:t>
      </w:r>
      <w:r w:rsidRPr="004F6C55">
        <w:rPr>
          <w:rFonts w:ascii="Arial" w:hAnsi="Arial" w:cs="Arial"/>
          <w:sz w:val="22"/>
          <w:szCs w:val="22"/>
        </w:rPr>
        <w:t xml:space="preserve"> </w:t>
      </w:r>
      <w:r w:rsidR="00FE3190">
        <w:rPr>
          <w:rFonts w:ascii="Arial" w:hAnsi="Arial" w:cs="Arial"/>
          <w:sz w:val="22"/>
          <w:szCs w:val="22"/>
        </w:rPr>
        <w:t xml:space="preserve">in the financial statements </w:t>
      </w:r>
      <w:r w:rsidR="00837509" w:rsidRPr="004F6C55">
        <w:rPr>
          <w:rFonts w:ascii="Arial" w:hAnsi="Arial" w:cs="Arial"/>
          <w:sz w:val="22"/>
          <w:szCs w:val="22"/>
        </w:rPr>
        <w:t xml:space="preserve">as </w:t>
      </w:r>
      <w:r w:rsidR="007F657B">
        <w:rPr>
          <w:rFonts w:ascii="Arial" w:hAnsi="Arial" w:cs="Arial"/>
          <w:sz w:val="22"/>
          <w:szCs w:val="22"/>
        </w:rPr>
        <w:t>at</w:t>
      </w:r>
      <w:r w:rsidR="00837509" w:rsidRPr="004F6C55">
        <w:rPr>
          <w:rFonts w:ascii="Arial" w:hAnsi="Arial" w:cs="Arial"/>
          <w:sz w:val="22"/>
          <w:szCs w:val="22"/>
        </w:rPr>
        <w:t xml:space="preserve"> December 31, 2018 </w:t>
      </w:r>
      <w:r w:rsidRPr="004F6C55">
        <w:rPr>
          <w:rFonts w:ascii="Arial" w:hAnsi="Arial" w:cs="Arial"/>
          <w:sz w:val="22"/>
          <w:szCs w:val="22"/>
        </w:rPr>
        <w:t>disclosed various</w:t>
      </w:r>
      <w:r w:rsidR="00FE3190">
        <w:rPr>
          <w:rFonts w:ascii="Arial" w:hAnsi="Arial" w:cs="Arial"/>
          <w:sz w:val="22"/>
          <w:szCs w:val="22"/>
        </w:rPr>
        <w:t xml:space="preserve"> deficiencies as follows: </w:t>
      </w:r>
    </w:p>
    <w:p w:rsidR="00325359" w:rsidRPr="00325359" w:rsidRDefault="00325359" w:rsidP="00325359">
      <w:pPr>
        <w:pStyle w:val="ListParagraph"/>
        <w:rPr>
          <w:rFonts w:ascii="Arial" w:hAnsi="Arial" w:cs="Arial"/>
        </w:rPr>
      </w:pPr>
    </w:p>
    <w:p w:rsidR="008A230C" w:rsidRPr="00EF4855" w:rsidRDefault="008A230C" w:rsidP="007F657B">
      <w:pPr>
        <w:pStyle w:val="NoSpacing"/>
        <w:ind w:left="720" w:right="2160"/>
        <w:jc w:val="both"/>
        <w:rPr>
          <w:rFonts w:ascii="Arial" w:hAnsi="Arial" w:cs="Arial"/>
          <w:i/>
        </w:rPr>
      </w:pPr>
      <w:r w:rsidRPr="004A04DF">
        <w:rPr>
          <w:rFonts w:ascii="Arial" w:hAnsi="Arial" w:cs="Arial"/>
          <w:i/>
        </w:rPr>
        <w:t>Variance</w:t>
      </w:r>
      <w:r w:rsidR="007F657B">
        <w:rPr>
          <w:rFonts w:ascii="Arial" w:hAnsi="Arial" w:cs="Arial"/>
          <w:i/>
        </w:rPr>
        <w:t>s</w:t>
      </w:r>
      <w:r w:rsidRPr="004A04DF">
        <w:rPr>
          <w:rFonts w:ascii="Arial" w:hAnsi="Arial" w:cs="Arial"/>
          <w:i/>
        </w:rPr>
        <w:t xml:space="preserve"> of P11.882 </w:t>
      </w:r>
      <w:r w:rsidR="00CF78D2" w:rsidRPr="004A04DF">
        <w:rPr>
          <w:rFonts w:ascii="Arial" w:hAnsi="Arial" w:cs="Arial"/>
          <w:i/>
        </w:rPr>
        <w:t xml:space="preserve">million between the balance per </w:t>
      </w:r>
      <w:r w:rsidRPr="004A04DF">
        <w:rPr>
          <w:rFonts w:ascii="Arial" w:hAnsi="Arial" w:cs="Arial"/>
          <w:i/>
        </w:rPr>
        <w:t>books and the confirmed bank balances of the Operating</w:t>
      </w:r>
      <w:r w:rsidR="00827670">
        <w:rPr>
          <w:rFonts w:ascii="Arial" w:hAnsi="Arial" w:cs="Arial"/>
          <w:i/>
        </w:rPr>
        <w:t xml:space="preserve"> Fund accounts and Main account</w:t>
      </w:r>
    </w:p>
    <w:p w:rsidR="008A230C" w:rsidRPr="00EF4855" w:rsidRDefault="008A230C" w:rsidP="004C39E3">
      <w:pPr>
        <w:pStyle w:val="NoSpacing"/>
        <w:ind w:left="360"/>
        <w:jc w:val="both"/>
        <w:rPr>
          <w:rFonts w:ascii="Arial" w:hAnsi="Arial" w:cs="Arial"/>
        </w:rPr>
      </w:pPr>
    </w:p>
    <w:p w:rsidR="00A84DDE" w:rsidRPr="00EF4855" w:rsidRDefault="00A84DDE" w:rsidP="00DA78B4">
      <w:pPr>
        <w:pStyle w:val="ListParagraph"/>
        <w:numPr>
          <w:ilvl w:val="1"/>
          <w:numId w:val="1"/>
        </w:numPr>
        <w:ind w:left="1440"/>
        <w:contextualSpacing/>
        <w:jc w:val="both"/>
        <w:rPr>
          <w:rFonts w:ascii="Arial" w:hAnsi="Arial" w:cs="Arial"/>
          <w:sz w:val="22"/>
          <w:szCs w:val="22"/>
        </w:rPr>
      </w:pPr>
      <w:r w:rsidRPr="00EF4855">
        <w:rPr>
          <w:rFonts w:ascii="Arial" w:hAnsi="Arial" w:cs="Arial"/>
          <w:sz w:val="22"/>
          <w:szCs w:val="22"/>
        </w:rPr>
        <w:t>Results of confirmation with the various depository banks of the Operating Fund and Main Account</w:t>
      </w:r>
      <w:r w:rsidR="00617DD8">
        <w:rPr>
          <w:rFonts w:ascii="Arial" w:hAnsi="Arial" w:cs="Arial"/>
          <w:sz w:val="22"/>
          <w:szCs w:val="22"/>
        </w:rPr>
        <w:t>s</w:t>
      </w:r>
      <w:r w:rsidRPr="00EF4855">
        <w:rPr>
          <w:rFonts w:ascii="Arial" w:hAnsi="Arial" w:cs="Arial"/>
          <w:sz w:val="22"/>
          <w:szCs w:val="22"/>
        </w:rPr>
        <w:t xml:space="preserve"> </w:t>
      </w:r>
      <w:r w:rsidR="005653BE" w:rsidRPr="00EF4855">
        <w:rPr>
          <w:rFonts w:ascii="Arial" w:hAnsi="Arial" w:cs="Arial"/>
          <w:sz w:val="22"/>
          <w:szCs w:val="22"/>
        </w:rPr>
        <w:t xml:space="preserve">revealed </w:t>
      </w:r>
      <w:r w:rsidR="007F657B">
        <w:rPr>
          <w:rFonts w:ascii="Arial" w:hAnsi="Arial" w:cs="Arial"/>
          <w:sz w:val="22"/>
          <w:szCs w:val="22"/>
        </w:rPr>
        <w:t xml:space="preserve">variances </w:t>
      </w:r>
      <w:r w:rsidRPr="00EF4855">
        <w:rPr>
          <w:rFonts w:ascii="Arial" w:hAnsi="Arial" w:cs="Arial"/>
          <w:sz w:val="22"/>
          <w:szCs w:val="22"/>
        </w:rPr>
        <w:t>in the total amount of P11.882 million,</w:t>
      </w:r>
      <w:r w:rsidR="002E46F5" w:rsidRPr="00EF4855">
        <w:rPr>
          <w:rFonts w:ascii="Arial" w:hAnsi="Arial" w:cs="Arial"/>
          <w:sz w:val="22"/>
          <w:szCs w:val="22"/>
        </w:rPr>
        <w:t xml:space="preserve"> breakdown </w:t>
      </w:r>
      <w:r w:rsidR="004A04DF">
        <w:rPr>
          <w:rFonts w:ascii="Arial" w:hAnsi="Arial" w:cs="Arial"/>
          <w:sz w:val="22"/>
          <w:szCs w:val="22"/>
        </w:rPr>
        <w:t xml:space="preserve">of which is </w:t>
      </w:r>
      <w:r w:rsidR="002E46F5" w:rsidRPr="00EF4855">
        <w:rPr>
          <w:rFonts w:ascii="Arial" w:hAnsi="Arial" w:cs="Arial"/>
          <w:sz w:val="22"/>
          <w:szCs w:val="22"/>
        </w:rPr>
        <w:t xml:space="preserve">shown in Table </w:t>
      </w:r>
      <w:r w:rsidR="000B3DC2">
        <w:rPr>
          <w:rFonts w:ascii="Arial" w:hAnsi="Arial" w:cs="Arial"/>
          <w:sz w:val="22"/>
          <w:szCs w:val="22"/>
        </w:rPr>
        <w:t>1</w:t>
      </w:r>
      <w:r w:rsidR="002E46F5" w:rsidRPr="00EF4855">
        <w:rPr>
          <w:rFonts w:ascii="Arial" w:hAnsi="Arial" w:cs="Arial"/>
          <w:sz w:val="22"/>
          <w:szCs w:val="22"/>
        </w:rPr>
        <w:t>.</w:t>
      </w:r>
    </w:p>
    <w:p w:rsidR="00617DD8" w:rsidRDefault="00617DD8" w:rsidP="00517962">
      <w:pPr>
        <w:pStyle w:val="ListParagraph"/>
        <w:ind w:left="360"/>
        <w:jc w:val="both"/>
        <w:rPr>
          <w:rFonts w:ascii="Arial" w:hAnsi="Arial" w:cs="Arial"/>
          <w:sz w:val="22"/>
          <w:szCs w:val="22"/>
        </w:rPr>
      </w:pPr>
    </w:p>
    <w:p w:rsidR="000B3DC2" w:rsidRDefault="000B3DC2" w:rsidP="00517962">
      <w:pPr>
        <w:pStyle w:val="ListParagraph"/>
        <w:ind w:left="360"/>
        <w:jc w:val="both"/>
        <w:rPr>
          <w:rFonts w:ascii="Arial" w:hAnsi="Arial" w:cs="Arial"/>
          <w:sz w:val="22"/>
          <w:szCs w:val="22"/>
        </w:rPr>
      </w:pPr>
    </w:p>
    <w:p w:rsidR="000B3DC2" w:rsidRDefault="000B3DC2" w:rsidP="00517962">
      <w:pPr>
        <w:pStyle w:val="ListParagraph"/>
        <w:ind w:left="360"/>
        <w:jc w:val="both"/>
        <w:rPr>
          <w:rFonts w:ascii="Arial" w:hAnsi="Arial" w:cs="Arial"/>
          <w:sz w:val="22"/>
          <w:szCs w:val="22"/>
        </w:rPr>
      </w:pPr>
    </w:p>
    <w:p w:rsidR="000B3DC2" w:rsidRPr="00EF4855" w:rsidRDefault="000B3DC2" w:rsidP="00517962">
      <w:pPr>
        <w:pStyle w:val="ListParagraph"/>
        <w:ind w:left="360"/>
        <w:jc w:val="both"/>
        <w:rPr>
          <w:rFonts w:ascii="Arial" w:hAnsi="Arial" w:cs="Arial"/>
          <w:sz w:val="22"/>
          <w:szCs w:val="22"/>
        </w:rPr>
      </w:pPr>
    </w:p>
    <w:p w:rsidR="00CF78D2" w:rsidRDefault="00B313C4" w:rsidP="00517962">
      <w:pPr>
        <w:spacing w:after="0" w:line="240" w:lineRule="auto"/>
        <w:ind w:left="1440"/>
        <w:jc w:val="both"/>
        <w:rPr>
          <w:rFonts w:ascii="Arial" w:hAnsi="Arial" w:cs="Arial"/>
          <w:b/>
          <w:sz w:val="20"/>
          <w:szCs w:val="20"/>
        </w:rPr>
      </w:pPr>
      <w:r w:rsidRPr="004F6C55">
        <w:rPr>
          <w:rFonts w:ascii="Arial" w:hAnsi="Arial" w:cs="Arial"/>
          <w:b/>
          <w:sz w:val="20"/>
          <w:szCs w:val="20"/>
        </w:rPr>
        <w:lastRenderedPageBreak/>
        <w:t xml:space="preserve">Table </w:t>
      </w:r>
      <w:r w:rsidR="000B3DC2">
        <w:rPr>
          <w:rFonts w:ascii="Arial" w:hAnsi="Arial" w:cs="Arial"/>
          <w:b/>
          <w:sz w:val="20"/>
          <w:szCs w:val="20"/>
        </w:rPr>
        <w:t>1</w:t>
      </w:r>
      <w:r w:rsidR="00EF4855" w:rsidRPr="004F6C55">
        <w:rPr>
          <w:rFonts w:ascii="Arial" w:hAnsi="Arial" w:cs="Arial"/>
          <w:b/>
          <w:sz w:val="20"/>
          <w:szCs w:val="20"/>
        </w:rPr>
        <w:t xml:space="preserve"> </w:t>
      </w:r>
      <w:r w:rsidR="005653BE" w:rsidRPr="004F6C55">
        <w:rPr>
          <w:rFonts w:ascii="Arial" w:hAnsi="Arial" w:cs="Arial"/>
          <w:b/>
          <w:sz w:val="20"/>
          <w:szCs w:val="20"/>
        </w:rPr>
        <w:t>–</w:t>
      </w:r>
      <w:r w:rsidRPr="004F6C55">
        <w:rPr>
          <w:rFonts w:ascii="Arial" w:hAnsi="Arial" w:cs="Arial"/>
          <w:b/>
          <w:sz w:val="20"/>
          <w:szCs w:val="20"/>
        </w:rPr>
        <w:t xml:space="preserve"> </w:t>
      </w:r>
      <w:r w:rsidR="005653BE" w:rsidRPr="004F6C55">
        <w:rPr>
          <w:rFonts w:ascii="Arial" w:hAnsi="Arial" w:cs="Arial"/>
          <w:b/>
          <w:sz w:val="20"/>
          <w:szCs w:val="20"/>
        </w:rPr>
        <w:t>Comparison of</w:t>
      </w:r>
      <w:r w:rsidR="00FE3190">
        <w:rPr>
          <w:rFonts w:ascii="Arial" w:hAnsi="Arial" w:cs="Arial"/>
          <w:b/>
          <w:sz w:val="20"/>
          <w:szCs w:val="20"/>
        </w:rPr>
        <w:t xml:space="preserve"> </w:t>
      </w:r>
      <w:r w:rsidR="005653BE" w:rsidRPr="004F6C55">
        <w:rPr>
          <w:rFonts w:ascii="Arial" w:hAnsi="Arial" w:cs="Arial"/>
          <w:b/>
          <w:sz w:val="20"/>
          <w:szCs w:val="20"/>
        </w:rPr>
        <w:t>book and confirmed bank balances</w:t>
      </w:r>
    </w:p>
    <w:p w:rsidR="00517962" w:rsidRDefault="00517962" w:rsidP="00517962">
      <w:pPr>
        <w:spacing w:after="0" w:line="240" w:lineRule="auto"/>
        <w:ind w:left="2160" w:firstLine="720"/>
        <w:jc w:val="both"/>
        <w:rPr>
          <w:rFonts w:ascii="Arial" w:hAnsi="Arial" w:cs="Arial"/>
          <w:b/>
          <w:sz w:val="20"/>
          <w:szCs w:val="20"/>
        </w:rPr>
      </w:pPr>
      <w:r>
        <w:rPr>
          <w:rFonts w:ascii="Arial" w:hAnsi="Arial" w:cs="Arial"/>
          <w:b/>
          <w:sz w:val="20"/>
          <w:szCs w:val="20"/>
        </w:rPr>
        <w:t>as of December 31, 2018</w:t>
      </w:r>
    </w:p>
    <w:p w:rsidR="007F657B" w:rsidRDefault="007F657B" w:rsidP="00517962">
      <w:pPr>
        <w:spacing w:after="0" w:line="240" w:lineRule="auto"/>
        <w:ind w:left="2160" w:firstLine="720"/>
        <w:jc w:val="both"/>
        <w:rPr>
          <w:rFonts w:ascii="Arial" w:hAnsi="Arial" w:cs="Arial"/>
          <w:b/>
          <w:sz w:val="20"/>
          <w:szCs w:val="20"/>
        </w:rPr>
      </w:pPr>
    </w:p>
    <w:tbl>
      <w:tblPr>
        <w:tblW w:w="4936" w:type="pct"/>
        <w:jc w:val="center"/>
        <w:tblLayout w:type="fixed"/>
        <w:tblLook w:val="04A0" w:firstRow="1" w:lastRow="0" w:firstColumn="1" w:lastColumn="0" w:noHBand="0" w:noVBand="1"/>
      </w:tblPr>
      <w:tblGrid>
        <w:gridCol w:w="2239"/>
        <w:gridCol w:w="1085"/>
        <w:gridCol w:w="276"/>
        <w:gridCol w:w="1568"/>
        <w:gridCol w:w="276"/>
        <w:gridCol w:w="1563"/>
        <w:gridCol w:w="374"/>
        <w:gridCol w:w="1362"/>
      </w:tblGrid>
      <w:tr w:rsidR="00EF4855" w:rsidRPr="00EF4855" w:rsidTr="007F657B">
        <w:trPr>
          <w:trHeight w:val="565"/>
          <w:tblHeader/>
          <w:jc w:val="center"/>
        </w:trPr>
        <w:tc>
          <w:tcPr>
            <w:tcW w:w="1280" w:type="pct"/>
            <w:tcBorders>
              <w:top w:val="single" w:sz="4" w:space="0" w:color="auto"/>
              <w:left w:val="nil"/>
              <w:bottom w:val="single" w:sz="4" w:space="0" w:color="auto"/>
              <w:right w:val="nil"/>
            </w:tcBorders>
            <w:shd w:val="clear" w:color="auto" w:fill="auto"/>
            <w:vAlign w:val="center"/>
            <w:hideMark/>
          </w:tcPr>
          <w:p w:rsidR="00CF78D2" w:rsidRPr="00EF4855" w:rsidRDefault="00CF78D2" w:rsidP="007F657B">
            <w:pPr>
              <w:pStyle w:val="ListParagraph"/>
              <w:ind w:left="-56"/>
              <w:rPr>
                <w:rFonts w:ascii="Arial Narrow" w:hAnsi="Arial Narrow" w:cs="Arial"/>
                <w:b/>
                <w:bCs/>
                <w:sz w:val="20"/>
                <w:szCs w:val="20"/>
              </w:rPr>
            </w:pPr>
            <w:r w:rsidRPr="00EF4855">
              <w:rPr>
                <w:rFonts w:ascii="Arial Narrow" w:hAnsi="Arial Narrow" w:cs="Arial"/>
                <w:b/>
                <w:bCs/>
                <w:sz w:val="20"/>
                <w:szCs w:val="20"/>
              </w:rPr>
              <w:t>Account Title</w:t>
            </w:r>
          </w:p>
        </w:tc>
        <w:tc>
          <w:tcPr>
            <w:tcW w:w="620" w:type="pct"/>
            <w:tcBorders>
              <w:top w:val="single" w:sz="4" w:space="0" w:color="auto"/>
              <w:left w:val="nil"/>
              <w:bottom w:val="single" w:sz="4" w:space="0" w:color="auto"/>
              <w:right w:val="nil"/>
            </w:tcBorders>
            <w:shd w:val="clear" w:color="auto" w:fill="auto"/>
            <w:vAlign w:val="center"/>
            <w:hideMark/>
          </w:tcPr>
          <w:p w:rsidR="00CF78D2" w:rsidRPr="00EF4855" w:rsidRDefault="00CF78D2" w:rsidP="004C39E3">
            <w:pPr>
              <w:spacing w:after="0" w:line="240" w:lineRule="auto"/>
              <w:jc w:val="center"/>
              <w:rPr>
                <w:rFonts w:ascii="Arial Narrow" w:hAnsi="Arial Narrow" w:cs="Arial"/>
                <w:b/>
                <w:bCs/>
                <w:sz w:val="20"/>
                <w:szCs w:val="20"/>
              </w:rPr>
            </w:pPr>
            <w:r w:rsidRPr="00EF4855">
              <w:rPr>
                <w:rFonts w:ascii="Arial Narrow" w:hAnsi="Arial Narrow" w:cs="Arial"/>
                <w:b/>
                <w:bCs/>
                <w:sz w:val="20"/>
                <w:szCs w:val="20"/>
              </w:rPr>
              <w:t>Account Number</w:t>
            </w:r>
          </w:p>
        </w:tc>
        <w:tc>
          <w:tcPr>
            <w:tcW w:w="1055" w:type="pct"/>
            <w:gridSpan w:val="2"/>
            <w:tcBorders>
              <w:top w:val="single" w:sz="4" w:space="0" w:color="auto"/>
              <w:left w:val="nil"/>
              <w:bottom w:val="single" w:sz="4" w:space="0" w:color="auto"/>
              <w:right w:val="nil"/>
            </w:tcBorders>
            <w:vAlign w:val="center"/>
          </w:tcPr>
          <w:p w:rsidR="00CF78D2" w:rsidRPr="00EF4855" w:rsidRDefault="00CF78D2" w:rsidP="004C39E3">
            <w:pPr>
              <w:pStyle w:val="ListParagraph"/>
              <w:ind w:left="360"/>
              <w:rPr>
                <w:rFonts w:ascii="Arial Narrow" w:hAnsi="Arial Narrow" w:cs="Arial"/>
                <w:b/>
                <w:bCs/>
                <w:sz w:val="20"/>
                <w:szCs w:val="20"/>
              </w:rPr>
            </w:pPr>
            <w:r w:rsidRPr="00EF4855">
              <w:rPr>
                <w:rFonts w:ascii="Arial Narrow" w:hAnsi="Arial Narrow" w:cs="Arial"/>
                <w:b/>
                <w:bCs/>
                <w:sz w:val="20"/>
                <w:szCs w:val="20"/>
              </w:rPr>
              <w:t>Balance per Bank Confirmation</w:t>
            </w:r>
          </w:p>
        </w:tc>
        <w:tc>
          <w:tcPr>
            <w:tcW w:w="1052" w:type="pct"/>
            <w:gridSpan w:val="2"/>
            <w:tcBorders>
              <w:top w:val="single" w:sz="4" w:space="0" w:color="auto"/>
              <w:left w:val="nil"/>
              <w:bottom w:val="single" w:sz="4" w:space="0" w:color="auto"/>
              <w:right w:val="nil"/>
            </w:tcBorders>
            <w:vAlign w:val="center"/>
          </w:tcPr>
          <w:p w:rsidR="00CF78D2" w:rsidRPr="00EF4855" w:rsidRDefault="00CF78D2" w:rsidP="004C39E3">
            <w:pPr>
              <w:pStyle w:val="ListParagraph"/>
              <w:ind w:left="360"/>
              <w:rPr>
                <w:rFonts w:ascii="Arial Narrow" w:hAnsi="Arial Narrow" w:cs="Arial"/>
                <w:b/>
                <w:bCs/>
                <w:sz w:val="20"/>
                <w:szCs w:val="20"/>
              </w:rPr>
            </w:pPr>
            <w:r w:rsidRPr="00EF4855">
              <w:rPr>
                <w:rFonts w:ascii="Arial Narrow" w:hAnsi="Arial Narrow" w:cs="Arial"/>
                <w:b/>
                <w:bCs/>
                <w:sz w:val="20"/>
                <w:szCs w:val="20"/>
              </w:rPr>
              <w:t>Balance per Books</w:t>
            </w:r>
          </w:p>
        </w:tc>
        <w:tc>
          <w:tcPr>
            <w:tcW w:w="993" w:type="pct"/>
            <w:gridSpan w:val="2"/>
            <w:tcBorders>
              <w:top w:val="single" w:sz="4" w:space="0" w:color="auto"/>
              <w:left w:val="nil"/>
              <w:bottom w:val="single" w:sz="4" w:space="0" w:color="auto"/>
              <w:right w:val="nil"/>
            </w:tcBorders>
            <w:vAlign w:val="center"/>
          </w:tcPr>
          <w:p w:rsidR="00CF78D2" w:rsidRPr="00EF4855" w:rsidRDefault="00CF78D2" w:rsidP="007F657B">
            <w:pPr>
              <w:spacing w:after="0" w:line="240" w:lineRule="auto"/>
              <w:ind w:right="-57"/>
              <w:jc w:val="right"/>
              <w:rPr>
                <w:rFonts w:ascii="Arial Narrow" w:hAnsi="Arial Narrow" w:cs="Arial"/>
                <w:b/>
                <w:bCs/>
                <w:sz w:val="20"/>
                <w:szCs w:val="20"/>
              </w:rPr>
            </w:pPr>
            <w:r w:rsidRPr="00EF4855">
              <w:rPr>
                <w:rFonts w:ascii="Arial Narrow" w:hAnsi="Arial Narrow" w:cs="Arial"/>
                <w:b/>
                <w:bCs/>
                <w:sz w:val="20"/>
                <w:szCs w:val="20"/>
              </w:rPr>
              <w:t>Discrepancy</w:t>
            </w:r>
          </w:p>
        </w:tc>
      </w:tr>
      <w:tr w:rsidR="00EF4855" w:rsidRPr="00EF4855" w:rsidTr="007F657B">
        <w:trPr>
          <w:trHeight w:val="304"/>
          <w:jc w:val="center"/>
        </w:trPr>
        <w:tc>
          <w:tcPr>
            <w:tcW w:w="1280" w:type="pct"/>
            <w:tcBorders>
              <w:top w:val="single" w:sz="4" w:space="0" w:color="auto"/>
              <w:left w:val="nil"/>
              <w:right w:val="nil"/>
            </w:tcBorders>
            <w:shd w:val="clear" w:color="auto" w:fill="auto"/>
            <w:noWrap/>
          </w:tcPr>
          <w:p w:rsidR="00CF78D2" w:rsidRPr="00EF4855" w:rsidRDefault="00CF78D2" w:rsidP="004C39E3">
            <w:pPr>
              <w:spacing w:after="0" w:line="240" w:lineRule="auto"/>
              <w:rPr>
                <w:rFonts w:ascii="Arial Narrow" w:hAnsi="Arial Narrow" w:cs="Arial"/>
                <w:b/>
                <w:sz w:val="20"/>
                <w:szCs w:val="20"/>
                <w:u w:val="single"/>
              </w:rPr>
            </w:pPr>
            <w:r w:rsidRPr="00EF4855">
              <w:rPr>
                <w:rFonts w:ascii="Arial Narrow" w:hAnsi="Arial Narrow" w:cs="Arial"/>
                <w:b/>
                <w:sz w:val="20"/>
                <w:szCs w:val="20"/>
                <w:u w:val="single"/>
              </w:rPr>
              <w:t>Main Account</w:t>
            </w:r>
          </w:p>
        </w:tc>
        <w:tc>
          <w:tcPr>
            <w:tcW w:w="620" w:type="pct"/>
            <w:tcBorders>
              <w:top w:val="single" w:sz="4" w:space="0" w:color="auto"/>
              <w:left w:val="nil"/>
              <w:bottom w:val="nil"/>
              <w:right w:val="nil"/>
            </w:tcBorders>
            <w:shd w:val="clear" w:color="auto" w:fill="auto"/>
            <w:noWrap/>
          </w:tcPr>
          <w:p w:rsidR="00CF78D2" w:rsidRPr="004F6C55" w:rsidRDefault="00CF78D2" w:rsidP="004C39E3">
            <w:pPr>
              <w:spacing w:after="0" w:line="240" w:lineRule="auto"/>
              <w:ind w:right="-105"/>
              <w:rPr>
                <w:rFonts w:ascii="Arial" w:hAnsi="Arial" w:cs="Arial"/>
                <w:sz w:val="20"/>
                <w:szCs w:val="20"/>
              </w:rPr>
            </w:pPr>
          </w:p>
        </w:tc>
        <w:tc>
          <w:tcPr>
            <w:tcW w:w="158" w:type="pct"/>
            <w:tcBorders>
              <w:top w:val="single" w:sz="4" w:space="0" w:color="auto"/>
              <w:left w:val="nil"/>
              <w:bottom w:val="nil"/>
              <w:right w:val="nil"/>
            </w:tcBorders>
          </w:tcPr>
          <w:p w:rsidR="00CF78D2" w:rsidRPr="004F6C55" w:rsidRDefault="00CF78D2" w:rsidP="004C39E3">
            <w:pPr>
              <w:spacing w:after="0" w:line="240" w:lineRule="auto"/>
              <w:jc w:val="right"/>
              <w:rPr>
                <w:rFonts w:ascii="Arial" w:hAnsi="Arial" w:cs="Arial"/>
                <w:sz w:val="20"/>
                <w:szCs w:val="20"/>
              </w:rPr>
            </w:pPr>
          </w:p>
        </w:tc>
        <w:tc>
          <w:tcPr>
            <w:tcW w:w="897" w:type="pct"/>
            <w:tcBorders>
              <w:top w:val="single" w:sz="4" w:space="0" w:color="auto"/>
              <w:left w:val="nil"/>
              <w:bottom w:val="nil"/>
              <w:right w:val="nil"/>
            </w:tcBorders>
          </w:tcPr>
          <w:p w:rsidR="00CF78D2" w:rsidRPr="004F6C55" w:rsidRDefault="00CF78D2" w:rsidP="004C39E3">
            <w:pPr>
              <w:spacing w:after="0" w:line="240" w:lineRule="auto"/>
              <w:ind w:right="-14"/>
              <w:rPr>
                <w:rFonts w:ascii="Arial" w:hAnsi="Arial" w:cs="Arial"/>
                <w:sz w:val="20"/>
                <w:szCs w:val="20"/>
              </w:rPr>
            </w:pPr>
          </w:p>
        </w:tc>
        <w:tc>
          <w:tcPr>
            <w:tcW w:w="158" w:type="pct"/>
            <w:tcBorders>
              <w:top w:val="single" w:sz="4" w:space="0" w:color="auto"/>
              <w:left w:val="nil"/>
              <w:bottom w:val="nil"/>
              <w:right w:val="nil"/>
            </w:tcBorders>
          </w:tcPr>
          <w:p w:rsidR="00CF78D2" w:rsidRPr="004F6C55" w:rsidRDefault="00CF78D2" w:rsidP="004C39E3">
            <w:pPr>
              <w:spacing w:after="0" w:line="240" w:lineRule="auto"/>
              <w:jc w:val="right"/>
              <w:rPr>
                <w:rFonts w:ascii="Arial" w:hAnsi="Arial" w:cs="Arial"/>
                <w:sz w:val="20"/>
                <w:szCs w:val="20"/>
              </w:rPr>
            </w:pPr>
          </w:p>
        </w:tc>
        <w:tc>
          <w:tcPr>
            <w:tcW w:w="894" w:type="pct"/>
            <w:tcBorders>
              <w:top w:val="single" w:sz="4" w:space="0" w:color="auto"/>
              <w:left w:val="nil"/>
              <w:bottom w:val="nil"/>
              <w:right w:val="nil"/>
            </w:tcBorders>
            <w:shd w:val="clear" w:color="auto" w:fill="auto"/>
            <w:noWrap/>
          </w:tcPr>
          <w:p w:rsidR="00CF78D2" w:rsidRPr="004F6C55" w:rsidRDefault="00CF78D2" w:rsidP="004C39E3">
            <w:pPr>
              <w:spacing w:after="0" w:line="240" w:lineRule="auto"/>
              <w:rPr>
                <w:rFonts w:ascii="Arial" w:hAnsi="Arial" w:cs="Arial"/>
                <w:sz w:val="20"/>
                <w:szCs w:val="20"/>
              </w:rPr>
            </w:pPr>
          </w:p>
        </w:tc>
        <w:tc>
          <w:tcPr>
            <w:tcW w:w="214" w:type="pct"/>
            <w:tcBorders>
              <w:top w:val="single" w:sz="4" w:space="0" w:color="auto"/>
              <w:left w:val="nil"/>
              <w:bottom w:val="nil"/>
              <w:right w:val="nil"/>
            </w:tcBorders>
          </w:tcPr>
          <w:p w:rsidR="00CF78D2" w:rsidRPr="004F6C55" w:rsidRDefault="00CF78D2" w:rsidP="004C39E3">
            <w:pPr>
              <w:spacing w:after="0" w:line="240" w:lineRule="auto"/>
              <w:jc w:val="right"/>
              <w:rPr>
                <w:rFonts w:ascii="Arial" w:hAnsi="Arial" w:cs="Arial"/>
                <w:sz w:val="20"/>
                <w:szCs w:val="20"/>
              </w:rPr>
            </w:pPr>
          </w:p>
        </w:tc>
        <w:tc>
          <w:tcPr>
            <w:tcW w:w="779" w:type="pct"/>
            <w:tcBorders>
              <w:top w:val="single" w:sz="4" w:space="0" w:color="auto"/>
              <w:left w:val="nil"/>
              <w:bottom w:val="nil"/>
              <w:right w:val="nil"/>
            </w:tcBorders>
          </w:tcPr>
          <w:p w:rsidR="00CF78D2" w:rsidRPr="004F6C55" w:rsidRDefault="00CF78D2" w:rsidP="004C39E3">
            <w:pPr>
              <w:spacing w:after="0" w:line="240" w:lineRule="auto"/>
              <w:jc w:val="right"/>
              <w:rPr>
                <w:rFonts w:ascii="Arial" w:hAnsi="Arial" w:cs="Arial"/>
                <w:sz w:val="20"/>
                <w:szCs w:val="20"/>
              </w:rPr>
            </w:pPr>
          </w:p>
        </w:tc>
      </w:tr>
      <w:tr w:rsidR="00EF4855" w:rsidRPr="00EF4855" w:rsidTr="004F6C55">
        <w:trPr>
          <w:trHeight w:val="630"/>
          <w:jc w:val="center"/>
        </w:trPr>
        <w:tc>
          <w:tcPr>
            <w:tcW w:w="1280" w:type="pct"/>
            <w:tcBorders>
              <w:top w:val="nil"/>
              <w:left w:val="nil"/>
              <w:right w:val="nil"/>
            </w:tcBorders>
            <w:shd w:val="clear" w:color="auto" w:fill="auto"/>
            <w:noWrap/>
          </w:tcPr>
          <w:p w:rsidR="00CF78D2" w:rsidRPr="00EF4855" w:rsidRDefault="00CF78D2" w:rsidP="004C39E3">
            <w:pPr>
              <w:spacing w:after="0" w:line="240" w:lineRule="auto"/>
              <w:rPr>
                <w:rFonts w:ascii="Arial Narrow" w:hAnsi="Arial Narrow" w:cs="Arial"/>
                <w:sz w:val="20"/>
                <w:szCs w:val="20"/>
              </w:rPr>
            </w:pPr>
            <w:r w:rsidRPr="00EF4855">
              <w:rPr>
                <w:rFonts w:ascii="Arial Narrow" w:hAnsi="Arial Narrow" w:cs="Arial"/>
                <w:sz w:val="20"/>
                <w:szCs w:val="20"/>
              </w:rPr>
              <w:t>CIB-LC-SA- CURRENT ACCOUNT-LBP (E. RODRIGUEZ AVE.)</w:t>
            </w:r>
          </w:p>
        </w:tc>
        <w:tc>
          <w:tcPr>
            <w:tcW w:w="620" w:type="pct"/>
            <w:tcBorders>
              <w:top w:val="nil"/>
              <w:left w:val="nil"/>
              <w:bottom w:val="nil"/>
              <w:right w:val="nil"/>
            </w:tcBorders>
            <w:shd w:val="clear" w:color="auto" w:fill="auto"/>
            <w:noWrap/>
          </w:tcPr>
          <w:p w:rsidR="00CF78D2" w:rsidRPr="00EF4855" w:rsidRDefault="00CF78D2" w:rsidP="004C39E3">
            <w:pPr>
              <w:spacing w:after="0" w:line="240" w:lineRule="auto"/>
              <w:ind w:right="-105"/>
              <w:rPr>
                <w:rFonts w:ascii="Arial Narrow" w:hAnsi="Arial Narrow" w:cs="Arial"/>
                <w:sz w:val="20"/>
                <w:szCs w:val="20"/>
              </w:rPr>
            </w:pPr>
            <w:r w:rsidRPr="00EF4855">
              <w:rPr>
                <w:rFonts w:ascii="Arial Narrow" w:hAnsi="Arial Narrow" w:cs="Arial"/>
                <w:sz w:val="20"/>
                <w:szCs w:val="20"/>
              </w:rPr>
              <w:t>LBP - 3102-1000-09</w:t>
            </w:r>
          </w:p>
        </w:tc>
        <w:tc>
          <w:tcPr>
            <w:tcW w:w="158" w:type="pct"/>
            <w:tcBorders>
              <w:top w:val="nil"/>
              <w:left w:val="nil"/>
              <w:bottom w:val="nil"/>
              <w:right w:val="nil"/>
            </w:tcBorders>
          </w:tcPr>
          <w:p w:rsidR="00CF78D2" w:rsidRPr="00EF4855" w:rsidRDefault="00CF78D2" w:rsidP="004C39E3">
            <w:pPr>
              <w:spacing w:after="0" w:line="240" w:lineRule="auto"/>
              <w:jc w:val="right"/>
              <w:rPr>
                <w:rFonts w:ascii="Arial Narrow" w:hAnsi="Arial Narrow" w:cs="Arial"/>
                <w:sz w:val="20"/>
                <w:szCs w:val="20"/>
              </w:rPr>
            </w:pPr>
            <w:r w:rsidRPr="00EF4855">
              <w:rPr>
                <w:rFonts w:ascii="Arial Narrow" w:hAnsi="Arial Narrow" w:cs="Arial"/>
                <w:sz w:val="20"/>
                <w:szCs w:val="20"/>
              </w:rPr>
              <w:t>P</w:t>
            </w:r>
          </w:p>
        </w:tc>
        <w:tc>
          <w:tcPr>
            <w:tcW w:w="897" w:type="pct"/>
            <w:tcBorders>
              <w:top w:val="nil"/>
              <w:left w:val="nil"/>
              <w:bottom w:val="nil"/>
              <w:right w:val="nil"/>
            </w:tcBorders>
          </w:tcPr>
          <w:p w:rsidR="00CF78D2" w:rsidRPr="00EF4855" w:rsidRDefault="00CF78D2" w:rsidP="004C39E3">
            <w:pPr>
              <w:spacing w:after="0" w:line="240" w:lineRule="auto"/>
              <w:jc w:val="right"/>
              <w:rPr>
                <w:rFonts w:ascii="Arial Narrow" w:hAnsi="Arial Narrow" w:cs="Arial"/>
                <w:sz w:val="20"/>
                <w:szCs w:val="20"/>
                <w:lang w:val="en-GB"/>
              </w:rPr>
            </w:pPr>
            <w:r w:rsidRPr="00EF4855">
              <w:rPr>
                <w:rFonts w:ascii="Arial Narrow" w:hAnsi="Arial Narrow" w:cs="Arial"/>
                <w:sz w:val="20"/>
                <w:szCs w:val="20"/>
              </w:rPr>
              <w:t>1,974,855,087.69</w:t>
            </w:r>
          </w:p>
        </w:tc>
        <w:tc>
          <w:tcPr>
            <w:tcW w:w="158" w:type="pct"/>
            <w:tcBorders>
              <w:top w:val="nil"/>
              <w:left w:val="nil"/>
              <w:bottom w:val="nil"/>
              <w:right w:val="nil"/>
            </w:tcBorders>
          </w:tcPr>
          <w:p w:rsidR="00CF78D2" w:rsidRPr="00EF4855" w:rsidRDefault="00CF78D2" w:rsidP="004C39E3">
            <w:pPr>
              <w:spacing w:after="0" w:line="240" w:lineRule="auto"/>
              <w:jc w:val="right"/>
              <w:rPr>
                <w:rFonts w:ascii="Arial Narrow" w:hAnsi="Arial Narrow" w:cs="Arial"/>
                <w:sz w:val="20"/>
                <w:szCs w:val="20"/>
              </w:rPr>
            </w:pPr>
            <w:r w:rsidRPr="00EF4855">
              <w:rPr>
                <w:rFonts w:ascii="Arial Narrow" w:hAnsi="Arial Narrow" w:cs="Arial"/>
                <w:sz w:val="20"/>
                <w:szCs w:val="20"/>
              </w:rPr>
              <w:t>P</w:t>
            </w:r>
          </w:p>
        </w:tc>
        <w:tc>
          <w:tcPr>
            <w:tcW w:w="894" w:type="pct"/>
            <w:tcBorders>
              <w:top w:val="nil"/>
              <w:left w:val="nil"/>
              <w:bottom w:val="nil"/>
              <w:right w:val="nil"/>
            </w:tcBorders>
            <w:shd w:val="clear" w:color="auto" w:fill="auto"/>
            <w:noWrap/>
          </w:tcPr>
          <w:p w:rsidR="00CF78D2" w:rsidRPr="00EF4855" w:rsidRDefault="00CF78D2" w:rsidP="004C39E3">
            <w:pPr>
              <w:spacing w:after="0" w:line="240" w:lineRule="auto"/>
              <w:jc w:val="right"/>
              <w:rPr>
                <w:rFonts w:ascii="Arial Narrow" w:hAnsi="Arial Narrow" w:cs="Arial"/>
                <w:sz w:val="20"/>
                <w:szCs w:val="20"/>
                <w:lang w:val="en-GB"/>
              </w:rPr>
            </w:pPr>
            <w:r w:rsidRPr="00EF4855">
              <w:rPr>
                <w:rFonts w:ascii="Arial Narrow" w:hAnsi="Arial Narrow" w:cs="Arial"/>
                <w:sz w:val="20"/>
                <w:szCs w:val="20"/>
              </w:rPr>
              <w:t>1,981,196,994.53</w:t>
            </w:r>
          </w:p>
        </w:tc>
        <w:tc>
          <w:tcPr>
            <w:tcW w:w="214" w:type="pct"/>
            <w:tcBorders>
              <w:top w:val="nil"/>
              <w:left w:val="nil"/>
              <w:bottom w:val="nil"/>
              <w:right w:val="nil"/>
            </w:tcBorders>
          </w:tcPr>
          <w:p w:rsidR="00CF78D2" w:rsidRPr="00EF4855" w:rsidRDefault="00CF78D2" w:rsidP="004C39E3">
            <w:pPr>
              <w:spacing w:after="0" w:line="240" w:lineRule="auto"/>
              <w:jc w:val="right"/>
              <w:rPr>
                <w:rFonts w:ascii="Arial Narrow" w:hAnsi="Arial Narrow" w:cs="Arial"/>
                <w:sz w:val="20"/>
                <w:szCs w:val="20"/>
              </w:rPr>
            </w:pPr>
            <w:r w:rsidRPr="00EF4855">
              <w:rPr>
                <w:rFonts w:ascii="Arial Narrow" w:hAnsi="Arial Narrow" w:cs="Arial"/>
                <w:sz w:val="20"/>
                <w:szCs w:val="20"/>
              </w:rPr>
              <w:t>P</w:t>
            </w:r>
          </w:p>
        </w:tc>
        <w:tc>
          <w:tcPr>
            <w:tcW w:w="779" w:type="pct"/>
            <w:tcBorders>
              <w:top w:val="nil"/>
              <w:left w:val="nil"/>
              <w:bottom w:val="nil"/>
              <w:right w:val="nil"/>
            </w:tcBorders>
          </w:tcPr>
          <w:p w:rsidR="00CF78D2" w:rsidRPr="00EF4855" w:rsidRDefault="00CF78D2" w:rsidP="007F657B">
            <w:pPr>
              <w:spacing w:after="0" w:line="240" w:lineRule="auto"/>
              <w:ind w:right="-57"/>
              <w:jc w:val="right"/>
              <w:rPr>
                <w:rFonts w:ascii="Arial Narrow" w:hAnsi="Arial Narrow" w:cs="Arial"/>
                <w:sz w:val="20"/>
                <w:szCs w:val="20"/>
                <w:lang w:val="en-GB"/>
              </w:rPr>
            </w:pPr>
            <w:r w:rsidRPr="00EF4855">
              <w:rPr>
                <w:rFonts w:ascii="Arial Narrow" w:hAnsi="Arial Narrow" w:cs="Arial"/>
                <w:sz w:val="20"/>
                <w:szCs w:val="20"/>
              </w:rPr>
              <w:t>(6,341,906.84)</w:t>
            </w:r>
          </w:p>
        </w:tc>
      </w:tr>
      <w:tr w:rsidR="00EF4855" w:rsidRPr="00EF4855" w:rsidTr="004F6C55">
        <w:trPr>
          <w:trHeight w:val="475"/>
          <w:jc w:val="center"/>
        </w:trPr>
        <w:tc>
          <w:tcPr>
            <w:tcW w:w="1280" w:type="pct"/>
            <w:tcBorders>
              <w:left w:val="nil"/>
              <w:bottom w:val="nil"/>
              <w:right w:val="nil"/>
            </w:tcBorders>
            <w:shd w:val="clear" w:color="auto" w:fill="auto"/>
            <w:noWrap/>
          </w:tcPr>
          <w:p w:rsidR="00CF78D2" w:rsidRPr="00EF4855" w:rsidRDefault="00CF78D2" w:rsidP="004C39E3">
            <w:pPr>
              <w:spacing w:after="0" w:line="240" w:lineRule="auto"/>
              <w:rPr>
                <w:rFonts w:ascii="Arial Narrow" w:hAnsi="Arial Narrow" w:cs="Arial"/>
                <w:sz w:val="20"/>
                <w:szCs w:val="20"/>
              </w:rPr>
            </w:pPr>
            <w:r w:rsidRPr="00EF4855">
              <w:rPr>
                <w:rFonts w:ascii="Arial Narrow" w:hAnsi="Arial Narrow" w:cs="Arial"/>
                <w:sz w:val="20"/>
                <w:szCs w:val="20"/>
              </w:rPr>
              <w:t>CIB-LC-SA- AGENTS SAVINGS ACCOUNT</w:t>
            </w:r>
          </w:p>
        </w:tc>
        <w:tc>
          <w:tcPr>
            <w:tcW w:w="620" w:type="pct"/>
            <w:tcBorders>
              <w:top w:val="nil"/>
              <w:left w:val="nil"/>
              <w:bottom w:val="nil"/>
              <w:right w:val="nil"/>
            </w:tcBorders>
            <w:shd w:val="clear" w:color="auto" w:fill="auto"/>
            <w:noWrap/>
          </w:tcPr>
          <w:p w:rsidR="00CF78D2" w:rsidRPr="00EF4855" w:rsidRDefault="00CF78D2" w:rsidP="004C39E3">
            <w:pPr>
              <w:spacing w:after="0" w:line="240" w:lineRule="auto"/>
              <w:ind w:right="-105"/>
              <w:rPr>
                <w:rFonts w:ascii="Arial Narrow" w:hAnsi="Arial Narrow" w:cs="Arial"/>
                <w:sz w:val="20"/>
                <w:szCs w:val="20"/>
              </w:rPr>
            </w:pPr>
            <w:r w:rsidRPr="00EF4855">
              <w:rPr>
                <w:rFonts w:ascii="Arial Narrow" w:hAnsi="Arial Narrow" w:cs="Arial"/>
                <w:sz w:val="20"/>
                <w:szCs w:val="20"/>
              </w:rPr>
              <w:t>PNB - 3742-5360-0014</w:t>
            </w:r>
          </w:p>
        </w:tc>
        <w:tc>
          <w:tcPr>
            <w:tcW w:w="158" w:type="pct"/>
            <w:tcBorders>
              <w:top w:val="nil"/>
              <w:left w:val="nil"/>
              <w:bottom w:val="nil"/>
              <w:right w:val="nil"/>
            </w:tcBorders>
          </w:tcPr>
          <w:p w:rsidR="00CF78D2" w:rsidRPr="00EF4855" w:rsidRDefault="00CF78D2" w:rsidP="004C39E3">
            <w:pPr>
              <w:spacing w:after="0" w:line="240" w:lineRule="auto"/>
              <w:jc w:val="right"/>
              <w:rPr>
                <w:rFonts w:ascii="Arial Narrow" w:hAnsi="Arial Narrow" w:cs="Arial"/>
                <w:sz w:val="20"/>
                <w:szCs w:val="20"/>
              </w:rPr>
            </w:pPr>
          </w:p>
        </w:tc>
        <w:tc>
          <w:tcPr>
            <w:tcW w:w="897" w:type="pct"/>
            <w:tcBorders>
              <w:top w:val="nil"/>
              <w:left w:val="nil"/>
              <w:bottom w:val="nil"/>
              <w:right w:val="nil"/>
            </w:tcBorders>
          </w:tcPr>
          <w:p w:rsidR="00CF78D2" w:rsidRPr="00EF4855" w:rsidRDefault="00CF78D2" w:rsidP="004C39E3">
            <w:pPr>
              <w:spacing w:after="0" w:line="240" w:lineRule="auto"/>
              <w:jc w:val="right"/>
              <w:rPr>
                <w:rFonts w:ascii="Arial Narrow" w:hAnsi="Arial Narrow" w:cs="Arial"/>
                <w:sz w:val="20"/>
                <w:szCs w:val="20"/>
              </w:rPr>
            </w:pPr>
            <w:r w:rsidRPr="00EF4855">
              <w:rPr>
                <w:rFonts w:ascii="Arial Narrow" w:hAnsi="Arial Narrow" w:cs="Arial"/>
                <w:sz w:val="20"/>
                <w:szCs w:val="20"/>
              </w:rPr>
              <w:t>31,845.69</w:t>
            </w:r>
          </w:p>
        </w:tc>
        <w:tc>
          <w:tcPr>
            <w:tcW w:w="158" w:type="pct"/>
            <w:tcBorders>
              <w:top w:val="nil"/>
              <w:left w:val="nil"/>
              <w:bottom w:val="nil"/>
              <w:right w:val="nil"/>
            </w:tcBorders>
          </w:tcPr>
          <w:p w:rsidR="00CF78D2" w:rsidRPr="00EF4855" w:rsidRDefault="00CF78D2" w:rsidP="004C39E3">
            <w:pPr>
              <w:spacing w:after="0" w:line="240" w:lineRule="auto"/>
              <w:jc w:val="right"/>
              <w:rPr>
                <w:rFonts w:ascii="Arial Narrow" w:hAnsi="Arial Narrow" w:cs="Arial"/>
                <w:sz w:val="20"/>
                <w:szCs w:val="20"/>
              </w:rPr>
            </w:pPr>
          </w:p>
        </w:tc>
        <w:tc>
          <w:tcPr>
            <w:tcW w:w="894" w:type="pct"/>
            <w:tcBorders>
              <w:top w:val="nil"/>
              <w:left w:val="nil"/>
              <w:bottom w:val="nil"/>
              <w:right w:val="nil"/>
            </w:tcBorders>
            <w:shd w:val="clear" w:color="auto" w:fill="auto"/>
            <w:noWrap/>
          </w:tcPr>
          <w:p w:rsidR="00CF78D2" w:rsidRPr="00EF4855" w:rsidRDefault="00CF78D2" w:rsidP="004C39E3">
            <w:pPr>
              <w:spacing w:after="0" w:line="240" w:lineRule="auto"/>
              <w:jc w:val="right"/>
              <w:rPr>
                <w:rFonts w:ascii="Arial Narrow" w:hAnsi="Arial Narrow" w:cs="Arial"/>
                <w:sz w:val="20"/>
                <w:szCs w:val="20"/>
              </w:rPr>
            </w:pPr>
            <w:r w:rsidRPr="00EF4855">
              <w:rPr>
                <w:rFonts w:ascii="Arial Narrow" w:hAnsi="Arial Narrow" w:cs="Arial"/>
                <w:sz w:val="20"/>
                <w:szCs w:val="20"/>
              </w:rPr>
              <w:t>1,987,807.88</w:t>
            </w:r>
          </w:p>
        </w:tc>
        <w:tc>
          <w:tcPr>
            <w:tcW w:w="214" w:type="pct"/>
            <w:tcBorders>
              <w:top w:val="nil"/>
              <w:left w:val="nil"/>
              <w:bottom w:val="nil"/>
              <w:right w:val="nil"/>
            </w:tcBorders>
          </w:tcPr>
          <w:p w:rsidR="00CF78D2" w:rsidRPr="00EF4855" w:rsidRDefault="00CF78D2" w:rsidP="004C39E3">
            <w:pPr>
              <w:spacing w:after="0" w:line="240" w:lineRule="auto"/>
              <w:jc w:val="right"/>
              <w:rPr>
                <w:rFonts w:ascii="Arial Narrow" w:hAnsi="Arial Narrow" w:cs="Arial"/>
                <w:sz w:val="20"/>
                <w:szCs w:val="20"/>
              </w:rPr>
            </w:pPr>
          </w:p>
        </w:tc>
        <w:tc>
          <w:tcPr>
            <w:tcW w:w="779" w:type="pct"/>
            <w:tcBorders>
              <w:top w:val="nil"/>
              <w:left w:val="nil"/>
              <w:bottom w:val="nil"/>
              <w:right w:val="nil"/>
            </w:tcBorders>
          </w:tcPr>
          <w:p w:rsidR="00CF78D2" w:rsidRPr="00EF4855" w:rsidRDefault="00CF78D2" w:rsidP="007F657B">
            <w:pPr>
              <w:spacing w:after="0" w:line="240" w:lineRule="auto"/>
              <w:ind w:right="-57"/>
              <w:jc w:val="right"/>
              <w:rPr>
                <w:rFonts w:ascii="Arial Narrow" w:hAnsi="Arial Narrow" w:cs="Arial"/>
                <w:sz w:val="20"/>
                <w:szCs w:val="20"/>
              </w:rPr>
            </w:pPr>
            <w:r w:rsidRPr="00EF4855">
              <w:rPr>
                <w:rFonts w:ascii="Arial Narrow" w:hAnsi="Arial Narrow" w:cs="Arial"/>
                <w:sz w:val="20"/>
                <w:szCs w:val="20"/>
              </w:rPr>
              <w:t>(1,955,962.19)</w:t>
            </w:r>
          </w:p>
        </w:tc>
      </w:tr>
      <w:tr w:rsidR="00EF4855" w:rsidRPr="00EF4855" w:rsidTr="004F6C55">
        <w:trPr>
          <w:trHeight w:val="270"/>
          <w:jc w:val="center"/>
        </w:trPr>
        <w:tc>
          <w:tcPr>
            <w:tcW w:w="1280" w:type="pct"/>
            <w:tcBorders>
              <w:top w:val="nil"/>
              <w:left w:val="nil"/>
              <w:bottom w:val="nil"/>
              <w:right w:val="nil"/>
            </w:tcBorders>
            <w:shd w:val="clear" w:color="auto" w:fill="auto"/>
            <w:noWrap/>
            <w:vAlign w:val="center"/>
          </w:tcPr>
          <w:p w:rsidR="00CF78D2" w:rsidRPr="00EF4855" w:rsidRDefault="00CF78D2" w:rsidP="004F6C55">
            <w:pPr>
              <w:spacing w:after="0" w:line="240" w:lineRule="auto"/>
              <w:rPr>
                <w:rFonts w:ascii="Arial Narrow" w:hAnsi="Arial Narrow" w:cs="Arial"/>
                <w:b/>
                <w:sz w:val="20"/>
                <w:szCs w:val="20"/>
                <w:u w:val="single"/>
              </w:rPr>
            </w:pPr>
            <w:r w:rsidRPr="00EF4855">
              <w:rPr>
                <w:rFonts w:ascii="Arial Narrow" w:hAnsi="Arial Narrow" w:cs="Arial"/>
                <w:b/>
                <w:sz w:val="20"/>
                <w:szCs w:val="20"/>
                <w:u w:val="single"/>
              </w:rPr>
              <w:t>Operating Fund</w:t>
            </w:r>
          </w:p>
        </w:tc>
        <w:tc>
          <w:tcPr>
            <w:tcW w:w="620" w:type="pct"/>
            <w:tcBorders>
              <w:top w:val="nil"/>
              <w:left w:val="nil"/>
              <w:bottom w:val="nil"/>
              <w:right w:val="nil"/>
            </w:tcBorders>
            <w:shd w:val="clear" w:color="auto" w:fill="auto"/>
            <w:noWrap/>
          </w:tcPr>
          <w:p w:rsidR="00CF78D2" w:rsidRPr="00EF4855" w:rsidRDefault="00CF78D2" w:rsidP="004C39E3">
            <w:pPr>
              <w:pStyle w:val="ListParagraph"/>
              <w:ind w:left="360" w:right="-105"/>
              <w:rPr>
                <w:rFonts w:ascii="Arial Narrow" w:hAnsi="Arial Narrow" w:cs="Arial"/>
                <w:sz w:val="20"/>
                <w:szCs w:val="20"/>
              </w:rPr>
            </w:pPr>
          </w:p>
        </w:tc>
        <w:tc>
          <w:tcPr>
            <w:tcW w:w="158" w:type="pct"/>
            <w:tcBorders>
              <w:top w:val="nil"/>
              <w:left w:val="nil"/>
              <w:bottom w:val="nil"/>
              <w:right w:val="nil"/>
            </w:tcBorders>
          </w:tcPr>
          <w:p w:rsidR="00CF78D2" w:rsidRPr="00EF4855" w:rsidRDefault="00CF78D2" w:rsidP="004C39E3">
            <w:pPr>
              <w:spacing w:after="0" w:line="240" w:lineRule="auto"/>
              <w:jc w:val="right"/>
              <w:rPr>
                <w:rFonts w:ascii="Arial Narrow" w:hAnsi="Arial Narrow" w:cs="Arial"/>
                <w:sz w:val="20"/>
                <w:szCs w:val="20"/>
              </w:rPr>
            </w:pPr>
          </w:p>
        </w:tc>
        <w:tc>
          <w:tcPr>
            <w:tcW w:w="897" w:type="pct"/>
            <w:tcBorders>
              <w:top w:val="nil"/>
              <w:left w:val="nil"/>
              <w:bottom w:val="nil"/>
              <w:right w:val="nil"/>
            </w:tcBorders>
          </w:tcPr>
          <w:p w:rsidR="00CF78D2" w:rsidRPr="00EF4855" w:rsidRDefault="00CF78D2" w:rsidP="004C39E3">
            <w:pPr>
              <w:spacing w:after="0" w:line="240" w:lineRule="auto"/>
              <w:jc w:val="right"/>
              <w:rPr>
                <w:rFonts w:ascii="Arial Narrow" w:hAnsi="Arial Narrow" w:cs="Arial"/>
                <w:sz w:val="20"/>
                <w:szCs w:val="20"/>
              </w:rPr>
            </w:pPr>
          </w:p>
        </w:tc>
        <w:tc>
          <w:tcPr>
            <w:tcW w:w="158" w:type="pct"/>
            <w:tcBorders>
              <w:top w:val="nil"/>
              <w:left w:val="nil"/>
              <w:bottom w:val="nil"/>
              <w:right w:val="nil"/>
            </w:tcBorders>
          </w:tcPr>
          <w:p w:rsidR="00CF78D2" w:rsidRPr="00EF4855" w:rsidRDefault="00CF78D2" w:rsidP="004C39E3">
            <w:pPr>
              <w:spacing w:after="0" w:line="240" w:lineRule="auto"/>
              <w:jc w:val="right"/>
              <w:rPr>
                <w:rFonts w:ascii="Arial Narrow" w:hAnsi="Arial Narrow" w:cs="Arial"/>
                <w:sz w:val="20"/>
                <w:szCs w:val="20"/>
              </w:rPr>
            </w:pPr>
          </w:p>
        </w:tc>
        <w:tc>
          <w:tcPr>
            <w:tcW w:w="894" w:type="pct"/>
            <w:tcBorders>
              <w:top w:val="nil"/>
              <w:left w:val="nil"/>
              <w:bottom w:val="nil"/>
              <w:right w:val="nil"/>
            </w:tcBorders>
            <w:shd w:val="clear" w:color="auto" w:fill="auto"/>
            <w:noWrap/>
          </w:tcPr>
          <w:p w:rsidR="00CF78D2" w:rsidRPr="00EF4855" w:rsidRDefault="00CF78D2" w:rsidP="004C39E3">
            <w:pPr>
              <w:pStyle w:val="ListParagraph"/>
              <w:ind w:left="360"/>
              <w:jc w:val="right"/>
              <w:rPr>
                <w:rFonts w:ascii="Arial Narrow" w:hAnsi="Arial Narrow" w:cs="Arial"/>
                <w:sz w:val="20"/>
                <w:szCs w:val="20"/>
              </w:rPr>
            </w:pPr>
          </w:p>
        </w:tc>
        <w:tc>
          <w:tcPr>
            <w:tcW w:w="214" w:type="pct"/>
            <w:tcBorders>
              <w:top w:val="nil"/>
              <w:left w:val="nil"/>
              <w:bottom w:val="nil"/>
              <w:right w:val="nil"/>
            </w:tcBorders>
          </w:tcPr>
          <w:p w:rsidR="00CF78D2" w:rsidRPr="00EF4855" w:rsidRDefault="00CF78D2" w:rsidP="004C39E3">
            <w:pPr>
              <w:spacing w:after="0" w:line="240" w:lineRule="auto"/>
              <w:jc w:val="right"/>
              <w:rPr>
                <w:rFonts w:ascii="Arial Narrow" w:hAnsi="Arial Narrow" w:cs="Arial"/>
                <w:sz w:val="20"/>
                <w:szCs w:val="20"/>
              </w:rPr>
            </w:pPr>
          </w:p>
        </w:tc>
        <w:tc>
          <w:tcPr>
            <w:tcW w:w="779" w:type="pct"/>
            <w:tcBorders>
              <w:top w:val="nil"/>
              <w:left w:val="nil"/>
              <w:bottom w:val="nil"/>
              <w:right w:val="nil"/>
            </w:tcBorders>
          </w:tcPr>
          <w:p w:rsidR="00CF78D2" w:rsidRPr="00EF4855" w:rsidRDefault="00CF78D2" w:rsidP="007F657B">
            <w:pPr>
              <w:pStyle w:val="ListParagraph"/>
              <w:ind w:left="360" w:right="-57"/>
              <w:jc w:val="right"/>
              <w:rPr>
                <w:rFonts w:ascii="Arial Narrow" w:hAnsi="Arial Narrow" w:cs="Arial"/>
                <w:sz w:val="20"/>
                <w:szCs w:val="20"/>
              </w:rPr>
            </w:pPr>
          </w:p>
        </w:tc>
      </w:tr>
      <w:tr w:rsidR="00EF4855" w:rsidRPr="00EF4855" w:rsidTr="007F657B">
        <w:trPr>
          <w:trHeight w:val="585"/>
          <w:jc w:val="center"/>
        </w:trPr>
        <w:tc>
          <w:tcPr>
            <w:tcW w:w="1280" w:type="pct"/>
            <w:tcBorders>
              <w:top w:val="nil"/>
              <w:left w:val="nil"/>
              <w:right w:val="nil"/>
            </w:tcBorders>
            <w:shd w:val="clear" w:color="auto" w:fill="auto"/>
            <w:noWrap/>
          </w:tcPr>
          <w:p w:rsidR="00CF78D2" w:rsidRPr="00EF4855" w:rsidRDefault="00CF78D2" w:rsidP="004C39E3">
            <w:pPr>
              <w:spacing w:after="0" w:line="240" w:lineRule="auto"/>
              <w:rPr>
                <w:rFonts w:ascii="Arial Narrow" w:hAnsi="Arial Narrow" w:cs="Arial"/>
                <w:sz w:val="20"/>
                <w:szCs w:val="20"/>
              </w:rPr>
            </w:pPr>
            <w:r w:rsidRPr="00EF4855">
              <w:rPr>
                <w:rFonts w:ascii="Arial Narrow" w:hAnsi="Arial Narrow" w:cs="Arial"/>
                <w:sz w:val="20"/>
                <w:szCs w:val="20"/>
              </w:rPr>
              <w:t>CIB-LC-CA- OPERATING FUND-LBP (E. RODRIGUEZ AVE.)</w:t>
            </w:r>
          </w:p>
        </w:tc>
        <w:tc>
          <w:tcPr>
            <w:tcW w:w="620" w:type="pct"/>
            <w:tcBorders>
              <w:top w:val="nil"/>
              <w:left w:val="nil"/>
              <w:right w:val="nil"/>
            </w:tcBorders>
            <w:shd w:val="clear" w:color="auto" w:fill="auto"/>
            <w:noWrap/>
          </w:tcPr>
          <w:p w:rsidR="00CF78D2" w:rsidRPr="00EF4855" w:rsidRDefault="00CF78D2" w:rsidP="004C39E3">
            <w:pPr>
              <w:spacing w:after="0" w:line="240" w:lineRule="auto"/>
              <w:ind w:right="-105"/>
              <w:rPr>
                <w:rFonts w:ascii="Arial Narrow" w:hAnsi="Arial Narrow" w:cs="Arial"/>
                <w:sz w:val="20"/>
                <w:szCs w:val="20"/>
              </w:rPr>
            </w:pPr>
            <w:r w:rsidRPr="00EF4855">
              <w:rPr>
                <w:rFonts w:ascii="Arial Narrow" w:hAnsi="Arial Narrow" w:cs="Arial"/>
                <w:sz w:val="20"/>
                <w:szCs w:val="20"/>
              </w:rPr>
              <w:t>LBP - 3102-1000-33</w:t>
            </w:r>
          </w:p>
        </w:tc>
        <w:tc>
          <w:tcPr>
            <w:tcW w:w="158" w:type="pct"/>
            <w:tcBorders>
              <w:top w:val="nil"/>
              <w:left w:val="nil"/>
              <w:right w:val="nil"/>
            </w:tcBorders>
          </w:tcPr>
          <w:p w:rsidR="00CF78D2" w:rsidRPr="00EF4855" w:rsidRDefault="00CF78D2" w:rsidP="004C39E3">
            <w:pPr>
              <w:spacing w:after="0" w:line="240" w:lineRule="auto"/>
              <w:jc w:val="right"/>
              <w:rPr>
                <w:rFonts w:ascii="Arial Narrow" w:hAnsi="Arial Narrow" w:cs="Arial"/>
                <w:sz w:val="20"/>
                <w:szCs w:val="20"/>
              </w:rPr>
            </w:pPr>
          </w:p>
        </w:tc>
        <w:tc>
          <w:tcPr>
            <w:tcW w:w="897" w:type="pct"/>
            <w:tcBorders>
              <w:top w:val="nil"/>
              <w:left w:val="nil"/>
              <w:right w:val="nil"/>
            </w:tcBorders>
          </w:tcPr>
          <w:p w:rsidR="00CF78D2" w:rsidRPr="00EF4855" w:rsidRDefault="00CF78D2" w:rsidP="004C39E3">
            <w:pPr>
              <w:spacing w:after="0" w:line="240" w:lineRule="auto"/>
              <w:jc w:val="right"/>
              <w:rPr>
                <w:rFonts w:ascii="Arial Narrow" w:hAnsi="Arial Narrow" w:cs="Arial"/>
                <w:sz w:val="20"/>
                <w:szCs w:val="20"/>
              </w:rPr>
            </w:pPr>
            <w:r w:rsidRPr="00EF4855">
              <w:rPr>
                <w:rFonts w:ascii="Arial Narrow" w:hAnsi="Arial Narrow" w:cs="Arial"/>
                <w:sz w:val="20"/>
                <w:szCs w:val="20"/>
              </w:rPr>
              <w:t>339,098,019.19</w:t>
            </w:r>
          </w:p>
        </w:tc>
        <w:tc>
          <w:tcPr>
            <w:tcW w:w="158" w:type="pct"/>
            <w:tcBorders>
              <w:top w:val="nil"/>
              <w:left w:val="nil"/>
              <w:right w:val="nil"/>
            </w:tcBorders>
          </w:tcPr>
          <w:p w:rsidR="00CF78D2" w:rsidRPr="00EF4855" w:rsidRDefault="00CF78D2" w:rsidP="004C39E3">
            <w:pPr>
              <w:spacing w:after="0" w:line="240" w:lineRule="auto"/>
              <w:jc w:val="right"/>
              <w:rPr>
                <w:rFonts w:ascii="Arial Narrow" w:hAnsi="Arial Narrow" w:cs="Arial"/>
                <w:sz w:val="20"/>
                <w:szCs w:val="20"/>
              </w:rPr>
            </w:pPr>
          </w:p>
        </w:tc>
        <w:tc>
          <w:tcPr>
            <w:tcW w:w="894" w:type="pct"/>
            <w:tcBorders>
              <w:top w:val="nil"/>
              <w:left w:val="nil"/>
              <w:right w:val="nil"/>
            </w:tcBorders>
            <w:shd w:val="clear" w:color="auto" w:fill="auto"/>
            <w:noWrap/>
          </w:tcPr>
          <w:p w:rsidR="00CF78D2" w:rsidRPr="00EF4855" w:rsidRDefault="00CF78D2" w:rsidP="004C39E3">
            <w:pPr>
              <w:spacing w:after="0" w:line="240" w:lineRule="auto"/>
              <w:jc w:val="right"/>
              <w:rPr>
                <w:rFonts w:ascii="Arial Narrow" w:hAnsi="Arial Narrow" w:cs="Arial"/>
                <w:sz w:val="20"/>
                <w:szCs w:val="20"/>
              </w:rPr>
            </w:pPr>
            <w:r w:rsidRPr="00EF4855">
              <w:rPr>
                <w:rFonts w:ascii="Arial Narrow" w:hAnsi="Arial Narrow" w:cs="Arial"/>
                <w:sz w:val="20"/>
                <w:szCs w:val="20"/>
              </w:rPr>
              <w:t>333,658,156.69</w:t>
            </w:r>
          </w:p>
        </w:tc>
        <w:tc>
          <w:tcPr>
            <w:tcW w:w="214" w:type="pct"/>
            <w:tcBorders>
              <w:top w:val="nil"/>
              <w:left w:val="nil"/>
              <w:right w:val="nil"/>
            </w:tcBorders>
          </w:tcPr>
          <w:p w:rsidR="00CF78D2" w:rsidRPr="00EF4855" w:rsidRDefault="00CF78D2" w:rsidP="004C39E3">
            <w:pPr>
              <w:spacing w:after="0" w:line="240" w:lineRule="auto"/>
              <w:jc w:val="right"/>
              <w:rPr>
                <w:rFonts w:ascii="Arial Narrow" w:hAnsi="Arial Narrow" w:cs="Arial"/>
                <w:sz w:val="20"/>
                <w:szCs w:val="20"/>
              </w:rPr>
            </w:pPr>
          </w:p>
        </w:tc>
        <w:tc>
          <w:tcPr>
            <w:tcW w:w="779" w:type="pct"/>
            <w:tcBorders>
              <w:top w:val="nil"/>
              <w:left w:val="nil"/>
              <w:right w:val="nil"/>
            </w:tcBorders>
          </w:tcPr>
          <w:p w:rsidR="00CF78D2" w:rsidRPr="00EF4855" w:rsidRDefault="00CF78D2" w:rsidP="007F657B">
            <w:pPr>
              <w:spacing w:after="0" w:line="240" w:lineRule="auto"/>
              <w:ind w:right="-57"/>
              <w:jc w:val="right"/>
              <w:rPr>
                <w:rFonts w:ascii="Arial Narrow" w:hAnsi="Arial Narrow" w:cs="Arial"/>
                <w:sz w:val="20"/>
                <w:szCs w:val="20"/>
              </w:rPr>
            </w:pPr>
            <w:r w:rsidRPr="00EF4855">
              <w:rPr>
                <w:rFonts w:ascii="Arial Narrow" w:hAnsi="Arial Narrow" w:cs="Arial"/>
                <w:sz w:val="20"/>
                <w:szCs w:val="20"/>
              </w:rPr>
              <w:t>5,439,862.50</w:t>
            </w:r>
          </w:p>
        </w:tc>
      </w:tr>
      <w:tr w:rsidR="00EF4855" w:rsidRPr="00EF4855" w:rsidTr="007F657B">
        <w:trPr>
          <w:trHeight w:val="576"/>
          <w:jc w:val="center"/>
        </w:trPr>
        <w:tc>
          <w:tcPr>
            <w:tcW w:w="1280" w:type="pct"/>
            <w:tcBorders>
              <w:top w:val="nil"/>
              <w:left w:val="nil"/>
              <w:bottom w:val="single" w:sz="4" w:space="0" w:color="auto"/>
              <w:right w:val="nil"/>
            </w:tcBorders>
            <w:shd w:val="clear" w:color="auto" w:fill="auto"/>
            <w:noWrap/>
          </w:tcPr>
          <w:p w:rsidR="00CF78D2" w:rsidRPr="00EF4855" w:rsidRDefault="00CF78D2" w:rsidP="004C39E3">
            <w:pPr>
              <w:spacing w:after="0" w:line="240" w:lineRule="auto"/>
              <w:rPr>
                <w:rFonts w:ascii="Arial Narrow" w:hAnsi="Arial Narrow" w:cs="Arial"/>
                <w:sz w:val="20"/>
                <w:szCs w:val="20"/>
              </w:rPr>
            </w:pPr>
            <w:r w:rsidRPr="00EF4855">
              <w:rPr>
                <w:rFonts w:ascii="Arial Narrow" w:hAnsi="Arial Narrow" w:cs="Arial"/>
                <w:sz w:val="20"/>
                <w:szCs w:val="20"/>
              </w:rPr>
              <w:t>CIB-LC-CA-OPERATING FUND(LBP)-STL REMITTANCES</w:t>
            </w:r>
          </w:p>
        </w:tc>
        <w:tc>
          <w:tcPr>
            <w:tcW w:w="620" w:type="pct"/>
            <w:tcBorders>
              <w:top w:val="nil"/>
              <w:left w:val="nil"/>
              <w:bottom w:val="single" w:sz="4" w:space="0" w:color="auto"/>
              <w:right w:val="nil"/>
            </w:tcBorders>
            <w:shd w:val="clear" w:color="auto" w:fill="auto"/>
            <w:noWrap/>
          </w:tcPr>
          <w:p w:rsidR="00CF78D2" w:rsidRPr="00EF4855" w:rsidRDefault="00CF78D2" w:rsidP="004C39E3">
            <w:pPr>
              <w:spacing w:after="0" w:line="240" w:lineRule="auto"/>
              <w:ind w:right="-105"/>
              <w:rPr>
                <w:rFonts w:ascii="Arial Narrow" w:hAnsi="Arial Narrow" w:cs="Arial"/>
                <w:sz w:val="20"/>
                <w:szCs w:val="20"/>
              </w:rPr>
            </w:pPr>
            <w:r w:rsidRPr="00EF4855">
              <w:rPr>
                <w:rFonts w:ascii="Arial Narrow" w:hAnsi="Arial Narrow" w:cs="Arial"/>
                <w:sz w:val="20"/>
                <w:szCs w:val="20"/>
              </w:rPr>
              <w:t>LBP  - 3102-1005-64</w:t>
            </w:r>
          </w:p>
        </w:tc>
        <w:tc>
          <w:tcPr>
            <w:tcW w:w="158" w:type="pct"/>
            <w:tcBorders>
              <w:top w:val="nil"/>
              <w:left w:val="nil"/>
              <w:bottom w:val="single" w:sz="4" w:space="0" w:color="auto"/>
              <w:right w:val="nil"/>
            </w:tcBorders>
          </w:tcPr>
          <w:p w:rsidR="00CF78D2" w:rsidRPr="00EF4855" w:rsidRDefault="00CF78D2" w:rsidP="004C39E3">
            <w:pPr>
              <w:spacing w:after="0" w:line="240" w:lineRule="auto"/>
              <w:jc w:val="right"/>
              <w:rPr>
                <w:rFonts w:ascii="Arial Narrow" w:hAnsi="Arial Narrow" w:cs="Arial"/>
                <w:sz w:val="20"/>
                <w:szCs w:val="20"/>
              </w:rPr>
            </w:pPr>
          </w:p>
        </w:tc>
        <w:tc>
          <w:tcPr>
            <w:tcW w:w="897" w:type="pct"/>
            <w:tcBorders>
              <w:top w:val="nil"/>
              <w:left w:val="nil"/>
              <w:bottom w:val="single" w:sz="4" w:space="0" w:color="auto"/>
              <w:right w:val="nil"/>
            </w:tcBorders>
          </w:tcPr>
          <w:p w:rsidR="00CF78D2" w:rsidRPr="00EF4855" w:rsidRDefault="00CF78D2" w:rsidP="004C39E3">
            <w:pPr>
              <w:spacing w:after="0" w:line="240" w:lineRule="auto"/>
              <w:jc w:val="right"/>
              <w:rPr>
                <w:rFonts w:ascii="Arial Narrow" w:hAnsi="Arial Narrow" w:cs="Arial"/>
                <w:sz w:val="20"/>
                <w:szCs w:val="20"/>
              </w:rPr>
            </w:pPr>
            <w:r w:rsidRPr="00EF4855">
              <w:rPr>
                <w:rFonts w:ascii="Arial Narrow" w:hAnsi="Arial Narrow" w:cs="Arial"/>
                <w:sz w:val="20"/>
                <w:szCs w:val="20"/>
              </w:rPr>
              <w:t>72,004,628.80</w:t>
            </w:r>
          </w:p>
        </w:tc>
        <w:tc>
          <w:tcPr>
            <w:tcW w:w="158" w:type="pct"/>
            <w:tcBorders>
              <w:top w:val="nil"/>
              <w:left w:val="nil"/>
              <w:bottom w:val="single" w:sz="4" w:space="0" w:color="auto"/>
              <w:right w:val="nil"/>
            </w:tcBorders>
          </w:tcPr>
          <w:p w:rsidR="00CF78D2" w:rsidRPr="00EF4855" w:rsidRDefault="00CF78D2" w:rsidP="004C39E3">
            <w:pPr>
              <w:spacing w:after="0" w:line="240" w:lineRule="auto"/>
              <w:jc w:val="right"/>
              <w:rPr>
                <w:rFonts w:ascii="Arial Narrow" w:hAnsi="Arial Narrow" w:cs="Arial"/>
                <w:sz w:val="20"/>
                <w:szCs w:val="20"/>
              </w:rPr>
            </w:pPr>
          </w:p>
        </w:tc>
        <w:tc>
          <w:tcPr>
            <w:tcW w:w="894" w:type="pct"/>
            <w:tcBorders>
              <w:top w:val="nil"/>
              <w:left w:val="nil"/>
              <w:bottom w:val="single" w:sz="4" w:space="0" w:color="auto"/>
              <w:right w:val="nil"/>
            </w:tcBorders>
            <w:shd w:val="clear" w:color="auto" w:fill="auto"/>
            <w:noWrap/>
          </w:tcPr>
          <w:p w:rsidR="00CF78D2" w:rsidRPr="00EF4855" w:rsidRDefault="00CF78D2" w:rsidP="004C39E3">
            <w:pPr>
              <w:spacing w:after="0" w:line="240" w:lineRule="auto"/>
              <w:jc w:val="right"/>
              <w:rPr>
                <w:rFonts w:ascii="Arial Narrow" w:hAnsi="Arial Narrow" w:cs="Arial"/>
                <w:sz w:val="20"/>
                <w:szCs w:val="20"/>
              </w:rPr>
            </w:pPr>
            <w:r w:rsidRPr="00EF4855">
              <w:rPr>
                <w:rFonts w:ascii="Arial Narrow" w:hAnsi="Arial Narrow" w:cs="Arial"/>
                <w:sz w:val="20"/>
                <w:szCs w:val="20"/>
              </w:rPr>
              <w:t>57,264,829.95</w:t>
            </w:r>
          </w:p>
        </w:tc>
        <w:tc>
          <w:tcPr>
            <w:tcW w:w="214" w:type="pct"/>
            <w:tcBorders>
              <w:top w:val="nil"/>
              <w:left w:val="nil"/>
              <w:bottom w:val="single" w:sz="4" w:space="0" w:color="auto"/>
              <w:right w:val="nil"/>
            </w:tcBorders>
          </w:tcPr>
          <w:p w:rsidR="00CF78D2" w:rsidRPr="00EF4855" w:rsidRDefault="00CF78D2" w:rsidP="004C39E3">
            <w:pPr>
              <w:spacing w:after="0" w:line="240" w:lineRule="auto"/>
              <w:jc w:val="right"/>
              <w:rPr>
                <w:rFonts w:ascii="Arial Narrow" w:hAnsi="Arial Narrow" w:cs="Arial"/>
                <w:sz w:val="20"/>
                <w:szCs w:val="20"/>
              </w:rPr>
            </w:pPr>
          </w:p>
        </w:tc>
        <w:tc>
          <w:tcPr>
            <w:tcW w:w="779" w:type="pct"/>
            <w:tcBorders>
              <w:top w:val="nil"/>
              <w:left w:val="nil"/>
              <w:bottom w:val="single" w:sz="4" w:space="0" w:color="auto"/>
              <w:right w:val="nil"/>
            </w:tcBorders>
          </w:tcPr>
          <w:p w:rsidR="00CF78D2" w:rsidRPr="00EF4855" w:rsidRDefault="00CF78D2" w:rsidP="007F657B">
            <w:pPr>
              <w:spacing w:after="0" w:line="240" w:lineRule="auto"/>
              <w:ind w:right="-57"/>
              <w:jc w:val="right"/>
              <w:rPr>
                <w:rFonts w:ascii="Arial Narrow" w:hAnsi="Arial Narrow" w:cs="Arial"/>
                <w:sz w:val="20"/>
                <w:szCs w:val="20"/>
              </w:rPr>
            </w:pPr>
            <w:r w:rsidRPr="00EF4855">
              <w:rPr>
                <w:rFonts w:ascii="Arial Narrow" w:hAnsi="Arial Narrow" w:cs="Arial"/>
                <w:sz w:val="20"/>
                <w:szCs w:val="20"/>
              </w:rPr>
              <w:t>14,739,798.85</w:t>
            </w:r>
          </w:p>
        </w:tc>
      </w:tr>
      <w:tr w:rsidR="00EF4855" w:rsidRPr="00EF4855" w:rsidTr="007E7778">
        <w:trPr>
          <w:trHeight w:val="224"/>
          <w:jc w:val="center"/>
        </w:trPr>
        <w:tc>
          <w:tcPr>
            <w:tcW w:w="1280" w:type="pct"/>
            <w:tcBorders>
              <w:top w:val="single" w:sz="4" w:space="0" w:color="auto"/>
              <w:left w:val="nil"/>
              <w:bottom w:val="double" w:sz="6" w:space="0" w:color="auto"/>
              <w:right w:val="nil"/>
            </w:tcBorders>
            <w:shd w:val="clear" w:color="auto" w:fill="auto"/>
            <w:noWrap/>
            <w:vAlign w:val="center"/>
            <w:hideMark/>
          </w:tcPr>
          <w:p w:rsidR="00CF78D2" w:rsidRPr="00997013" w:rsidRDefault="00CF78D2" w:rsidP="00997013">
            <w:pPr>
              <w:pStyle w:val="ListParagraph"/>
              <w:ind w:left="34" w:hanging="90"/>
              <w:rPr>
                <w:rFonts w:ascii="Arial Narrow" w:hAnsi="Arial Narrow" w:cs="Arial"/>
                <w:b/>
                <w:bCs/>
                <w:sz w:val="20"/>
                <w:szCs w:val="20"/>
              </w:rPr>
            </w:pPr>
            <w:r w:rsidRPr="00997013">
              <w:rPr>
                <w:rFonts w:ascii="Arial Narrow" w:hAnsi="Arial Narrow" w:cs="Arial"/>
                <w:b/>
                <w:bCs/>
                <w:sz w:val="20"/>
                <w:szCs w:val="20"/>
              </w:rPr>
              <w:t>TOTAL</w:t>
            </w:r>
          </w:p>
        </w:tc>
        <w:tc>
          <w:tcPr>
            <w:tcW w:w="620" w:type="pct"/>
            <w:tcBorders>
              <w:top w:val="single" w:sz="4" w:space="0" w:color="auto"/>
              <w:left w:val="nil"/>
              <w:bottom w:val="double" w:sz="6" w:space="0" w:color="auto"/>
              <w:right w:val="nil"/>
            </w:tcBorders>
            <w:shd w:val="clear" w:color="auto" w:fill="auto"/>
            <w:noWrap/>
            <w:vAlign w:val="center"/>
            <w:hideMark/>
          </w:tcPr>
          <w:p w:rsidR="00CF78D2" w:rsidRPr="00EF4855" w:rsidRDefault="00CF78D2">
            <w:pPr>
              <w:pStyle w:val="ListParagraph"/>
              <w:ind w:left="360"/>
              <w:rPr>
                <w:rFonts w:ascii="Arial Narrow" w:hAnsi="Arial Narrow" w:cs="Arial"/>
                <w:b/>
                <w:bCs/>
                <w:sz w:val="20"/>
                <w:szCs w:val="20"/>
              </w:rPr>
            </w:pPr>
          </w:p>
        </w:tc>
        <w:tc>
          <w:tcPr>
            <w:tcW w:w="158" w:type="pct"/>
            <w:tcBorders>
              <w:top w:val="single" w:sz="4" w:space="0" w:color="auto"/>
              <w:left w:val="nil"/>
              <w:bottom w:val="double" w:sz="6" w:space="0" w:color="auto"/>
              <w:right w:val="nil"/>
            </w:tcBorders>
            <w:vAlign w:val="center"/>
          </w:tcPr>
          <w:p w:rsidR="00CF78D2" w:rsidRPr="00EF4855" w:rsidRDefault="00CF78D2" w:rsidP="004F6C55">
            <w:pPr>
              <w:spacing w:after="0" w:line="240" w:lineRule="auto"/>
              <w:rPr>
                <w:rFonts w:ascii="Arial Narrow" w:hAnsi="Arial Narrow" w:cs="Arial"/>
                <w:b/>
                <w:bCs/>
                <w:sz w:val="20"/>
                <w:szCs w:val="20"/>
              </w:rPr>
            </w:pPr>
            <w:r w:rsidRPr="00EF4855">
              <w:rPr>
                <w:rFonts w:ascii="Arial Narrow" w:hAnsi="Arial Narrow" w:cs="Arial"/>
                <w:b/>
                <w:bCs/>
                <w:sz w:val="20"/>
                <w:szCs w:val="20"/>
              </w:rPr>
              <w:t>P</w:t>
            </w:r>
          </w:p>
        </w:tc>
        <w:tc>
          <w:tcPr>
            <w:tcW w:w="897" w:type="pct"/>
            <w:tcBorders>
              <w:top w:val="single" w:sz="4" w:space="0" w:color="auto"/>
              <w:left w:val="nil"/>
              <w:bottom w:val="double" w:sz="6" w:space="0" w:color="auto"/>
              <w:right w:val="nil"/>
            </w:tcBorders>
            <w:vAlign w:val="center"/>
          </w:tcPr>
          <w:p w:rsidR="00CF78D2" w:rsidRPr="00EF4855" w:rsidRDefault="00CF78D2" w:rsidP="004F6C55">
            <w:pPr>
              <w:spacing w:after="0" w:line="240" w:lineRule="auto"/>
              <w:rPr>
                <w:rFonts w:ascii="Arial Narrow" w:hAnsi="Arial Narrow" w:cs="Arial"/>
                <w:b/>
                <w:bCs/>
                <w:sz w:val="20"/>
                <w:szCs w:val="20"/>
              </w:rPr>
            </w:pPr>
            <w:r w:rsidRPr="00EF4855">
              <w:rPr>
                <w:rFonts w:ascii="Arial Narrow" w:hAnsi="Arial Narrow" w:cs="Arial"/>
                <w:b/>
                <w:bCs/>
                <w:sz w:val="20"/>
                <w:szCs w:val="20"/>
              </w:rPr>
              <w:t>2,385,989,581.37</w:t>
            </w:r>
          </w:p>
        </w:tc>
        <w:tc>
          <w:tcPr>
            <w:tcW w:w="158" w:type="pct"/>
            <w:tcBorders>
              <w:top w:val="single" w:sz="4" w:space="0" w:color="auto"/>
              <w:left w:val="nil"/>
              <w:bottom w:val="double" w:sz="6" w:space="0" w:color="auto"/>
              <w:right w:val="nil"/>
            </w:tcBorders>
            <w:vAlign w:val="center"/>
          </w:tcPr>
          <w:p w:rsidR="00CF78D2" w:rsidRPr="00EF4855" w:rsidRDefault="00CF78D2" w:rsidP="004F6C55">
            <w:pPr>
              <w:spacing w:after="0" w:line="240" w:lineRule="auto"/>
              <w:rPr>
                <w:rFonts w:ascii="Arial Narrow" w:hAnsi="Arial Narrow" w:cs="Arial"/>
                <w:b/>
                <w:bCs/>
                <w:sz w:val="20"/>
                <w:szCs w:val="20"/>
              </w:rPr>
            </w:pPr>
            <w:r w:rsidRPr="00EF4855">
              <w:rPr>
                <w:rFonts w:ascii="Arial Narrow" w:hAnsi="Arial Narrow" w:cs="Arial"/>
                <w:b/>
                <w:bCs/>
                <w:sz w:val="20"/>
                <w:szCs w:val="20"/>
              </w:rPr>
              <w:t>P</w:t>
            </w:r>
          </w:p>
        </w:tc>
        <w:tc>
          <w:tcPr>
            <w:tcW w:w="894" w:type="pct"/>
            <w:tcBorders>
              <w:top w:val="single" w:sz="4" w:space="0" w:color="auto"/>
              <w:left w:val="nil"/>
              <w:bottom w:val="double" w:sz="6" w:space="0" w:color="auto"/>
              <w:right w:val="nil"/>
            </w:tcBorders>
            <w:shd w:val="clear" w:color="auto" w:fill="auto"/>
            <w:noWrap/>
            <w:vAlign w:val="center"/>
            <w:hideMark/>
          </w:tcPr>
          <w:p w:rsidR="00CF78D2" w:rsidRPr="00EF4855" w:rsidRDefault="00CF78D2" w:rsidP="007E7778">
            <w:pPr>
              <w:spacing w:after="0" w:line="240" w:lineRule="auto"/>
              <w:rPr>
                <w:rFonts w:ascii="Arial Narrow" w:hAnsi="Arial Narrow" w:cs="Arial"/>
                <w:b/>
                <w:bCs/>
                <w:sz w:val="20"/>
                <w:szCs w:val="20"/>
              </w:rPr>
            </w:pPr>
            <w:r w:rsidRPr="00EF4855">
              <w:rPr>
                <w:rFonts w:ascii="Arial Narrow" w:hAnsi="Arial Narrow" w:cs="Arial"/>
                <w:b/>
                <w:bCs/>
                <w:sz w:val="20"/>
                <w:szCs w:val="20"/>
              </w:rPr>
              <w:t>2,374,107,789.0</w:t>
            </w:r>
            <w:r w:rsidR="007E7778">
              <w:rPr>
                <w:rFonts w:ascii="Arial Narrow" w:hAnsi="Arial Narrow" w:cs="Arial"/>
                <w:b/>
                <w:bCs/>
                <w:sz w:val="20"/>
                <w:szCs w:val="20"/>
              </w:rPr>
              <w:t>5</w:t>
            </w:r>
          </w:p>
        </w:tc>
        <w:tc>
          <w:tcPr>
            <w:tcW w:w="214" w:type="pct"/>
            <w:tcBorders>
              <w:top w:val="single" w:sz="4" w:space="0" w:color="auto"/>
              <w:left w:val="nil"/>
              <w:bottom w:val="double" w:sz="6" w:space="0" w:color="auto"/>
              <w:right w:val="nil"/>
            </w:tcBorders>
            <w:vAlign w:val="center"/>
          </w:tcPr>
          <w:p w:rsidR="00CF78D2" w:rsidRPr="00EF4855" w:rsidRDefault="00CF78D2" w:rsidP="004F6C55">
            <w:pPr>
              <w:spacing w:after="0" w:line="240" w:lineRule="auto"/>
              <w:rPr>
                <w:rFonts w:ascii="Arial Narrow" w:hAnsi="Arial Narrow" w:cs="Arial"/>
                <w:b/>
                <w:bCs/>
                <w:sz w:val="20"/>
                <w:szCs w:val="20"/>
              </w:rPr>
            </w:pPr>
            <w:r w:rsidRPr="00EF4855">
              <w:rPr>
                <w:rFonts w:ascii="Arial Narrow" w:hAnsi="Arial Narrow" w:cs="Arial"/>
                <w:b/>
                <w:bCs/>
                <w:sz w:val="20"/>
                <w:szCs w:val="20"/>
              </w:rPr>
              <w:t>P</w:t>
            </w:r>
          </w:p>
        </w:tc>
        <w:tc>
          <w:tcPr>
            <w:tcW w:w="779" w:type="pct"/>
            <w:tcBorders>
              <w:top w:val="single" w:sz="4" w:space="0" w:color="auto"/>
              <w:left w:val="nil"/>
              <w:bottom w:val="double" w:sz="6" w:space="0" w:color="auto"/>
              <w:right w:val="nil"/>
            </w:tcBorders>
            <w:vAlign w:val="center"/>
          </w:tcPr>
          <w:p w:rsidR="00CF78D2" w:rsidRPr="00EF4855" w:rsidRDefault="00CF78D2" w:rsidP="007E7778">
            <w:pPr>
              <w:spacing w:after="0" w:line="240" w:lineRule="auto"/>
              <w:ind w:right="-57"/>
              <w:jc w:val="right"/>
              <w:rPr>
                <w:rFonts w:ascii="Arial Narrow" w:hAnsi="Arial Narrow" w:cs="Arial"/>
                <w:b/>
                <w:bCs/>
                <w:sz w:val="20"/>
                <w:szCs w:val="20"/>
              </w:rPr>
            </w:pPr>
            <w:r w:rsidRPr="00EF4855">
              <w:rPr>
                <w:rFonts w:ascii="Arial Narrow" w:hAnsi="Arial Narrow" w:cs="Arial"/>
                <w:b/>
                <w:bCs/>
                <w:sz w:val="20"/>
                <w:szCs w:val="20"/>
              </w:rPr>
              <w:t>11,881,792.3</w:t>
            </w:r>
            <w:r w:rsidR="007E7778">
              <w:rPr>
                <w:rFonts w:ascii="Arial Narrow" w:hAnsi="Arial Narrow" w:cs="Arial"/>
                <w:b/>
                <w:bCs/>
                <w:sz w:val="20"/>
                <w:szCs w:val="20"/>
              </w:rPr>
              <w:t>2</w:t>
            </w:r>
          </w:p>
        </w:tc>
      </w:tr>
    </w:tbl>
    <w:p w:rsidR="00CF78D2" w:rsidRPr="00EF4855" w:rsidRDefault="00CF78D2" w:rsidP="004C39E3">
      <w:pPr>
        <w:spacing w:after="0" w:line="240" w:lineRule="auto"/>
        <w:jc w:val="both"/>
        <w:rPr>
          <w:rFonts w:ascii="Arial" w:eastAsia="Times New Roman" w:hAnsi="Arial" w:cs="Arial"/>
          <w:b/>
          <w:lang w:val="en-US"/>
        </w:rPr>
      </w:pPr>
    </w:p>
    <w:p w:rsidR="00A6434E" w:rsidRPr="00997013" w:rsidRDefault="00A84DDE" w:rsidP="00DA78B4">
      <w:pPr>
        <w:pStyle w:val="ListParagraph"/>
        <w:numPr>
          <w:ilvl w:val="1"/>
          <w:numId w:val="1"/>
        </w:numPr>
        <w:ind w:left="1440"/>
        <w:contextualSpacing/>
        <w:jc w:val="both"/>
        <w:rPr>
          <w:rFonts w:ascii="Arial" w:hAnsi="Arial" w:cs="Arial"/>
          <w:color w:val="000000" w:themeColor="text1"/>
          <w:sz w:val="22"/>
          <w:szCs w:val="22"/>
        </w:rPr>
      </w:pPr>
      <w:r w:rsidRPr="00997013">
        <w:rPr>
          <w:rFonts w:ascii="Arial" w:hAnsi="Arial" w:cs="Arial"/>
          <w:color w:val="000000" w:themeColor="text1"/>
          <w:sz w:val="22"/>
          <w:szCs w:val="22"/>
        </w:rPr>
        <w:t>Review of the Bank Reconciliation Statements (BRS</w:t>
      </w:r>
      <w:r w:rsidR="00F9070B" w:rsidRPr="00997013">
        <w:rPr>
          <w:rFonts w:ascii="Arial" w:hAnsi="Arial" w:cs="Arial"/>
          <w:color w:val="000000" w:themeColor="text1"/>
          <w:sz w:val="22"/>
          <w:szCs w:val="22"/>
        </w:rPr>
        <w:t>s</w:t>
      </w:r>
      <w:r w:rsidRPr="00997013">
        <w:rPr>
          <w:rFonts w:ascii="Arial" w:hAnsi="Arial" w:cs="Arial"/>
          <w:color w:val="000000" w:themeColor="text1"/>
          <w:sz w:val="22"/>
          <w:szCs w:val="22"/>
        </w:rPr>
        <w:t xml:space="preserve">) for CY 2018 for the subject accounts disclosed that </w:t>
      </w:r>
      <w:r w:rsidR="00E455BB" w:rsidRPr="00997013">
        <w:rPr>
          <w:rFonts w:ascii="Arial" w:hAnsi="Arial" w:cs="Arial"/>
          <w:color w:val="000000" w:themeColor="text1"/>
          <w:sz w:val="22"/>
          <w:szCs w:val="22"/>
        </w:rPr>
        <w:t xml:space="preserve">the </w:t>
      </w:r>
      <w:r w:rsidRPr="00997013">
        <w:rPr>
          <w:rFonts w:ascii="Arial" w:hAnsi="Arial" w:cs="Arial"/>
          <w:color w:val="000000" w:themeColor="text1"/>
          <w:sz w:val="22"/>
          <w:szCs w:val="22"/>
        </w:rPr>
        <w:t>said discrepancy pertained to unadjusted book and bank reconciling items totaling P27.292 million and P15.410</w:t>
      </w:r>
      <w:r w:rsidR="00C40836" w:rsidRPr="00997013">
        <w:rPr>
          <w:rFonts w:ascii="Arial" w:hAnsi="Arial" w:cs="Arial"/>
          <w:color w:val="000000" w:themeColor="text1"/>
          <w:sz w:val="22"/>
          <w:szCs w:val="22"/>
        </w:rPr>
        <w:t xml:space="preserve"> </w:t>
      </w:r>
      <w:r w:rsidR="00E455BB" w:rsidRPr="00997013">
        <w:rPr>
          <w:rFonts w:ascii="Arial" w:hAnsi="Arial" w:cs="Arial"/>
          <w:color w:val="000000" w:themeColor="text1"/>
          <w:sz w:val="22"/>
          <w:szCs w:val="22"/>
        </w:rPr>
        <w:t>million</w:t>
      </w:r>
      <w:r w:rsidR="004A04DF" w:rsidRPr="00997013">
        <w:rPr>
          <w:rFonts w:ascii="Arial" w:hAnsi="Arial" w:cs="Arial"/>
          <w:color w:val="000000" w:themeColor="text1"/>
          <w:sz w:val="22"/>
          <w:szCs w:val="22"/>
        </w:rPr>
        <w:t>, respectively</w:t>
      </w:r>
      <w:r w:rsidR="00E455BB" w:rsidRPr="00997013">
        <w:rPr>
          <w:rFonts w:ascii="Arial" w:hAnsi="Arial" w:cs="Arial"/>
          <w:color w:val="000000" w:themeColor="text1"/>
          <w:sz w:val="22"/>
          <w:szCs w:val="22"/>
        </w:rPr>
        <w:t xml:space="preserve">.  </w:t>
      </w:r>
      <w:r w:rsidRPr="00997013">
        <w:rPr>
          <w:rFonts w:ascii="Arial" w:hAnsi="Arial" w:cs="Arial"/>
          <w:color w:val="000000" w:themeColor="text1"/>
          <w:sz w:val="22"/>
          <w:szCs w:val="22"/>
        </w:rPr>
        <w:t xml:space="preserve">Further </w:t>
      </w:r>
      <w:r w:rsidR="00A6434E" w:rsidRPr="00997013">
        <w:rPr>
          <w:rFonts w:ascii="Arial" w:hAnsi="Arial" w:cs="Arial"/>
          <w:color w:val="000000" w:themeColor="text1"/>
          <w:sz w:val="22"/>
          <w:szCs w:val="22"/>
        </w:rPr>
        <w:t xml:space="preserve">verification </w:t>
      </w:r>
      <w:r w:rsidRPr="00997013">
        <w:rPr>
          <w:rFonts w:ascii="Arial" w:hAnsi="Arial" w:cs="Arial"/>
          <w:color w:val="000000" w:themeColor="text1"/>
          <w:sz w:val="22"/>
          <w:szCs w:val="22"/>
        </w:rPr>
        <w:t xml:space="preserve">revealed that there were book reconciling items </w:t>
      </w:r>
      <w:r w:rsidR="00E96CC2" w:rsidRPr="00997013">
        <w:rPr>
          <w:rFonts w:ascii="Arial" w:hAnsi="Arial" w:cs="Arial"/>
          <w:color w:val="000000" w:themeColor="text1"/>
          <w:sz w:val="22"/>
          <w:szCs w:val="22"/>
        </w:rPr>
        <w:t>a</w:t>
      </w:r>
      <w:r w:rsidRPr="00997013">
        <w:rPr>
          <w:rFonts w:ascii="Arial" w:hAnsi="Arial" w:cs="Arial"/>
          <w:color w:val="000000" w:themeColor="text1"/>
          <w:sz w:val="22"/>
          <w:szCs w:val="22"/>
        </w:rPr>
        <w:t>lready identifi</w:t>
      </w:r>
      <w:r w:rsidR="00A6434E" w:rsidRPr="00997013">
        <w:rPr>
          <w:rFonts w:ascii="Arial" w:hAnsi="Arial" w:cs="Arial"/>
          <w:color w:val="000000" w:themeColor="text1"/>
          <w:sz w:val="22"/>
          <w:szCs w:val="22"/>
        </w:rPr>
        <w:t xml:space="preserve">ed in the prior years’ BRS but remained unadjusted in the books.  </w:t>
      </w:r>
    </w:p>
    <w:p w:rsidR="00A6434E" w:rsidRDefault="00A6434E" w:rsidP="00A6434E">
      <w:pPr>
        <w:pStyle w:val="ListParagraph"/>
        <w:ind w:left="1080"/>
        <w:contextualSpacing/>
        <w:jc w:val="both"/>
        <w:rPr>
          <w:rFonts w:ascii="Arial" w:hAnsi="Arial" w:cs="Arial"/>
          <w:sz w:val="22"/>
          <w:szCs w:val="22"/>
        </w:rPr>
      </w:pPr>
    </w:p>
    <w:p w:rsidR="00CF78D2" w:rsidRPr="00997013" w:rsidRDefault="00A84DDE" w:rsidP="00DA78B4">
      <w:pPr>
        <w:pStyle w:val="ListParagraph"/>
        <w:numPr>
          <w:ilvl w:val="1"/>
          <w:numId w:val="1"/>
        </w:numPr>
        <w:ind w:left="1440"/>
        <w:contextualSpacing/>
        <w:jc w:val="both"/>
        <w:rPr>
          <w:rFonts w:ascii="Arial" w:hAnsi="Arial" w:cs="Arial"/>
          <w:color w:val="000000" w:themeColor="text1"/>
          <w:sz w:val="20"/>
          <w:szCs w:val="20"/>
        </w:rPr>
      </w:pPr>
      <w:r w:rsidRPr="00997013">
        <w:rPr>
          <w:rFonts w:ascii="Arial" w:hAnsi="Arial" w:cs="Arial"/>
          <w:color w:val="000000" w:themeColor="text1"/>
          <w:sz w:val="22"/>
          <w:szCs w:val="22"/>
        </w:rPr>
        <w:t xml:space="preserve">Accordingly, </w:t>
      </w:r>
      <w:r w:rsidR="00A6434E" w:rsidRPr="00997013">
        <w:rPr>
          <w:rFonts w:ascii="Arial" w:hAnsi="Arial" w:cs="Arial"/>
          <w:color w:val="000000" w:themeColor="text1"/>
          <w:sz w:val="22"/>
          <w:szCs w:val="22"/>
        </w:rPr>
        <w:t xml:space="preserve">the same still </w:t>
      </w:r>
      <w:r w:rsidR="004A04DF" w:rsidRPr="00997013">
        <w:rPr>
          <w:rFonts w:ascii="Arial" w:hAnsi="Arial" w:cs="Arial"/>
          <w:color w:val="000000" w:themeColor="text1"/>
          <w:sz w:val="22"/>
          <w:szCs w:val="22"/>
        </w:rPr>
        <w:t>remain</w:t>
      </w:r>
      <w:r w:rsidR="00A6434E" w:rsidRPr="00997013">
        <w:rPr>
          <w:rFonts w:ascii="Arial" w:hAnsi="Arial" w:cs="Arial"/>
          <w:color w:val="000000" w:themeColor="text1"/>
          <w:sz w:val="22"/>
          <w:szCs w:val="22"/>
        </w:rPr>
        <w:t xml:space="preserve"> </w:t>
      </w:r>
      <w:r w:rsidR="00F9070B" w:rsidRPr="00997013">
        <w:rPr>
          <w:rFonts w:ascii="Arial" w:hAnsi="Arial" w:cs="Arial"/>
          <w:color w:val="000000" w:themeColor="text1"/>
          <w:sz w:val="22"/>
          <w:szCs w:val="22"/>
        </w:rPr>
        <w:t xml:space="preserve">as </w:t>
      </w:r>
      <w:r w:rsidRPr="00997013">
        <w:rPr>
          <w:rFonts w:ascii="Arial" w:hAnsi="Arial" w:cs="Arial"/>
          <w:color w:val="000000" w:themeColor="text1"/>
          <w:sz w:val="22"/>
          <w:szCs w:val="22"/>
        </w:rPr>
        <w:t>reconciling items to date</w:t>
      </w:r>
      <w:r w:rsidR="00A6434E" w:rsidRPr="00997013">
        <w:rPr>
          <w:rFonts w:ascii="Arial" w:hAnsi="Arial" w:cs="Arial"/>
          <w:color w:val="000000" w:themeColor="text1"/>
          <w:sz w:val="22"/>
          <w:szCs w:val="22"/>
        </w:rPr>
        <w:t xml:space="preserve">, </w:t>
      </w:r>
      <w:r w:rsidR="00F9070B" w:rsidRPr="00997013">
        <w:rPr>
          <w:rFonts w:ascii="Arial" w:hAnsi="Arial" w:cs="Arial"/>
          <w:color w:val="000000" w:themeColor="text1"/>
          <w:sz w:val="22"/>
          <w:szCs w:val="22"/>
        </w:rPr>
        <w:t xml:space="preserve">as shown </w:t>
      </w:r>
      <w:r w:rsidR="007A6CBE" w:rsidRPr="00997013">
        <w:rPr>
          <w:rFonts w:ascii="Arial" w:hAnsi="Arial" w:cs="Arial"/>
          <w:color w:val="000000" w:themeColor="text1"/>
          <w:sz w:val="22"/>
          <w:szCs w:val="22"/>
        </w:rPr>
        <w:t xml:space="preserve">in Table </w:t>
      </w:r>
      <w:r w:rsidR="000B3DC2">
        <w:rPr>
          <w:rFonts w:ascii="Arial" w:hAnsi="Arial" w:cs="Arial"/>
          <w:color w:val="000000" w:themeColor="text1"/>
          <w:sz w:val="22"/>
          <w:szCs w:val="22"/>
        </w:rPr>
        <w:t>2</w:t>
      </w:r>
      <w:r w:rsidR="0062083F" w:rsidRPr="00997013">
        <w:rPr>
          <w:rFonts w:ascii="Arial" w:hAnsi="Arial" w:cs="Arial"/>
          <w:color w:val="000000" w:themeColor="text1"/>
          <w:sz w:val="22"/>
          <w:szCs w:val="22"/>
        </w:rPr>
        <w:t>.</w:t>
      </w:r>
      <w:r w:rsidRPr="00997013">
        <w:rPr>
          <w:rFonts w:ascii="Arial" w:hAnsi="Arial" w:cs="Arial"/>
          <w:color w:val="000000" w:themeColor="text1"/>
          <w:sz w:val="22"/>
          <w:szCs w:val="22"/>
        </w:rPr>
        <w:t xml:space="preserve">  </w:t>
      </w:r>
    </w:p>
    <w:p w:rsidR="00432DA9" w:rsidRPr="00997013" w:rsidRDefault="00432DA9" w:rsidP="00432DA9">
      <w:pPr>
        <w:spacing w:after="0" w:line="240" w:lineRule="auto"/>
        <w:contextualSpacing/>
        <w:jc w:val="both"/>
        <w:rPr>
          <w:rFonts w:ascii="Arial" w:hAnsi="Arial" w:cs="Arial"/>
        </w:rPr>
      </w:pPr>
    </w:p>
    <w:p w:rsidR="00A6434E" w:rsidRPr="00997013" w:rsidRDefault="00A6434E" w:rsidP="00997013">
      <w:pPr>
        <w:spacing w:after="0" w:line="240" w:lineRule="auto"/>
        <w:ind w:left="720"/>
        <w:jc w:val="center"/>
        <w:rPr>
          <w:rFonts w:ascii="Arial" w:hAnsi="Arial" w:cs="Arial"/>
          <w:b/>
          <w:sz w:val="20"/>
          <w:szCs w:val="20"/>
        </w:rPr>
      </w:pPr>
      <w:r w:rsidRPr="00997013">
        <w:rPr>
          <w:rFonts w:ascii="Arial" w:hAnsi="Arial" w:cs="Arial"/>
          <w:b/>
          <w:sz w:val="20"/>
          <w:szCs w:val="20"/>
        </w:rPr>
        <w:t xml:space="preserve">Table </w:t>
      </w:r>
      <w:r w:rsidR="000B3DC2">
        <w:rPr>
          <w:rFonts w:ascii="Arial" w:hAnsi="Arial" w:cs="Arial"/>
          <w:b/>
          <w:sz w:val="20"/>
          <w:szCs w:val="20"/>
        </w:rPr>
        <w:t>2</w:t>
      </w:r>
      <w:r w:rsidRPr="00997013">
        <w:rPr>
          <w:rFonts w:ascii="Arial" w:hAnsi="Arial" w:cs="Arial"/>
          <w:b/>
          <w:sz w:val="20"/>
          <w:szCs w:val="20"/>
        </w:rPr>
        <w:t xml:space="preserve"> – Summary of Long-Outstanding Book Reconciling Items</w:t>
      </w:r>
    </w:p>
    <w:p w:rsidR="00972DD8" w:rsidRPr="00972DD8" w:rsidRDefault="00972DD8" w:rsidP="00432DA9">
      <w:pPr>
        <w:spacing w:after="0" w:line="240" w:lineRule="auto"/>
        <w:ind w:firstLine="540"/>
        <w:jc w:val="center"/>
        <w:rPr>
          <w:rFonts w:ascii="Arial" w:hAnsi="Arial" w:cs="Arial"/>
          <w:b/>
          <w:sz w:val="12"/>
          <w:szCs w:val="20"/>
        </w:rPr>
      </w:pPr>
    </w:p>
    <w:tbl>
      <w:tblPr>
        <w:tblW w:w="7534" w:type="dxa"/>
        <w:jc w:val="right"/>
        <w:tblLayout w:type="fixed"/>
        <w:tblLook w:val="04A0" w:firstRow="1" w:lastRow="0" w:firstColumn="1" w:lastColumn="0" w:noHBand="0" w:noVBand="1"/>
      </w:tblPr>
      <w:tblGrid>
        <w:gridCol w:w="685"/>
        <w:gridCol w:w="259"/>
        <w:gridCol w:w="1458"/>
        <w:gridCol w:w="259"/>
        <w:gridCol w:w="1458"/>
        <w:gridCol w:w="427"/>
        <w:gridCol w:w="1298"/>
        <w:gridCol w:w="265"/>
        <w:gridCol w:w="1425"/>
      </w:tblGrid>
      <w:tr w:rsidR="00A6434E" w:rsidRPr="00F578DA" w:rsidTr="00997013">
        <w:trPr>
          <w:trHeight w:val="394"/>
          <w:tblHeader/>
          <w:jc w:val="right"/>
        </w:trPr>
        <w:tc>
          <w:tcPr>
            <w:tcW w:w="685" w:type="dxa"/>
            <w:tcBorders>
              <w:top w:val="single" w:sz="4" w:space="0" w:color="auto"/>
              <w:left w:val="nil"/>
              <w:bottom w:val="single" w:sz="4" w:space="0" w:color="auto"/>
              <w:right w:val="nil"/>
            </w:tcBorders>
            <w:noWrap/>
            <w:vAlign w:val="center"/>
            <w:hideMark/>
          </w:tcPr>
          <w:p w:rsidR="00A6434E" w:rsidRPr="004573F8" w:rsidRDefault="00A6434E" w:rsidP="00997013">
            <w:pPr>
              <w:spacing w:after="0" w:line="240" w:lineRule="auto"/>
              <w:ind w:hanging="44"/>
              <w:jc w:val="center"/>
              <w:rPr>
                <w:rFonts w:ascii="Arial Narrow" w:eastAsia="Times New Roman" w:hAnsi="Arial Narrow" w:cs="Arial"/>
                <w:b/>
                <w:bCs/>
                <w:sz w:val="20"/>
                <w:szCs w:val="20"/>
                <w:lang w:eastAsia="en-PH"/>
              </w:rPr>
            </w:pPr>
            <w:r w:rsidRPr="004573F8">
              <w:rPr>
                <w:rFonts w:ascii="Arial Narrow" w:hAnsi="Arial Narrow" w:cs="Arial"/>
                <w:sz w:val="20"/>
                <w:szCs w:val="20"/>
              </w:rPr>
              <w:tab/>
              <w:t xml:space="preserve"> </w:t>
            </w:r>
            <w:r w:rsidRPr="004573F8">
              <w:rPr>
                <w:rFonts w:ascii="Arial Narrow" w:hAnsi="Arial Narrow" w:cs="Arial"/>
                <w:b/>
                <w:bCs/>
                <w:sz w:val="20"/>
                <w:szCs w:val="20"/>
                <w:lang w:eastAsia="en-PH"/>
              </w:rPr>
              <w:t>Year</w:t>
            </w:r>
          </w:p>
        </w:tc>
        <w:tc>
          <w:tcPr>
            <w:tcW w:w="1717" w:type="dxa"/>
            <w:gridSpan w:val="2"/>
            <w:tcBorders>
              <w:top w:val="single" w:sz="4" w:space="0" w:color="auto"/>
              <w:left w:val="nil"/>
              <w:bottom w:val="single" w:sz="4" w:space="0" w:color="auto"/>
              <w:right w:val="nil"/>
            </w:tcBorders>
            <w:vAlign w:val="center"/>
            <w:hideMark/>
          </w:tcPr>
          <w:p w:rsidR="00A6434E" w:rsidRPr="004573F8" w:rsidRDefault="00A6434E" w:rsidP="00405B12">
            <w:pPr>
              <w:spacing w:after="0" w:line="240" w:lineRule="auto"/>
              <w:jc w:val="center"/>
              <w:rPr>
                <w:rFonts w:ascii="Arial Narrow" w:hAnsi="Arial Narrow" w:cs="Arial"/>
                <w:b/>
                <w:bCs/>
                <w:sz w:val="20"/>
                <w:szCs w:val="20"/>
                <w:lang w:eastAsia="en-PH"/>
              </w:rPr>
            </w:pPr>
            <w:r w:rsidRPr="004573F8">
              <w:rPr>
                <w:rFonts w:ascii="Arial Narrow" w:hAnsi="Arial Narrow" w:cs="Arial"/>
                <w:b/>
                <w:bCs/>
                <w:sz w:val="20"/>
                <w:szCs w:val="20"/>
                <w:lang w:eastAsia="en-PH"/>
              </w:rPr>
              <w:t>Erroneous Recording of Fund Transfers</w:t>
            </w:r>
          </w:p>
        </w:tc>
        <w:tc>
          <w:tcPr>
            <w:tcW w:w="1717" w:type="dxa"/>
            <w:gridSpan w:val="2"/>
            <w:tcBorders>
              <w:top w:val="single" w:sz="4" w:space="0" w:color="auto"/>
              <w:left w:val="nil"/>
              <w:bottom w:val="single" w:sz="4" w:space="0" w:color="auto"/>
              <w:right w:val="nil"/>
            </w:tcBorders>
            <w:vAlign w:val="center"/>
            <w:hideMark/>
          </w:tcPr>
          <w:p w:rsidR="00A6434E" w:rsidRPr="004573F8" w:rsidRDefault="00A6434E" w:rsidP="00405B12">
            <w:pPr>
              <w:spacing w:after="0" w:line="240" w:lineRule="auto"/>
              <w:jc w:val="center"/>
              <w:rPr>
                <w:rFonts w:ascii="Arial Narrow" w:hAnsi="Arial Narrow" w:cs="Arial"/>
                <w:b/>
                <w:bCs/>
                <w:sz w:val="20"/>
                <w:szCs w:val="20"/>
                <w:lang w:eastAsia="en-PH"/>
              </w:rPr>
            </w:pPr>
            <w:r w:rsidRPr="004573F8">
              <w:rPr>
                <w:rFonts w:ascii="Arial Narrow" w:hAnsi="Arial Narrow" w:cs="Arial"/>
                <w:b/>
                <w:bCs/>
                <w:sz w:val="20"/>
                <w:szCs w:val="20"/>
                <w:lang w:eastAsia="en-PH"/>
              </w:rPr>
              <w:t>Unrecorded Deposits/DM/CM</w:t>
            </w:r>
          </w:p>
        </w:tc>
        <w:tc>
          <w:tcPr>
            <w:tcW w:w="1725" w:type="dxa"/>
            <w:gridSpan w:val="2"/>
            <w:tcBorders>
              <w:top w:val="single" w:sz="4" w:space="0" w:color="auto"/>
              <w:left w:val="nil"/>
              <w:bottom w:val="single" w:sz="4" w:space="0" w:color="auto"/>
              <w:right w:val="nil"/>
            </w:tcBorders>
            <w:vAlign w:val="center"/>
            <w:hideMark/>
          </w:tcPr>
          <w:p w:rsidR="00A6434E" w:rsidRPr="004573F8" w:rsidRDefault="00A6434E" w:rsidP="00405B12">
            <w:pPr>
              <w:spacing w:after="0" w:line="240" w:lineRule="auto"/>
              <w:jc w:val="center"/>
              <w:rPr>
                <w:rFonts w:ascii="Arial Narrow" w:hAnsi="Arial Narrow" w:cs="Arial"/>
                <w:b/>
                <w:bCs/>
                <w:sz w:val="20"/>
                <w:szCs w:val="20"/>
                <w:lang w:eastAsia="en-PH"/>
              </w:rPr>
            </w:pPr>
            <w:r w:rsidRPr="004573F8">
              <w:rPr>
                <w:rFonts w:ascii="Arial Narrow" w:hAnsi="Arial Narrow" w:cs="Arial"/>
                <w:b/>
                <w:bCs/>
                <w:sz w:val="20"/>
                <w:szCs w:val="20"/>
                <w:lang w:eastAsia="en-PH"/>
              </w:rPr>
              <w:t xml:space="preserve">Errors in posting </w:t>
            </w:r>
          </w:p>
        </w:tc>
        <w:tc>
          <w:tcPr>
            <w:tcW w:w="1690" w:type="dxa"/>
            <w:gridSpan w:val="2"/>
            <w:tcBorders>
              <w:top w:val="single" w:sz="4" w:space="0" w:color="auto"/>
              <w:left w:val="nil"/>
              <w:bottom w:val="single" w:sz="4" w:space="0" w:color="auto"/>
              <w:right w:val="nil"/>
            </w:tcBorders>
            <w:vAlign w:val="center"/>
            <w:hideMark/>
          </w:tcPr>
          <w:p w:rsidR="00A6434E" w:rsidRPr="004573F8" w:rsidRDefault="00A6434E" w:rsidP="00997013">
            <w:pPr>
              <w:spacing w:after="0" w:line="240" w:lineRule="auto"/>
              <w:jc w:val="right"/>
              <w:rPr>
                <w:rFonts w:ascii="Arial Narrow" w:hAnsi="Arial Narrow" w:cs="Arial"/>
                <w:b/>
                <w:bCs/>
                <w:sz w:val="20"/>
                <w:szCs w:val="20"/>
                <w:lang w:eastAsia="en-PH"/>
              </w:rPr>
            </w:pPr>
            <w:r w:rsidRPr="004573F8">
              <w:rPr>
                <w:rFonts w:ascii="Arial Narrow" w:hAnsi="Arial Narrow" w:cs="Arial"/>
                <w:b/>
                <w:bCs/>
                <w:sz w:val="20"/>
                <w:szCs w:val="20"/>
                <w:lang w:eastAsia="en-PH"/>
              </w:rPr>
              <w:t>Total</w:t>
            </w:r>
          </w:p>
        </w:tc>
      </w:tr>
      <w:tr w:rsidR="00A6434E" w:rsidRPr="00F578DA" w:rsidTr="00997013">
        <w:trPr>
          <w:trHeight w:val="142"/>
          <w:jc w:val="right"/>
        </w:trPr>
        <w:tc>
          <w:tcPr>
            <w:tcW w:w="685" w:type="dxa"/>
            <w:noWrap/>
            <w:vAlign w:val="center"/>
            <w:hideMark/>
          </w:tcPr>
          <w:p w:rsidR="00A6434E" w:rsidRPr="004573F8" w:rsidRDefault="00A6434E" w:rsidP="00997013">
            <w:pPr>
              <w:spacing w:after="0" w:line="240" w:lineRule="auto"/>
              <w:ind w:hanging="44"/>
              <w:jc w:val="center"/>
              <w:rPr>
                <w:rFonts w:ascii="Arial Narrow" w:hAnsi="Arial Narrow" w:cs="Arial"/>
                <w:sz w:val="20"/>
                <w:szCs w:val="20"/>
              </w:rPr>
            </w:pPr>
            <w:r w:rsidRPr="004573F8">
              <w:rPr>
                <w:rFonts w:ascii="Arial Narrow" w:hAnsi="Arial Narrow" w:cs="Arial"/>
                <w:sz w:val="20"/>
                <w:szCs w:val="20"/>
              </w:rPr>
              <w:t>2008</w:t>
            </w:r>
          </w:p>
        </w:tc>
        <w:tc>
          <w:tcPr>
            <w:tcW w:w="259" w:type="dxa"/>
            <w:vAlign w:val="center"/>
            <w:hideMark/>
          </w:tcPr>
          <w:p w:rsidR="00A6434E" w:rsidRPr="004573F8" w:rsidRDefault="00A6434E" w:rsidP="00405B12">
            <w:pPr>
              <w:spacing w:after="0" w:line="240" w:lineRule="auto"/>
              <w:jc w:val="right"/>
              <w:rPr>
                <w:rFonts w:ascii="Arial Narrow" w:hAnsi="Arial Narrow" w:cs="Arial"/>
                <w:sz w:val="20"/>
                <w:szCs w:val="20"/>
                <w:lang w:eastAsia="en-PH"/>
              </w:rPr>
            </w:pPr>
            <w:r w:rsidRPr="004573F8">
              <w:rPr>
                <w:rFonts w:ascii="Arial Narrow" w:hAnsi="Arial Narrow" w:cs="Arial"/>
                <w:sz w:val="20"/>
                <w:szCs w:val="20"/>
                <w:lang w:eastAsia="en-PH"/>
              </w:rPr>
              <w:t>P</w:t>
            </w:r>
          </w:p>
        </w:tc>
        <w:tc>
          <w:tcPr>
            <w:tcW w:w="1458" w:type="dxa"/>
            <w:noWrap/>
            <w:vAlign w:val="center"/>
            <w:hideMark/>
          </w:tcPr>
          <w:p w:rsidR="00A6434E" w:rsidRPr="004573F8" w:rsidRDefault="00A6434E" w:rsidP="00405B12">
            <w:pPr>
              <w:spacing w:after="0" w:line="240" w:lineRule="auto"/>
              <w:jc w:val="right"/>
              <w:rPr>
                <w:rFonts w:ascii="Arial Narrow" w:hAnsi="Arial Narrow" w:cs="Arial"/>
                <w:sz w:val="20"/>
                <w:szCs w:val="20"/>
                <w:lang w:eastAsia="en-PH"/>
              </w:rPr>
            </w:pPr>
            <w:r w:rsidRPr="004573F8">
              <w:rPr>
                <w:rFonts w:ascii="Arial Narrow" w:hAnsi="Arial Narrow" w:cs="Arial"/>
                <w:sz w:val="20"/>
                <w:szCs w:val="20"/>
                <w:lang w:eastAsia="en-PH"/>
              </w:rPr>
              <w:t xml:space="preserve">                   -   </w:t>
            </w:r>
          </w:p>
        </w:tc>
        <w:tc>
          <w:tcPr>
            <w:tcW w:w="259" w:type="dxa"/>
            <w:vAlign w:val="center"/>
            <w:hideMark/>
          </w:tcPr>
          <w:p w:rsidR="00A6434E" w:rsidRPr="004573F8" w:rsidRDefault="00A6434E" w:rsidP="00405B12">
            <w:pPr>
              <w:spacing w:after="0" w:line="240" w:lineRule="auto"/>
              <w:jc w:val="right"/>
              <w:rPr>
                <w:rFonts w:ascii="Arial Narrow" w:hAnsi="Arial Narrow" w:cs="Arial"/>
                <w:sz w:val="20"/>
                <w:szCs w:val="20"/>
                <w:lang w:eastAsia="en-PH"/>
              </w:rPr>
            </w:pPr>
          </w:p>
        </w:tc>
        <w:tc>
          <w:tcPr>
            <w:tcW w:w="1458" w:type="dxa"/>
            <w:noWrap/>
            <w:vAlign w:val="bottom"/>
            <w:hideMark/>
          </w:tcPr>
          <w:p w:rsidR="00A6434E" w:rsidRPr="004573F8" w:rsidRDefault="00A6434E" w:rsidP="00405B12">
            <w:pPr>
              <w:spacing w:after="0" w:line="240" w:lineRule="auto"/>
              <w:jc w:val="right"/>
              <w:rPr>
                <w:rFonts w:ascii="Arial Narrow" w:eastAsia="Times New Roman" w:hAnsi="Arial Narrow" w:cs="Arial"/>
                <w:sz w:val="20"/>
                <w:szCs w:val="20"/>
              </w:rPr>
            </w:pPr>
            <w:r w:rsidRPr="004573F8">
              <w:rPr>
                <w:rFonts w:ascii="Arial Narrow" w:hAnsi="Arial Narrow" w:cs="Arial"/>
                <w:sz w:val="20"/>
                <w:szCs w:val="20"/>
              </w:rPr>
              <w:t>(131,253.49)</w:t>
            </w:r>
          </w:p>
        </w:tc>
        <w:tc>
          <w:tcPr>
            <w:tcW w:w="427" w:type="dxa"/>
            <w:vAlign w:val="center"/>
            <w:hideMark/>
          </w:tcPr>
          <w:p w:rsidR="00A6434E" w:rsidRPr="004573F8" w:rsidRDefault="00A6434E" w:rsidP="00405B12">
            <w:pPr>
              <w:spacing w:after="0" w:line="240" w:lineRule="auto"/>
              <w:jc w:val="right"/>
              <w:rPr>
                <w:rFonts w:ascii="Arial Narrow" w:hAnsi="Arial Narrow" w:cs="Arial"/>
                <w:sz w:val="20"/>
                <w:szCs w:val="20"/>
                <w:lang w:eastAsia="en-PH"/>
              </w:rPr>
            </w:pPr>
            <w:r w:rsidRPr="004573F8">
              <w:rPr>
                <w:rFonts w:ascii="Arial Narrow" w:hAnsi="Arial Narrow" w:cs="Arial"/>
                <w:sz w:val="20"/>
                <w:szCs w:val="20"/>
                <w:lang w:eastAsia="en-PH"/>
              </w:rPr>
              <w:t>P</w:t>
            </w:r>
          </w:p>
        </w:tc>
        <w:tc>
          <w:tcPr>
            <w:tcW w:w="1298" w:type="dxa"/>
            <w:noWrap/>
            <w:vAlign w:val="bottom"/>
          </w:tcPr>
          <w:p w:rsidR="00A6434E" w:rsidRPr="004573F8" w:rsidRDefault="00A6434E" w:rsidP="00405B12">
            <w:pPr>
              <w:spacing w:after="0" w:line="240" w:lineRule="auto"/>
              <w:rPr>
                <w:rFonts w:ascii="Arial Narrow" w:eastAsia="Times New Roman" w:hAnsi="Arial Narrow" w:cs="Arial"/>
                <w:sz w:val="20"/>
                <w:szCs w:val="20"/>
              </w:rPr>
            </w:pPr>
          </w:p>
        </w:tc>
        <w:tc>
          <w:tcPr>
            <w:tcW w:w="265" w:type="dxa"/>
            <w:vAlign w:val="center"/>
            <w:hideMark/>
          </w:tcPr>
          <w:p w:rsidR="00A6434E" w:rsidRPr="004573F8" w:rsidRDefault="00A6434E" w:rsidP="00405B12">
            <w:pPr>
              <w:spacing w:after="0" w:line="240" w:lineRule="auto"/>
              <w:jc w:val="right"/>
              <w:rPr>
                <w:rFonts w:ascii="Arial Narrow" w:hAnsi="Arial Narrow" w:cs="Arial"/>
                <w:sz w:val="20"/>
                <w:szCs w:val="20"/>
                <w:lang w:eastAsia="en-PH"/>
              </w:rPr>
            </w:pPr>
            <w:r w:rsidRPr="004573F8">
              <w:rPr>
                <w:rFonts w:ascii="Arial Narrow" w:hAnsi="Arial Narrow" w:cs="Arial"/>
                <w:sz w:val="20"/>
                <w:szCs w:val="20"/>
                <w:lang w:eastAsia="en-PH"/>
              </w:rPr>
              <w:t>P</w:t>
            </w:r>
          </w:p>
        </w:tc>
        <w:tc>
          <w:tcPr>
            <w:tcW w:w="1425" w:type="dxa"/>
            <w:noWrap/>
            <w:vAlign w:val="bottom"/>
            <w:hideMark/>
          </w:tcPr>
          <w:p w:rsidR="00A6434E" w:rsidRPr="004573F8" w:rsidRDefault="00A6434E" w:rsidP="00405B12">
            <w:pPr>
              <w:spacing w:after="0" w:line="240" w:lineRule="auto"/>
              <w:jc w:val="right"/>
              <w:rPr>
                <w:rFonts w:ascii="Arial Narrow" w:eastAsia="Times New Roman" w:hAnsi="Arial Narrow" w:cs="Arial"/>
                <w:sz w:val="20"/>
                <w:szCs w:val="20"/>
              </w:rPr>
            </w:pPr>
            <w:r w:rsidRPr="004573F8">
              <w:rPr>
                <w:rFonts w:ascii="Arial Narrow" w:hAnsi="Arial Narrow" w:cs="Arial"/>
                <w:sz w:val="20"/>
                <w:szCs w:val="20"/>
              </w:rPr>
              <w:t>(131,253.49)</w:t>
            </w:r>
          </w:p>
        </w:tc>
      </w:tr>
      <w:tr w:rsidR="00A6434E" w:rsidRPr="00F578DA" w:rsidTr="00997013">
        <w:trPr>
          <w:trHeight w:val="125"/>
          <w:jc w:val="right"/>
        </w:trPr>
        <w:tc>
          <w:tcPr>
            <w:tcW w:w="685" w:type="dxa"/>
            <w:noWrap/>
            <w:vAlign w:val="center"/>
            <w:hideMark/>
          </w:tcPr>
          <w:p w:rsidR="00A6434E" w:rsidRPr="004573F8" w:rsidRDefault="00A6434E" w:rsidP="00997013">
            <w:pPr>
              <w:spacing w:after="0" w:line="240" w:lineRule="auto"/>
              <w:ind w:hanging="44"/>
              <w:jc w:val="center"/>
              <w:rPr>
                <w:rFonts w:ascii="Arial Narrow" w:hAnsi="Arial Narrow" w:cs="Arial"/>
                <w:sz w:val="20"/>
                <w:szCs w:val="20"/>
              </w:rPr>
            </w:pPr>
            <w:r w:rsidRPr="004573F8">
              <w:rPr>
                <w:rFonts w:ascii="Arial Narrow" w:hAnsi="Arial Narrow" w:cs="Arial"/>
                <w:sz w:val="20"/>
                <w:szCs w:val="20"/>
              </w:rPr>
              <w:t>2009</w:t>
            </w:r>
          </w:p>
        </w:tc>
        <w:tc>
          <w:tcPr>
            <w:tcW w:w="259" w:type="dxa"/>
            <w:vAlign w:val="center"/>
          </w:tcPr>
          <w:p w:rsidR="00A6434E" w:rsidRPr="004573F8" w:rsidRDefault="00A6434E" w:rsidP="00405B12">
            <w:pPr>
              <w:spacing w:after="0" w:line="240" w:lineRule="auto"/>
              <w:jc w:val="right"/>
              <w:rPr>
                <w:rFonts w:ascii="Arial Narrow" w:hAnsi="Arial Narrow" w:cs="Arial"/>
                <w:sz w:val="20"/>
                <w:szCs w:val="20"/>
                <w:lang w:eastAsia="en-PH"/>
              </w:rPr>
            </w:pPr>
          </w:p>
        </w:tc>
        <w:tc>
          <w:tcPr>
            <w:tcW w:w="1458" w:type="dxa"/>
            <w:noWrap/>
            <w:vAlign w:val="center"/>
            <w:hideMark/>
          </w:tcPr>
          <w:p w:rsidR="00A6434E" w:rsidRPr="004573F8" w:rsidRDefault="00A6434E" w:rsidP="00E56521">
            <w:pPr>
              <w:spacing w:after="0" w:line="240" w:lineRule="auto"/>
              <w:jc w:val="right"/>
              <w:rPr>
                <w:rFonts w:ascii="Arial Narrow" w:hAnsi="Arial Narrow" w:cs="Arial"/>
                <w:sz w:val="20"/>
                <w:szCs w:val="20"/>
              </w:rPr>
            </w:pPr>
            <w:r w:rsidRPr="004573F8">
              <w:rPr>
                <w:rFonts w:ascii="Arial Narrow" w:hAnsi="Arial Narrow" w:cs="Arial"/>
                <w:sz w:val="20"/>
                <w:szCs w:val="20"/>
              </w:rPr>
              <w:t>1,658.60</w:t>
            </w:r>
          </w:p>
        </w:tc>
        <w:tc>
          <w:tcPr>
            <w:tcW w:w="259" w:type="dxa"/>
            <w:vAlign w:val="center"/>
          </w:tcPr>
          <w:p w:rsidR="00A6434E" w:rsidRPr="004573F8" w:rsidRDefault="00A6434E" w:rsidP="00405B12">
            <w:pPr>
              <w:spacing w:after="0" w:line="240" w:lineRule="auto"/>
              <w:jc w:val="right"/>
              <w:rPr>
                <w:rFonts w:ascii="Arial Narrow" w:hAnsi="Arial Narrow" w:cs="Arial"/>
                <w:sz w:val="20"/>
                <w:szCs w:val="20"/>
                <w:lang w:eastAsia="en-PH"/>
              </w:rPr>
            </w:pPr>
          </w:p>
        </w:tc>
        <w:tc>
          <w:tcPr>
            <w:tcW w:w="1458" w:type="dxa"/>
            <w:noWrap/>
            <w:vAlign w:val="bottom"/>
            <w:hideMark/>
          </w:tcPr>
          <w:p w:rsidR="00A6434E" w:rsidRPr="004573F8" w:rsidRDefault="00A6434E" w:rsidP="00405B12">
            <w:pPr>
              <w:spacing w:after="0" w:line="240" w:lineRule="auto"/>
              <w:jc w:val="right"/>
              <w:rPr>
                <w:rFonts w:ascii="Arial Narrow" w:hAnsi="Arial Narrow" w:cs="Arial"/>
                <w:sz w:val="20"/>
                <w:szCs w:val="20"/>
              </w:rPr>
            </w:pPr>
            <w:r w:rsidRPr="004573F8">
              <w:rPr>
                <w:rFonts w:ascii="Arial Narrow" w:hAnsi="Arial Narrow" w:cs="Arial"/>
                <w:sz w:val="20"/>
                <w:szCs w:val="20"/>
              </w:rPr>
              <w:t>15,200.00</w:t>
            </w:r>
          </w:p>
        </w:tc>
        <w:tc>
          <w:tcPr>
            <w:tcW w:w="427" w:type="dxa"/>
            <w:vAlign w:val="center"/>
          </w:tcPr>
          <w:p w:rsidR="00A6434E" w:rsidRPr="004573F8" w:rsidRDefault="00A6434E" w:rsidP="00405B12">
            <w:pPr>
              <w:spacing w:after="0" w:line="240" w:lineRule="auto"/>
              <w:jc w:val="right"/>
              <w:rPr>
                <w:rFonts w:ascii="Arial Narrow" w:hAnsi="Arial Narrow" w:cs="Arial"/>
                <w:sz w:val="20"/>
                <w:szCs w:val="20"/>
                <w:lang w:eastAsia="en-PH"/>
              </w:rPr>
            </w:pPr>
          </w:p>
        </w:tc>
        <w:tc>
          <w:tcPr>
            <w:tcW w:w="1298" w:type="dxa"/>
            <w:noWrap/>
            <w:vAlign w:val="bottom"/>
          </w:tcPr>
          <w:p w:rsidR="00A6434E" w:rsidRPr="004573F8" w:rsidRDefault="00A6434E" w:rsidP="00405B12">
            <w:pPr>
              <w:spacing w:after="0" w:line="240" w:lineRule="auto"/>
              <w:jc w:val="right"/>
              <w:rPr>
                <w:rFonts w:ascii="Arial Narrow" w:hAnsi="Arial Narrow" w:cs="Arial"/>
                <w:sz w:val="20"/>
                <w:szCs w:val="20"/>
              </w:rPr>
            </w:pPr>
            <w:r w:rsidRPr="004573F8">
              <w:rPr>
                <w:rFonts w:ascii="Arial Narrow" w:hAnsi="Arial Narrow" w:cs="Arial"/>
                <w:sz w:val="20"/>
                <w:szCs w:val="20"/>
              </w:rPr>
              <w:t>(3,800.00)</w:t>
            </w:r>
          </w:p>
        </w:tc>
        <w:tc>
          <w:tcPr>
            <w:tcW w:w="265" w:type="dxa"/>
            <w:vAlign w:val="center"/>
          </w:tcPr>
          <w:p w:rsidR="00A6434E" w:rsidRPr="004573F8" w:rsidRDefault="00A6434E" w:rsidP="00405B12">
            <w:pPr>
              <w:spacing w:after="0" w:line="240" w:lineRule="auto"/>
              <w:jc w:val="right"/>
              <w:rPr>
                <w:rFonts w:ascii="Arial Narrow" w:hAnsi="Arial Narrow" w:cs="Arial"/>
                <w:sz w:val="20"/>
                <w:szCs w:val="20"/>
                <w:lang w:eastAsia="en-PH"/>
              </w:rPr>
            </w:pPr>
          </w:p>
        </w:tc>
        <w:tc>
          <w:tcPr>
            <w:tcW w:w="1425" w:type="dxa"/>
            <w:noWrap/>
            <w:vAlign w:val="bottom"/>
            <w:hideMark/>
          </w:tcPr>
          <w:p w:rsidR="00A6434E" w:rsidRPr="004573F8" w:rsidRDefault="00A6434E" w:rsidP="00405B12">
            <w:pPr>
              <w:spacing w:after="0" w:line="240" w:lineRule="auto"/>
              <w:jc w:val="right"/>
              <w:rPr>
                <w:rFonts w:ascii="Arial Narrow" w:hAnsi="Arial Narrow" w:cs="Arial"/>
                <w:sz w:val="20"/>
                <w:szCs w:val="20"/>
              </w:rPr>
            </w:pPr>
            <w:r w:rsidRPr="004573F8">
              <w:rPr>
                <w:rFonts w:ascii="Arial Narrow" w:hAnsi="Arial Narrow" w:cs="Arial"/>
                <w:sz w:val="20"/>
                <w:szCs w:val="20"/>
              </w:rPr>
              <w:t>13,058.60</w:t>
            </w:r>
          </w:p>
        </w:tc>
      </w:tr>
      <w:tr w:rsidR="00A6434E" w:rsidRPr="00F578DA" w:rsidTr="00997013">
        <w:trPr>
          <w:trHeight w:val="125"/>
          <w:jc w:val="right"/>
        </w:trPr>
        <w:tc>
          <w:tcPr>
            <w:tcW w:w="685" w:type="dxa"/>
            <w:noWrap/>
            <w:vAlign w:val="center"/>
            <w:hideMark/>
          </w:tcPr>
          <w:p w:rsidR="00A6434E" w:rsidRPr="004573F8" w:rsidRDefault="00A6434E" w:rsidP="00997013">
            <w:pPr>
              <w:spacing w:after="0" w:line="240" w:lineRule="auto"/>
              <w:ind w:hanging="44"/>
              <w:jc w:val="center"/>
              <w:rPr>
                <w:rFonts w:ascii="Arial Narrow" w:hAnsi="Arial Narrow" w:cs="Arial"/>
                <w:sz w:val="20"/>
                <w:szCs w:val="20"/>
              </w:rPr>
            </w:pPr>
            <w:r w:rsidRPr="004573F8">
              <w:rPr>
                <w:rFonts w:ascii="Arial Narrow" w:hAnsi="Arial Narrow" w:cs="Arial"/>
                <w:sz w:val="20"/>
                <w:szCs w:val="20"/>
              </w:rPr>
              <w:t>2010</w:t>
            </w:r>
          </w:p>
        </w:tc>
        <w:tc>
          <w:tcPr>
            <w:tcW w:w="259" w:type="dxa"/>
            <w:vAlign w:val="center"/>
          </w:tcPr>
          <w:p w:rsidR="00A6434E" w:rsidRPr="004573F8" w:rsidRDefault="00A6434E" w:rsidP="00405B12">
            <w:pPr>
              <w:spacing w:after="0" w:line="240" w:lineRule="auto"/>
              <w:jc w:val="right"/>
              <w:rPr>
                <w:rFonts w:ascii="Arial Narrow" w:hAnsi="Arial Narrow" w:cs="Arial"/>
                <w:sz w:val="20"/>
                <w:szCs w:val="20"/>
                <w:lang w:eastAsia="en-PH"/>
              </w:rPr>
            </w:pPr>
          </w:p>
        </w:tc>
        <w:tc>
          <w:tcPr>
            <w:tcW w:w="1458" w:type="dxa"/>
            <w:noWrap/>
            <w:vAlign w:val="center"/>
            <w:hideMark/>
          </w:tcPr>
          <w:p w:rsidR="00A6434E" w:rsidRPr="004573F8" w:rsidRDefault="00A6434E" w:rsidP="00405B12">
            <w:pPr>
              <w:spacing w:after="0" w:line="240" w:lineRule="auto"/>
              <w:rPr>
                <w:rFonts w:ascii="Arial Narrow" w:hAnsi="Arial Narrow" w:cs="Arial"/>
                <w:sz w:val="20"/>
                <w:szCs w:val="20"/>
                <w:lang w:eastAsia="en-PH"/>
              </w:rPr>
            </w:pPr>
          </w:p>
        </w:tc>
        <w:tc>
          <w:tcPr>
            <w:tcW w:w="259" w:type="dxa"/>
            <w:vAlign w:val="center"/>
          </w:tcPr>
          <w:p w:rsidR="00A6434E" w:rsidRPr="004573F8" w:rsidRDefault="00A6434E" w:rsidP="00405B12">
            <w:pPr>
              <w:spacing w:after="0" w:line="240" w:lineRule="auto"/>
              <w:jc w:val="right"/>
              <w:rPr>
                <w:rFonts w:ascii="Arial Narrow" w:eastAsia="Times New Roman" w:hAnsi="Arial Narrow" w:cs="Arial"/>
                <w:sz w:val="20"/>
                <w:szCs w:val="20"/>
                <w:lang w:eastAsia="en-PH"/>
              </w:rPr>
            </w:pPr>
          </w:p>
        </w:tc>
        <w:tc>
          <w:tcPr>
            <w:tcW w:w="1458" w:type="dxa"/>
            <w:noWrap/>
            <w:vAlign w:val="bottom"/>
            <w:hideMark/>
          </w:tcPr>
          <w:p w:rsidR="00A6434E" w:rsidRPr="004573F8" w:rsidRDefault="00A6434E" w:rsidP="00405B12">
            <w:pPr>
              <w:spacing w:after="0" w:line="240" w:lineRule="auto"/>
              <w:jc w:val="right"/>
              <w:rPr>
                <w:rFonts w:ascii="Arial Narrow" w:hAnsi="Arial Narrow" w:cs="Arial"/>
                <w:sz w:val="20"/>
                <w:szCs w:val="20"/>
              </w:rPr>
            </w:pPr>
            <w:r w:rsidRPr="004573F8">
              <w:rPr>
                <w:rFonts w:ascii="Arial Narrow" w:hAnsi="Arial Narrow" w:cs="Arial"/>
                <w:sz w:val="20"/>
                <w:szCs w:val="20"/>
              </w:rPr>
              <w:t>(525.00)</w:t>
            </w:r>
          </w:p>
        </w:tc>
        <w:tc>
          <w:tcPr>
            <w:tcW w:w="427" w:type="dxa"/>
            <w:vAlign w:val="center"/>
          </w:tcPr>
          <w:p w:rsidR="00A6434E" w:rsidRPr="004573F8" w:rsidRDefault="00A6434E" w:rsidP="00405B12">
            <w:pPr>
              <w:spacing w:after="0" w:line="240" w:lineRule="auto"/>
              <w:jc w:val="right"/>
              <w:rPr>
                <w:rFonts w:ascii="Arial Narrow" w:hAnsi="Arial Narrow" w:cs="Arial"/>
                <w:sz w:val="20"/>
                <w:szCs w:val="20"/>
                <w:lang w:eastAsia="en-PH"/>
              </w:rPr>
            </w:pPr>
          </w:p>
        </w:tc>
        <w:tc>
          <w:tcPr>
            <w:tcW w:w="1298" w:type="dxa"/>
            <w:noWrap/>
            <w:vAlign w:val="bottom"/>
          </w:tcPr>
          <w:p w:rsidR="00A6434E" w:rsidRPr="004573F8" w:rsidRDefault="00A6434E" w:rsidP="00405B12">
            <w:pPr>
              <w:spacing w:after="0" w:line="240" w:lineRule="auto"/>
              <w:jc w:val="right"/>
              <w:rPr>
                <w:rFonts w:ascii="Arial Narrow" w:hAnsi="Arial Narrow" w:cs="Arial"/>
                <w:sz w:val="20"/>
                <w:szCs w:val="20"/>
              </w:rPr>
            </w:pPr>
          </w:p>
        </w:tc>
        <w:tc>
          <w:tcPr>
            <w:tcW w:w="265" w:type="dxa"/>
            <w:vAlign w:val="center"/>
          </w:tcPr>
          <w:p w:rsidR="00A6434E" w:rsidRPr="004573F8" w:rsidRDefault="00A6434E" w:rsidP="00405B12">
            <w:pPr>
              <w:spacing w:after="0" w:line="240" w:lineRule="auto"/>
              <w:jc w:val="right"/>
              <w:rPr>
                <w:rFonts w:ascii="Arial Narrow" w:hAnsi="Arial Narrow" w:cs="Arial"/>
                <w:sz w:val="20"/>
                <w:szCs w:val="20"/>
                <w:lang w:eastAsia="en-PH"/>
              </w:rPr>
            </w:pPr>
          </w:p>
        </w:tc>
        <w:tc>
          <w:tcPr>
            <w:tcW w:w="1425" w:type="dxa"/>
            <w:noWrap/>
            <w:vAlign w:val="bottom"/>
            <w:hideMark/>
          </w:tcPr>
          <w:p w:rsidR="00A6434E" w:rsidRPr="004573F8" w:rsidRDefault="00A6434E" w:rsidP="00405B12">
            <w:pPr>
              <w:spacing w:after="0" w:line="240" w:lineRule="auto"/>
              <w:jc w:val="right"/>
              <w:rPr>
                <w:rFonts w:ascii="Arial Narrow" w:hAnsi="Arial Narrow" w:cs="Arial"/>
                <w:sz w:val="20"/>
                <w:szCs w:val="20"/>
              </w:rPr>
            </w:pPr>
            <w:r w:rsidRPr="004573F8">
              <w:rPr>
                <w:rFonts w:ascii="Arial Narrow" w:hAnsi="Arial Narrow" w:cs="Arial"/>
                <w:sz w:val="20"/>
                <w:szCs w:val="20"/>
              </w:rPr>
              <w:t>(525.00)</w:t>
            </w:r>
          </w:p>
        </w:tc>
      </w:tr>
      <w:tr w:rsidR="00A6434E" w:rsidRPr="00F578DA" w:rsidTr="00997013">
        <w:trPr>
          <w:trHeight w:val="125"/>
          <w:jc w:val="right"/>
        </w:trPr>
        <w:tc>
          <w:tcPr>
            <w:tcW w:w="685" w:type="dxa"/>
            <w:noWrap/>
            <w:vAlign w:val="center"/>
            <w:hideMark/>
          </w:tcPr>
          <w:p w:rsidR="00A6434E" w:rsidRPr="004573F8" w:rsidRDefault="00A6434E" w:rsidP="00997013">
            <w:pPr>
              <w:spacing w:after="0" w:line="240" w:lineRule="auto"/>
              <w:ind w:hanging="44"/>
              <w:jc w:val="center"/>
              <w:rPr>
                <w:rFonts w:ascii="Arial Narrow" w:hAnsi="Arial Narrow" w:cs="Arial"/>
                <w:sz w:val="20"/>
                <w:szCs w:val="20"/>
              </w:rPr>
            </w:pPr>
            <w:r w:rsidRPr="004573F8">
              <w:rPr>
                <w:rFonts w:ascii="Arial Narrow" w:hAnsi="Arial Narrow" w:cs="Arial"/>
                <w:sz w:val="20"/>
                <w:szCs w:val="20"/>
              </w:rPr>
              <w:t>2011</w:t>
            </w:r>
          </w:p>
        </w:tc>
        <w:tc>
          <w:tcPr>
            <w:tcW w:w="259" w:type="dxa"/>
            <w:vAlign w:val="center"/>
          </w:tcPr>
          <w:p w:rsidR="00A6434E" w:rsidRPr="004573F8" w:rsidRDefault="00A6434E" w:rsidP="00405B12">
            <w:pPr>
              <w:spacing w:after="0" w:line="240" w:lineRule="auto"/>
              <w:jc w:val="right"/>
              <w:rPr>
                <w:rFonts w:ascii="Arial Narrow" w:hAnsi="Arial Narrow" w:cs="Arial"/>
                <w:sz w:val="20"/>
                <w:szCs w:val="20"/>
                <w:lang w:eastAsia="en-PH"/>
              </w:rPr>
            </w:pPr>
          </w:p>
        </w:tc>
        <w:tc>
          <w:tcPr>
            <w:tcW w:w="1458" w:type="dxa"/>
            <w:noWrap/>
            <w:vAlign w:val="center"/>
            <w:hideMark/>
          </w:tcPr>
          <w:p w:rsidR="00A6434E" w:rsidRPr="004573F8" w:rsidRDefault="00A6434E" w:rsidP="00405B12">
            <w:pPr>
              <w:spacing w:after="0" w:line="240" w:lineRule="auto"/>
              <w:rPr>
                <w:rFonts w:ascii="Arial Narrow" w:hAnsi="Arial Narrow" w:cs="Arial"/>
                <w:sz w:val="20"/>
                <w:szCs w:val="20"/>
                <w:lang w:eastAsia="en-PH"/>
              </w:rPr>
            </w:pPr>
          </w:p>
        </w:tc>
        <w:tc>
          <w:tcPr>
            <w:tcW w:w="259" w:type="dxa"/>
            <w:vAlign w:val="center"/>
          </w:tcPr>
          <w:p w:rsidR="00A6434E" w:rsidRPr="004573F8" w:rsidRDefault="00A6434E" w:rsidP="00405B12">
            <w:pPr>
              <w:spacing w:after="0" w:line="240" w:lineRule="auto"/>
              <w:jc w:val="right"/>
              <w:rPr>
                <w:rFonts w:ascii="Arial Narrow" w:eastAsia="Times New Roman" w:hAnsi="Arial Narrow" w:cs="Arial"/>
                <w:sz w:val="20"/>
                <w:szCs w:val="20"/>
                <w:lang w:eastAsia="en-PH"/>
              </w:rPr>
            </w:pPr>
          </w:p>
        </w:tc>
        <w:tc>
          <w:tcPr>
            <w:tcW w:w="1458" w:type="dxa"/>
            <w:noWrap/>
            <w:vAlign w:val="bottom"/>
            <w:hideMark/>
          </w:tcPr>
          <w:p w:rsidR="00A6434E" w:rsidRPr="004573F8" w:rsidRDefault="00A6434E" w:rsidP="00405B12">
            <w:pPr>
              <w:spacing w:after="0" w:line="240" w:lineRule="auto"/>
              <w:jc w:val="right"/>
              <w:rPr>
                <w:rFonts w:ascii="Arial Narrow" w:hAnsi="Arial Narrow" w:cs="Arial"/>
                <w:sz w:val="20"/>
                <w:szCs w:val="20"/>
              </w:rPr>
            </w:pPr>
            <w:r w:rsidRPr="004573F8">
              <w:rPr>
                <w:rFonts w:ascii="Arial Narrow" w:hAnsi="Arial Narrow" w:cs="Arial"/>
                <w:sz w:val="20"/>
                <w:szCs w:val="20"/>
              </w:rPr>
              <w:t>(0.50)</w:t>
            </w:r>
          </w:p>
        </w:tc>
        <w:tc>
          <w:tcPr>
            <w:tcW w:w="427" w:type="dxa"/>
            <w:vAlign w:val="center"/>
          </w:tcPr>
          <w:p w:rsidR="00A6434E" w:rsidRPr="004573F8" w:rsidRDefault="00A6434E" w:rsidP="00405B12">
            <w:pPr>
              <w:spacing w:after="0" w:line="240" w:lineRule="auto"/>
              <w:jc w:val="right"/>
              <w:rPr>
                <w:rFonts w:ascii="Arial Narrow" w:hAnsi="Arial Narrow" w:cs="Arial"/>
                <w:sz w:val="20"/>
                <w:szCs w:val="20"/>
                <w:lang w:eastAsia="en-PH"/>
              </w:rPr>
            </w:pPr>
          </w:p>
        </w:tc>
        <w:tc>
          <w:tcPr>
            <w:tcW w:w="1298" w:type="dxa"/>
            <w:noWrap/>
            <w:vAlign w:val="bottom"/>
          </w:tcPr>
          <w:p w:rsidR="00A6434E" w:rsidRPr="004573F8" w:rsidRDefault="00A6434E" w:rsidP="00405B12">
            <w:pPr>
              <w:spacing w:after="0" w:line="240" w:lineRule="auto"/>
              <w:rPr>
                <w:rFonts w:ascii="Arial Narrow" w:hAnsi="Arial Narrow" w:cs="Arial"/>
                <w:sz w:val="20"/>
                <w:szCs w:val="20"/>
              </w:rPr>
            </w:pPr>
          </w:p>
        </w:tc>
        <w:tc>
          <w:tcPr>
            <w:tcW w:w="265" w:type="dxa"/>
            <w:vAlign w:val="center"/>
          </w:tcPr>
          <w:p w:rsidR="00A6434E" w:rsidRPr="004573F8" w:rsidRDefault="00A6434E" w:rsidP="00405B12">
            <w:pPr>
              <w:spacing w:after="0" w:line="240" w:lineRule="auto"/>
              <w:jc w:val="right"/>
              <w:rPr>
                <w:rFonts w:ascii="Arial Narrow" w:hAnsi="Arial Narrow" w:cs="Arial"/>
                <w:sz w:val="20"/>
                <w:szCs w:val="20"/>
                <w:lang w:eastAsia="en-PH"/>
              </w:rPr>
            </w:pPr>
          </w:p>
        </w:tc>
        <w:tc>
          <w:tcPr>
            <w:tcW w:w="1425" w:type="dxa"/>
            <w:noWrap/>
            <w:vAlign w:val="bottom"/>
            <w:hideMark/>
          </w:tcPr>
          <w:p w:rsidR="00A6434E" w:rsidRPr="004573F8" w:rsidRDefault="00A6434E" w:rsidP="00405B12">
            <w:pPr>
              <w:spacing w:after="0" w:line="240" w:lineRule="auto"/>
              <w:jc w:val="right"/>
              <w:rPr>
                <w:rFonts w:ascii="Arial Narrow" w:hAnsi="Arial Narrow" w:cs="Arial"/>
                <w:sz w:val="20"/>
                <w:szCs w:val="20"/>
              </w:rPr>
            </w:pPr>
            <w:r w:rsidRPr="004573F8">
              <w:rPr>
                <w:rFonts w:ascii="Arial Narrow" w:hAnsi="Arial Narrow" w:cs="Arial"/>
                <w:sz w:val="20"/>
                <w:szCs w:val="20"/>
              </w:rPr>
              <w:t>(0.50)</w:t>
            </w:r>
          </w:p>
        </w:tc>
      </w:tr>
      <w:tr w:rsidR="00A6434E" w:rsidRPr="00F578DA" w:rsidTr="00997013">
        <w:trPr>
          <w:trHeight w:val="125"/>
          <w:jc w:val="right"/>
        </w:trPr>
        <w:tc>
          <w:tcPr>
            <w:tcW w:w="685" w:type="dxa"/>
            <w:noWrap/>
            <w:vAlign w:val="center"/>
            <w:hideMark/>
          </w:tcPr>
          <w:p w:rsidR="00A6434E" w:rsidRPr="004573F8" w:rsidRDefault="00A6434E" w:rsidP="00997013">
            <w:pPr>
              <w:spacing w:after="0" w:line="240" w:lineRule="auto"/>
              <w:ind w:hanging="44"/>
              <w:jc w:val="center"/>
              <w:rPr>
                <w:rFonts w:ascii="Arial Narrow" w:hAnsi="Arial Narrow" w:cs="Arial"/>
                <w:sz w:val="20"/>
                <w:szCs w:val="20"/>
              </w:rPr>
            </w:pPr>
            <w:r w:rsidRPr="004573F8">
              <w:rPr>
                <w:rFonts w:ascii="Arial Narrow" w:hAnsi="Arial Narrow" w:cs="Arial"/>
                <w:sz w:val="20"/>
                <w:szCs w:val="20"/>
              </w:rPr>
              <w:t>2012</w:t>
            </w:r>
          </w:p>
        </w:tc>
        <w:tc>
          <w:tcPr>
            <w:tcW w:w="259" w:type="dxa"/>
            <w:vAlign w:val="center"/>
          </w:tcPr>
          <w:p w:rsidR="00A6434E" w:rsidRPr="004573F8" w:rsidRDefault="00A6434E" w:rsidP="00405B12">
            <w:pPr>
              <w:spacing w:after="0" w:line="240" w:lineRule="auto"/>
              <w:jc w:val="right"/>
              <w:rPr>
                <w:rFonts w:ascii="Arial Narrow" w:hAnsi="Arial Narrow" w:cs="Arial"/>
                <w:sz w:val="20"/>
                <w:szCs w:val="20"/>
                <w:lang w:eastAsia="en-PH"/>
              </w:rPr>
            </w:pPr>
          </w:p>
        </w:tc>
        <w:tc>
          <w:tcPr>
            <w:tcW w:w="1458" w:type="dxa"/>
            <w:noWrap/>
            <w:vAlign w:val="center"/>
            <w:hideMark/>
          </w:tcPr>
          <w:p w:rsidR="00A6434E" w:rsidRPr="004573F8" w:rsidRDefault="00A6434E" w:rsidP="00405B12">
            <w:pPr>
              <w:spacing w:after="0" w:line="240" w:lineRule="auto"/>
              <w:rPr>
                <w:rFonts w:ascii="Arial Narrow" w:hAnsi="Arial Narrow" w:cs="Arial"/>
                <w:sz w:val="20"/>
                <w:szCs w:val="20"/>
                <w:lang w:eastAsia="en-PH"/>
              </w:rPr>
            </w:pPr>
          </w:p>
        </w:tc>
        <w:tc>
          <w:tcPr>
            <w:tcW w:w="259" w:type="dxa"/>
            <w:vAlign w:val="center"/>
          </w:tcPr>
          <w:p w:rsidR="00A6434E" w:rsidRPr="004573F8" w:rsidRDefault="00A6434E" w:rsidP="00405B12">
            <w:pPr>
              <w:spacing w:after="0" w:line="240" w:lineRule="auto"/>
              <w:jc w:val="right"/>
              <w:rPr>
                <w:rFonts w:ascii="Arial Narrow" w:eastAsia="Times New Roman" w:hAnsi="Arial Narrow" w:cs="Arial"/>
                <w:sz w:val="20"/>
                <w:szCs w:val="20"/>
                <w:lang w:eastAsia="en-PH"/>
              </w:rPr>
            </w:pPr>
          </w:p>
        </w:tc>
        <w:tc>
          <w:tcPr>
            <w:tcW w:w="1458" w:type="dxa"/>
            <w:noWrap/>
            <w:vAlign w:val="bottom"/>
            <w:hideMark/>
          </w:tcPr>
          <w:p w:rsidR="00A6434E" w:rsidRPr="004573F8" w:rsidRDefault="00A6434E" w:rsidP="00405B12">
            <w:pPr>
              <w:spacing w:after="0" w:line="240" w:lineRule="auto"/>
              <w:jc w:val="right"/>
              <w:rPr>
                <w:rFonts w:ascii="Arial Narrow" w:hAnsi="Arial Narrow" w:cs="Arial"/>
                <w:sz w:val="20"/>
                <w:szCs w:val="20"/>
              </w:rPr>
            </w:pPr>
            <w:r w:rsidRPr="004573F8">
              <w:rPr>
                <w:rFonts w:ascii="Arial Narrow" w:hAnsi="Arial Narrow" w:cs="Arial"/>
                <w:sz w:val="20"/>
                <w:szCs w:val="20"/>
              </w:rPr>
              <w:t>21,683.95</w:t>
            </w:r>
          </w:p>
        </w:tc>
        <w:tc>
          <w:tcPr>
            <w:tcW w:w="427" w:type="dxa"/>
            <w:vAlign w:val="center"/>
          </w:tcPr>
          <w:p w:rsidR="00A6434E" w:rsidRPr="004573F8" w:rsidRDefault="00A6434E" w:rsidP="00405B12">
            <w:pPr>
              <w:spacing w:after="0" w:line="240" w:lineRule="auto"/>
              <w:jc w:val="right"/>
              <w:rPr>
                <w:rFonts w:ascii="Arial Narrow" w:hAnsi="Arial Narrow" w:cs="Arial"/>
                <w:sz w:val="20"/>
                <w:szCs w:val="20"/>
                <w:lang w:eastAsia="en-PH"/>
              </w:rPr>
            </w:pPr>
          </w:p>
        </w:tc>
        <w:tc>
          <w:tcPr>
            <w:tcW w:w="1298" w:type="dxa"/>
            <w:noWrap/>
            <w:vAlign w:val="bottom"/>
          </w:tcPr>
          <w:p w:rsidR="00A6434E" w:rsidRPr="004573F8" w:rsidRDefault="00A6434E" w:rsidP="00405B12">
            <w:pPr>
              <w:spacing w:after="0" w:line="240" w:lineRule="auto"/>
              <w:rPr>
                <w:rFonts w:ascii="Arial Narrow" w:hAnsi="Arial Narrow" w:cs="Arial"/>
                <w:sz w:val="20"/>
                <w:szCs w:val="20"/>
              </w:rPr>
            </w:pPr>
          </w:p>
        </w:tc>
        <w:tc>
          <w:tcPr>
            <w:tcW w:w="265" w:type="dxa"/>
            <w:vAlign w:val="center"/>
          </w:tcPr>
          <w:p w:rsidR="00A6434E" w:rsidRPr="004573F8" w:rsidRDefault="00A6434E" w:rsidP="00405B12">
            <w:pPr>
              <w:spacing w:after="0" w:line="240" w:lineRule="auto"/>
              <w:jc w:val="right"/>
              <w:rPr>
                <w:rFonts w:ascii="Arial Narrow" w:hAnsi="Arial Narrow" w:cs="Arial"/>
                <w:sz w:val="20"/>
                <w:szCs w:val="20"/>
                <w:lang w:eastAsia="en-PH"/>
              </w:rPr>
            </w:pPr>
          </w:p>
        </w:tc>
        <w:tc>
          <w:tcPr>
            <w:tcW w:w="1425" w:type="dxa"/>
            <w:noWrap/>
            <w:vAlign w:val="bottom"/>
            <w:hideMark/>
          </w:tcPr>
          <w:p w:rsidR="00A6434E" w:rsidRPr="004573F8" w:rsidRDefault="00A6434E" w:rsidP="00405B12">
            <w:pPr>
              <w:spacing w:after="0" w:line="240" w:lineRule="auto"/>
              <w:jc w:val="right"/>
              <w:rPr>
                <w:rFonts w:ascii="Arial Narrow" w:hAnsi="Arial Narrow" w:cs="Arial"/>
                <w:sz w:val="20"/>
                <w:szCs w:val="20"/>
              </w:rPr>
            </w:pPr>
            <w:r w:rsidRPr="004573F8">
              <w:rPr>
                <w:rFonts w:ascii="Arial Narrow" w:hAnsi="Arial Narrow" w:cs="Arial"/>
                <w:sz w:val="20"/>
                <w:szCs w:val="20"/>
              </w:rPr>
              <w:t>21,683.95</w:t>
            </w:r>
          </w:p>
        </w:tc>
      </w:tr>
      <w:tr w:rsidR="00A6434E" w:rsidRPr="00F578DA" w:rsidTr="00997013">
        <w:trPr>
          <w:trHeight w:val="201"/>
          <w:jc w:val="right"/>
        </w:trPr>
        <w:tc>
          <w:tcPr>
            <w:tcW w:w="685" w:type="dxa"/>
            <w:noWrap/>
            <w:vAlign w:val="center"/>
            <w:hideMark/>
          </w:tcPr>
          <w:p w:rsidR="00A6434E" w:rsidRPr="004573F8" w:rsidRDefault="00A6434E" w:rsidP="00997013">
            <w:pPr>
              <w:spacing w:after="0" w:line="240" w:lineRule="auto"/>
              <w:ind w:hanging="44"/>
              <w:jc w:val="center"/>
              <w:rPr>
                <w:rFonts w:ascii="Arial Narrow" w:hAnsi="Arial Narrow" w:cs="Arial"/>
                <w:sz w:val="20"/>
                <w:szCs w:val="20"/>
              </w:rPr>
            </w:pPr>
            <w:r w:rsidRPr="004573F8">
              <w:rPr>
                <w:rFonts w:ascii="Arial Narrow" w:hAnsi="Arial Narrow" w:cs="Arial"/>
                <w:sz w:val="20"/>
                <w:szCs w:val="20"/>
              </w:rPr>
              <w:t>2013</w:t>
            </w:r>
          </w:p>
        </w:tc>
        <w:tc>
          <w:tcPr>
            <w:tcW w:w="259" w:type="dxa"/>
            <w:vAlign w:val="center"/>
          </w:tcPr>
          <w:p w:rsidR="00A6434E" w:rsidRPr="004573F8" w:rsidRDefault="00A6434E" w:rsidP="00405B12">
            <w:pPr>
              <w:spacing w:after="0" w:line="240" w:lineRule="auto"/>
              <w:jc w:val="right"/>
              <w:rPr>
                <w:rFonts w:ascii="Arial Narrow" w:hAnsi="Arial Narrow" w:cs="Arial"/>
                <w:sz w:val="20"/>
                <w:szCs w:val="20"/>
                <w:lang w:eastAsia="en-PH"/>
              </w:rPr>
            </w:pPr>
          </w:p>
        </w:tc>
        <w:tc>
          <w:tcPr>
            <w:tcW w:w="1458" w:type="dxa"/>
            <w:noWrap/>
            <w:vAlign w:val="bottom"/>
            <w:hideMark/>
          </w:tcPr>
          <w:p w:rsidR="00A6434E" w:rsidRPr="004573F8" w:rsidRDefault="00A6434E" w:rsidP="00405B12">
            <w:pPr>
              <w:spacing w:after="0" w:line="240" w:lineRule="auto"/>
              <w:jc w:val="right"/>
              <w:rPr>
                <w:rFonts w:ascii="Arial Narrow" w:eastAsia="Times New Roman" w:hAnsi="Arial Narrow" w:cs="Arial"/>
                <w:sz w:val="20"/>
                <w:szCs w:val="20"/>
              </w:rPr>
            </w:pPr>
            <w:r w:rsidRPr="004573F8">
              <w:rPr>
                <w:rFonts w:ascii="Arial Narrow" w:hAnsi="Arial Narrow" w:cs="Arial"/>
                <w:sz w:val="20"/>
                <w:szCs w:val="20"/>
              </w:rPr>
              <w:t>11,147,697.85</w:t>
            </w:r>
          </w:p>
        </w:tc>
        <w:tc>
          <w:tcPr>
            <w:tcW w:w="259" w:type="dxa"/>
            <w:vAlign w:val="center"/>
          </w:tcPr>
          <w:p w:rsidR="00A6434E" w:rsidRPr="004573F8" w:rsidRDefault="00A6434E" w:rsidP="00405B12">
            <w:pPr>
              <w:spacing w:after="0" w:line="240" w:lineRule="auto"/>
              <w:jc w:val="right"/>
              <w:rPr>
                <w:rFonts w:ascii="Arial Narrow" w:hAnsi="Arial Narrow" w:cs="Arial"/>
                <w:sz w:val="20"/>
                <w:szCs w:val="20"/>
                <w:lang w:eastAsia="en-PH"/>
              </w:rPr>
            </w:pPr>
          </w:p>
        </w:tc>
        <w:tc>
          <w:tcPr>
            <w:tcW w:w="1458" w:type="dxa"/>
            <w:noWrap/>
            <w:vAlign w:val="bottom"/>
            <w:hideMark/>
          </w:tcPr>
          <w:p w:rsidR="00A6434E" w:rsidRPr="004573F8" w:rsidRDefault="00A6434E" w:rsidP="00405B12">
            <w:pPr>
              <w:spacing w:after="0" w:line="240" w:lineRule="auto"/>
              <w:jc w:val="right"/>
              <w:rPr>
                <w:rFonts w:ascii="Arial Narrow" w:hAnsi="Arial Narrow" w:cs="Arial"/>
                <w:sz w:val="20"/>
                <w:szCs w:val="20"/>
              </w:rPr>
            </w:pPr>
          </w:p>
        </w:tc>
        <w:tc>
          <w:tcPr>
            <w:tcW w:w="427" w:type="dxa"/>
            <w:vAlign w:val="center"/>
          </w:tcPr>
          <w:p w:rsidR="00A6434E" w:rsidRPr="004573F8" w:rsidRDefault="00A6434E" w:rsidP="00405B12">
            <w:pPr>
              <w:spacing w:after="0" w:line="240" w:lineRule="auto"/>
              <w:jc w:val="right"/>
              <w:rPr>
                <w:rFonts w:ascii="Arial Narrow" w:hAnsi="Arial Narrow" w:cs="Arial"/>
                <w:sz w:val="20"/>
                <w:szCs w:val="20"/>
                <w:lang w:eastAsia="en-PH"/>
              </w:rPr>
            </w:pPr>
          </w:p>
        </w:tc>
        <w:tc>
          <w:tcPr>
            <w:tcW w:w="1298" w:type="dxa"/>
            <w:noWrap/>
            <w:vAlign w:val="bottom"/>
          </w:tcPr>
          <w:p w:rsidR="00A6434E" w:rsidRPr="004573F8" w:rsidRDefault="00A6434E" w:rsidP="00405B12">
            <w:pPr>
              <w:spacing w:after="0" w:line="240" w:lineRule="auto"/>
              <w:rPr>
                <w:rFonts w:ascii="Arial Narrow" w:hAnsi="Arial Narrow" w:cs="Arial"/>
                <w:sz w:val="20"/>
                <w:szCs w:val="20"/>
              </w:rPr>
            </w:pPr>
          </w:p>
        </w:tc>
        <w:tc>
          <w:tcPr>
            <w:tcW w:w="265" w:type="dxa"/>
            <w:vAlign w:val="center"/>
          </w:tcPr>
          <w:p w:rsidR="00A6434E" w:rsidRPr="004573F8" w:rsidRDefault="00A6434E" w:rsidP="00405B12">
            <w:pPr>
              <w:spacing w:after="0" w:line="240" w:lineRule="auto"/>
              <w:jc w:val="right"/>
              <w:rPr>
                <w:rFonts w:ascii="Arial Narrow" w:hAnsi="Arial Narrow" w:cs="Arial"/>
                <w:sz w:val="20"/>
                <w:szCs w:val="20"/>
                <w:lang w:eastAsia="en-PH"/>
              </w:rPr>
            </w:pPr>
          </w:p>
        </w:tc>
        <w:tc>
          <w:tcPr>
            <w:tcW w:w="1425" w:type="dxa"/>
            <w:noWrap/>
            <w:vAlign w:val="bottom"/>
            <w:hideMark/>
          </w:tcPr>
          <w:p w:rsidR="00A6434E" w:rsidRPr="004573F8" w:rsidRDefault="00A6434E" w:rsidP="00405B12">
            <w:pPr>
              <w:spacing w:after="0" w:line="240" w:lineRule="auto"/>
              <w:jc w:val="right"/>
              <w:rPr>
                <w:rFonts w:ascii="Arial Narrow" w:hAnsi="Arial Narrow" w:cs="Arial"/>
                <w:sz w:val="20"/>
                <w:szCs w:val="20"/>
              </w:rPr>
            </w:pPr>
            <w:r w:rsidRPr="004573F8">
              <w:rPr>
                <w:rFonts w:ascii="Arial Narrow" w:hAnsi="Arial Narrow" w:cs="Arial"/>
                <w:sz w:val="20"/>
                <w:szCs w:val="20"/>
              </w:rPr>
              <w:t>11,147,697.85</w:t>
            </w:r>
          </w:p>
        </w:tc>
      </w:tr>
      <w:tr w:rsidR="00A6434E" w:rsidRPr="00F578DA" w:rsidTr="00997013">
        <w:trPr>
          <w:trHeight w:val="168"/>
          <w:jc w:val="right"/>
        </w:trPr>
        <w:tc>
          <w:tcPr>
            <w:tcW w:w="685" w:type="dxa"/>
            <w:noWrap/>
            <w:vAlign w:val="center"/>
            <w:hideMark/>
          </w:tcPr>
          <w:p w:rsidR="00A6434E" w:rsidRPr="004573F8" w:rsidRDefault="00A6434E" w:rsidP="00997013">
            <w:pPr>
              <w:spacing w:after="0" w:line="240" w:lineRule="auto"/>
              <w:ind w:hanging="44"/>
              <w:jc w:val="center"/>
              <w:rPr>
                <w:rFonts w:ascii="Arial Narrow" w:hAnsi="Arial Narrow" w:cs="Arial"/>
                <w:sz w:val="20"/>
                <w:szCs w:val="20"/>
              </w:rPr>
            </w:pPr>
            <w:r w:rsidRPr="004573F8">
              <w:rPr>
                <w:rFonts w:ascii="Arial Narrow" w:hAnsi="Arial Narrow" w:cs="Arial"/>
                <w:sz w:val="20"/>
                <w:szCs w:val="20"/>
              </w:rPr>
              <w:t>2014</w:t>
            </w:r>
          </w:p>
        </w:tc>
        <w:tc>
          <w:tcPr>
            <w:tcW w:w="259" w:type="dxa"/>
            <w:vAlign w:val="center"/>
          </w:tcPr>
          <w:p w:rsidR="00A6434E" w:rsidRPr="004573F8" w:rsidRDefault="00A6434E" w:rsidP="00405B12">
            <w:pPr>
              <w:spacing w:after="0" w:line="240" w:lineRule="auto"/>
              <w:jc w:val="right"/>
              <w:rPr>
                <w:rFonts w:ascii="Arial Narrow" w:hAnsi="Arial Narrow" w:cs="Arial"/>
                <w:sz w:val="20"/>
                <w:szCs w:val="20"/>
                <w:lang w:eastAsia="en-PH"/>
              </w:rPr>
            </w:pPr>
          </w:p>
        </w:tc>
        <w:tc>
          <w:tcPr>
            <w:tcW w:w="1458" w:type="dxa"/>
            <w:noWrap/>
            <w:vAlign w:val="bottom"/>
            <w:hideMark/>
          </w:tcPr>
          <w:p w:rsidR="00A6434E" w:rsidRPr="004573F8" w:rsidRDefault="00A6434E" w:rsidP="00405B12">
            <w:pPr>
              <w:spacing w:after="0" w:line="240" w:lineRule="auto"/>
              <w:jc w:val="right"/>
              <w:rPr>
                <w:rFonts w:ascii="Arial Narrow" w:hAnsi="Arial Narrow" w:cs="Arial"/>
                <w:sz w:val="20"/>
                <w:szCs w:val="20"/>
              </w:rPr>
            </w:pPr>
            <w:r w:rsidRPr="004573F8">
              <w:rPr>
                <w:rFonts w:ascii="Arial Narrow" w:hAnsi="Arial Narrow" w:cs="Arial"/>
                <w:sz w:val="20"/>
                <w:szCs w:val="20"/>
              </w:rPr>
              <w:t>3,156,685.85</w:t>
            </w:r>
          </w:p>
        </w:tc>
        <w:tc>
          <w:tcPr>
            <w:tcW w:w="259" w:type="dxa"/>
            <w:vAlign w:val="center"/>
          </w:tcPr>
          <w:p w:rsidR="00A6434E" w:rsidRPr="004573F8" w:rsidRDefault="00A6434E" w:rsidP="00405B12">
            <w:pPr>
              <w:spacing w:after="0" w:line="240" w:lineRule="auto"/>
              <w:jc w:val="right"/>
              <w:rPr>
                <w:rFonts w:ascii="Arial Narrow" w:hAnsi="Arial Narrow" w:cs="Arial"/>
                <w:sz w:val="20"/>
                <w:szCs w:val="20"/>
                <w:lang w:eastAsia="en-PH"/>
              </w:rPr>
            </w:pPr>
          </w:p>
        </w:tc>
        <w:tc>
          <w:tcPr>
            <w:tcW w:w="1458" w:type="dxa"/>
            <w:noWrap/>
            <w:vAlign w:val="bottom"/>
            <w:hideMark/>
          </w:tcPr>
          <w:p w:rsidR="00A6434E" w:rsidRPr="004573F8" w:rsidRDefault="00A6434E" w:rsidP="00405B12">
            <w:pPr>
              <w:spacing w:after="0" w:line="240" w:lineRule="auto"/>
              <w:jc w:val="right"/>
              <w:rPr>
                <w:rFonts w:ascii="Arial Narrow" w:hAnsi="Arial Narrow" w:cs="Arial"/>
                <w:sz w:val="20"/>
                <w:szCs w:val="20"/>
              </w:rPr>
            </w:pPr>
            <w:r w:rsidRPr="004573F8">
              <w:rPr>
                <w:rFonts w:ascii="Arial Narrow" w:hAnsi="Arial Narrow" w:cs="Arial"/>
                <w:sz w:val="20"/>
                <w:szCs w:val="20"/>
              </w:rPr>
              <w:t>65,625.02</w:t>
            </w:r>
          </w:p>
        </w:tc>
        <w:tc>
          <w:tcPr>
            <w:tcW w:w="427" w:type="dxa"/>
            <w:vAlign w:val="center"/>
          </w:tcPr>
          <w:p w:rsidR="00A6434E" w:rsidRPr="004573F8" w:rsidRDefault="00A6434E" w:rsidP="00405B12">
            <w:pPr>
              <w:spacing w:after="0" w:line="240" w:lineRule="auto"/>
              <w:jc w:val="right"/>
              <w:rPr>
                <w:rFonts w:ascii="Arial Narrow" w:hAnsi="Arial Narrow" w:cs="Arial"/>
                <w:sz w:val="20"/>
                <w:szCs w:val="20"/>
                <w:lang w:eastAsia="en-PH"/>
              </w:rPr>
            </w:pPr>
          </w:p>
        </w:tc>
        <w:tc>
          <w:tcPr>
            <w:tcW w:w="1298" w:type="dxa"/>
            <w:noWrap/>
            <w:vAlign w:val="bottom"/>
            <w:hideMark/>
          </w:tcPr>
          <w:p w:rsidR="00A6434E" w:rsidRPr="004573F8" w:rsidRDefault="00A6434E" w:rsidP="00405B12">
            <w:pPr>
              <w:spacing w:after="0" w:line="240" w:lineRule="auto"/>
              <w:jc w:val="right"/>
              <w:rPr>
                <w:rFonts w:ascii="Arial Narrow" w:hAnsi="Arial Narrow" w:cs="Arial"/>
                <w:sz w:val="20"/>
                <w:szCs w:val="20"/>
              </w:rPr>
            </w:pPr>
            <w:r w:rsidRPr="004573F8">
              <w:rPr>
                <w:rFonts w:ascii="Arial Narrow" w:hAnsi="Arial Narrow" w:cs="Arial"/>
                <w:sz w:val="20"/>
                <w:szCs w:val="20"/>
              </w:rPr>
              <w:t>200,403.24</w:t>
            </w:r>
          </w:p>
        </w:tc>
        <w:tc>
          <w:tcPr>
            <w:tcW w:w="265" w:type="dxa"/>
            <w:vAlign w:val="center"/>
          </w:tcPr>
          <w:p w:rsidR="00A6434E" w:rsidRPr="004573F8" w:rsidRDefault="00A6434E" w:rsidP="00405B12">
            <w:pPr>
              <w:spacing w:after="0" w:line="240" w:lineRule="auto"/>
              <w:jc w:val="right"/>
              <w:rPr>
                <w:rFonts w:ascii="Arial Narrow" w:hAnsi="Arial Narrow" w:cs="Arial"/>
                <w:sz w:val="20"/>
                <w:szCs w:val="20"/>
                <w:lang w:eastAsia="en-PH"/>
              </w:rPr>
            </w:pPr>
          </w:p>
        </w:tc>
        <w:tc>
          <w:tcPr>
            <w:tcW w:w="1425" w:type="dxa"/>
            <w:noWrap/>
            <w:vAlign w:val="bottom"/>
            <w:hideMark/>
          </w:tcPr>
          <w:p w:rsidR="00A6434E" w:rsidRPr="004573F8" w:rsidRDefault="00A6434E" w:rsidP="00405B12">
            <w:pPr>
              <w:spacing w:after="0" w:line="240" w:lineRule="auto"/>
              <w:jc w:val="right"/>
              <w:rPr>
                <w:rFonts w:ascii="Arial Narrow" w:hAnsi="Arial Narrow" w:cs="Arial"/>
                <w:sz w:val="20"/>
                <w:szCs w:val="20"/>
              </w:rPr>
            </w:pPr>
            <w:r w:rsidRPr="004573F8">
              <w:rPr>
                <w:rFonts w:ascii="Arial Narrow" w:hAnsi="Arial Narrow" w:cs="Arial"/>
                <w:sz w:val="20"/>
                <w:szCs w:val="20"/>
              </w:rPr>
              <w:t>3,422,714.11</w:t>
            </w:r>
          </w:p>
        </w:tc>
      </w:tr>
      <w:tr w:rsidR="00A6434E" w:rsidRPr="00F578DA" w:rsidTr="00997013">
        <w:trPr>
          <w:trHeight w:val="168"/>
          <w:jc w:val="right"/>
        </w:trPr>
        <w:tc>
          <w:tcPr>
            <w:tcW w:w="685" w:type="dxa"/>
            <w:noWrap/>
            <w:vAlign w:val="center"/>
            <w:hideMark/>
          </w:tcPr>
          <w:p w:rsidR="00A6434E" w:rsidRPr="004573F8" w:rsidRDefault="00A6434E" w:rsidP="00997013">
            <w:pPr>
              <w:spacing w:after="0" w:line="240" w:lineRule="auto"/>
              <w:ind w:hanging="44"/>
              <w:jc w:val="center"/>
              <w:rPr>
                <w:rFonts w:ascii="Arial Narrow" w:hAnsi="Arial Narrow" w:cs="Arial"/>
                <w:sz w:val="20"/>
                <w:szCs w:val="20"/>
              </w:rPr>
            </w:pPr>
            <w:r w:rsidRPr="004573F8">
              <w:rPr>
                <w:rFonts w:ascii="Arial Narrow" w:hAnsi="Arial Narrow" w:cs="Arial"/>
                <w:sz w:val="20"/>
                <w:szCs w:val="20"/>
              </w:rPr>
              <w:t>2015</w:t>
            </w:r>
          </w:p>
        </w:tc>
        <w:tc>
          <w:tcPr>
            <w:tcW w:w="259" w:type="dxa"/>
            <w:vAlign w:val="center"/>
          </w:tcPr>
          <w:p w:rsidR="00A6434E" w:rsidRPr="004573F8" w:rsidRDefault="00A6434E" w:rsidP="00405B12">
            <w:pPr>
              <w:spacing w:after="0" w:line="240" w:lineRule="auto"/>
              <w:jc w:val="right"/>
              <w:rPr>
                <w:rFonts w:ascii="Arial Narrow" w:hAnsi="Arial Narrow" w:cs="Arial"/>
                <w:sz w:val="20"/>
                <w:szCs w:val="20"/>
                <w:lang w:eastAsia="en-PH"/>
              </w:rPr>
            </w:pPr>
          </w:p>
        </w:tc>
        <w:tc>
          <w:tcPr>
            <w:tcW w:w="1458" w:type="dxa"/>
            <w:noWrap/>
            <w:vAlign w:val="bottom"/>
            <w:hideMark/>
          </w:tcPr>
          <w:p w:rsidR="00A6434E" w:rsidRPr="004573F8" w:rsidRDefault="00A6434E" w:rsidP="00405B12">
            <w:pPr>
              <w:spacing w:after="0" w:line="240" w:lineRule="auto"/>
              <w:jc w:val="right"/>
              <w:rPr>
                <w:rFonts w:ascii="Arial Narrow" w:hAnsi="Arial Narrow" w:cs="Arial"/>
                <w:sz w:val="20"/>
                <w:szCs w:val="20"/>
              </w:rPr>
            </w:pPr>
            <w:r w:rsidRPr="004573F8">
              <w:rPr>
                <w:rFonts w:ascii="Arial Narrow" w:hAnsi="Arial Narrow" w:cs="Arial"/>
                <w:sz w:val="20"/>
                <w:szCs w:val="20"/>
              </w:rPr>
              <w:t>9,952,210.20</w:t>
            </w:r>
          </w:p>
        </w:tc>
        <w:tc>
          <w:tcPr>
            <w:tcW w:w="259" w:type="dxa"/>
            <w:vAlign w:val="center"/>
          </w:tcPr>
          <w:p w:rsidR="00A6434E" w:rsidRPr="004573F8" w:rsidRDefault="00A6434E" w:rsidP="00405B12">
            <w:pPr>
              <w:spacing w:after="0" w:line="240" w:lineRule="auto"/>
              <w:jc w:val="right"/>
              <w:rPr>
                <w:rFonts w:ascii="Arial Narrow" w:hAnsi="Arial Narrow" w:cs="Arial"/>
                <w:sz w:val="20"/>
                <w:szCs w:val="20"/>
                <w:lang w:eastAsia="en-PH"/>
              </w:rPr>
            </w:pPr>
          </w:p>
        </w:tc>
        <w:tc>
          <w:tcPr>
            <w:tcW w:w="1458" w:type="dxa"/>
            <w:noWrap/>
            <w:vAlign w:val="bottom"/>
            <w:hideMark/>
          </w:tcPr>
          <w:p w:rsidR="00A6434E" w:rsidRPr="004573F8" w:rsidRDefault="00A6434E" w:rsidP="00405B12">
            <w:pPr>
              <w:spacing w:after="0" w:line="240" w:lineRule="auto"/>
              <w:jc w:val="right"/>
              <w:rPr>
                <w:rFonts w:ascii="Arial Narrow" w:hAnsi="Arial Narrow" w:cs="Arial"/>
                <w:sz w:val="20"/>
                <w:szCs w:val="20"/>
              </w:rPr>
            </w:pPr>
            <w:r w:rsidRPr="004573F8">
              <w:rPr>
                <w:rFonts w:ascii="Arial Narrow" w:hAnsi="Arial Narrow" w:cs="Arial"/>
                <w:sz w:val="20"/>
                <w:szCs w:val="20"/>
              </w:rPr>
              <w:t>6,466,503.17</w:t>
            </w:r>
          </w:p>
        </w:tc>
        <w:tc>
          <w:tcPr>
            <w:tcW w:w="427" w:type="dxa"/>
            <w:vAlign w:val="center"/>
          </w:tcPr>
          <w:p w:rsidR="00A6434E" w:rsidRPr="004573F8" w:rsidRDefault="00A6434E" w:rsidP="00405B12">
            <w:pPr>
              <w:spacing w:after="0" w:line="240" w:lineRule="auto"/>
              <w:jc w:val="right"/>
              <w:rPr>
                <w:rFonts w:ascii="Arial Narrow" w:hAnsi="Arial Narrow" w:cs="Arial"/>
                <w:sz w:val="20"/>
                <w:szCs w:val="20"/>
                <w:lang w:eastAsia="en-PH"/>
              </w:rPr>
            </w:pPr>
          </w:p>
        </w:tc>
        <w:tc>
          <w:tcPr>
            <w:tcW w:w="1298" w:type="dxa"/>
            <w:noWrap/>
            <w:vAlign w:val="bottom"/>
            <w:hideMark/>
          </w:tcPr>
          <w:p w:rsidR="00A6434E" w:rsidRPr="004573F8" w:rsidRDefault="00A6434E" w:rsidP="00405B12">
            <w:pPr>
              <w:spacing w:after="0" w:line="240" w:lineRule="auto"/>
              <w:jc w:val="right"/>
              <w:rPr>
                <w:rFonts w:ascii="Arial Narrow" w:hAnsi="Arial Narrow" w:cs="Arial"/>
                <w:sz w:val="20"/>
                <w:szCs w:val="20"/>
              </w:rPr>
            </w:pPr>
            <w:r w:rsidRPr="004573F8">
              <w:rPr>
                <w:rFonts w:ascii="Arial Narrow" w:hAnsi="Arial Narrow" w:cs="Arial"/>
                <w:sz w:val="20"/>
                <w:szCs w:val="20"/>
              </w:rPr>
              <w:t>0.01</w:t>
            </w:r>
          </w:p>
        </w:tc>
        <w:tc>
          <w:tcPr>
            <w:tcW w:w="265" w:type="dxa"/>
            <w:vAlign w:val="center"/>
          </w:tcPr>
          <w:p w:rsidR="00A6434E" w:rsidRPr="004573F8" w:rsidRDefault="00A6434E" w:rsidP="00405B12">
            <w:pPr>
              <w:spacing w:after="0" w:line="240" w:lineRule="auto"/>
              <w:jc w:val="right"/>
              <w:rPr>
                <w:rFonts w:ascii="Arial Narrow" w:hAnsi="Arial Narrow" w:cs="Arial"/>
                <w:sz w:val="20"/>
                <w:szCs w:val="20"/>
                <w:lang w:eastAsia="en-PH"/>
              </w:rPr>
            </w:pPr>
          </w:p>
        </w:tc>
        <w:tc>
          <w:tcPr>
            <w:tcW w:w="1425" w:type="dxa"/>
            <w:noWrap/>
            <w:vAlign w:val="bottom"/>
            <w:hideMark/>
          </w:tcPr>
          <w:p w:rsidR="00A6434E" w:rsidRPr="004573F8" w:rsidRDefault="00A6434E" w:rsidP="00405B12">
            <w:pPr>
              <w:spacing w:after="0" w:line="240" w:lineRule="auto"/>
              <w:jc w:val="right"/>
              <w:rPr>
                <w:rFonts w:ascii="Arial Narrow" w:hAnsi="Arial Narrow" w:cs="Arial"/>
                <w:sz w:val="20"/>
                <w:szCs w:val="20"/>
              </w:rPr>
            </w:pPr>
            <w:r w:rsidRPr="004573F8">
              <w:rPr>
                <w:rFonts w:ascii="Arial Narrow" w:hAnsi="Arial Narrow" w:cs="Arial"/>
                <w:sz w:val="20"/>
                <w:szCs w:val="20"/>
              </w:rPr>
              <w:t>16,418,713.38</w:t>
            </w:r>
          </w:p>
        </w:tc>
      </w:tr>
      <w:tr w:rsidR="00A6434E" w:rsidRPr="00F578DA" w:rsidTr="00997013">
        <w:trPr>
          <w:trHeight w:val="159"/>
          <w:jc w:val="right"/>
        </w:trPr>
        <w:tc>
          <w:tcPr>
            <w:tcW w:w="685" w:type="dxa"/>
            <w:noWrap/>
            <w:vAlign w:val="center"/>
            <w:hideMark/>
          </w:tcPr>
          <w:p w:rsidR="00A6434E" w:rsidRPr="004573F8" w:rsidRDefault="00A6434E" w:rsidP="00997013">
            <w:pPr>
              <w:spacing w:after="0" w:line="240" w:lineRule="auto"/>
              <w:ind w:hanging="44"/>
              <w:jc w:val="center"/>
              <w:rPr>
                <w:rFonts w:ascii="Arial Narrow" w:hAnsi="Arial Narrow" w:cs="Arial"/>
                <w:sz w:val="20"/>
                <w:szCs w:val="20"/>
              </w:rPr>
            </w:pPr>
            <w:r w:rsidRPr="004573F8">
              <w:rPr>
                <w:rFonts w:ascii="Arial Narrow" w:hAnsi="Arial Narrow" w:cs="Arial"/>
                <w:sz w:val="20"/>
                <w:szCs w:val="20"/>
              </w:rPr>
              <w:t>2016</w:t>
            </w:r>
          </w:p>
        </w:tc>
        <w:tc>
          <w:tcPr>
            <w:tcW w:w="259" w:type="dxa"/>
            <w:vAlign w:val="center"/>
          </w:tcPr>
          <w:p w:rsidR="00A6434E" w:rsidRPr="004573F8" w:rsidRDefault="00A6434E" w:rsidP="00405B12">
            <w:pPr>
              <w:spacing w:after="0" w:line="240" w:lineRule="auto"/>
              <w:jc w:val="right"/>
              <w:rPr>
                <w:rFonts w:ascii="Arial Narrow" w:hAnsi="Arial Narrow" w:cs="Arial"/>
                <w:sz w:val="20"/>
                <w:szCs w:val="20"/>
                <w:lang w:eastAsia="en-PH"/>
              </w:rPr>
            </w:pPr>
          </w:p>
        </w:tc>
        <w:tc>
          <w:tcPr>
            <w:tcW w:w="1458" w:type="dxa"/>
            <w:noWrap/>
            <w:vAlign w:val="bottom"/>
            <w:hideMark/>
          </w:tcPr>
          <w:p w:rsidR="00A6434E" w:rsidRPr="004573F8" w:rsidRDefault="00A6434E" w:rsidP="00405B12">
            <w:pPr>
              <w:spacing w:after="0" w:line="240" w:lineRule="auto"/>
              <w:jc w:val="right"/>
              <w:rPr>
                <w:rFonts w:ascii="Arial Narrow" w:hAnsi="Arial Narrow" w:cs="Arial"/>
                <w:sz w:val="20"/>
                <w:szCs w:val="20"/>
              </w:rPr>
            </w:pPr>
            <w:r w:rsidRPr="004573F8">
              <w:rPr>
                <w:rFonts w:ascii="Arial Narrow" w:hAnsi="Arial Narrow" w:cs="Arial"/>
                <w:sz w:val="20"/>
                <w:szCs w:val="20"/>
              </w:rPr>
              <w:t>1,095,000.10</w:t>
            </w:r>
          </w:p>
        </w:tc>
        <w:tc>
          <w:tcPr>
            <w:tcW w:w="259" w:type="dxa"/>
            <w:vAlign w:val="center"/>
          </w:tcPr>
          <w:p w:rsidR="00A6434E" w:rsidRPr="004573F8" w:rsidRDefault="00A6434E" w:rsidP="00405B12">
            <w:pPr>
              <w:spacing w:after="0" w:line="240" w:lineRule="auto"/>
              <w:jc w:val="right"/>
              <w:rPr>
                <w:rFonts w:ascii="Arial Narrow" w:hAnsi="Arial Narrow" w:cs="Arial"/>
                <w:sz w:val="20"/>
                <w:szCs w:val="20"/>
                <w:lang w:eastAsia="en-PH"/>
              </w:rPr>
            </w:pPr>
          </w:p>
        </w:tc>
        <w:tc>
          <w:tcPr>
            <w:tcW w:w="1458" w:type="dxa"/>
            <w:noWrap/>
            <w:vAlign w:val="bottom"/>
            <w:hideMark/>
          </w:tcPr>
          <w:p w:rsidR="00A6434E" w:rsidRPr="004573F8" w:rsidRDefault="00A6434E" w:rsidP="00405B12">
            <w:pPr>
              <w:spacing w:after="0" w:line="240" w:lineRule="auto"/>
              <w:jc w:val="right"/>
              <w:rPr>
                <w:rFonts w:ascii="Arial Narrow" w:hAnsi="Arial Narrow" w:cs="Arial"/>
                <w:sz w:val="20"/>
                <w:szCs w:val="20"/>
              </w:rPr>
            </w:pPr>
            <w:r w:rsidRPr="004573F8">
              <w:rPr>
                <w:rFonts w:ascii="Arial Narrow" w:hAnsi="Arial Narrow" w:cs="Arial"/>
                <w:sz w:val="20"/>
                <w:szCs w:val="20"/>
              </w:rPr>
              <w:t>(24,540.00)</w:t>
            </w:r>
          </w:p>
        </w:tc>
        <w:tc>
          <w:tcPr>
            <w:tcW w:w="427" w:type="dxa"/>
            <w:vAlign w:val="center"/>
          </w:tcPr>
          <w:p w:rsidR="00A6434E" w:rsidRPr="004573F8" w:rsidRDefault="00A6434E" w:rsidP="00405B12">
            <w:pPr>
              <w:spacing w:after="0" w:line="240" w:lineRule="auto"/>
              <w:jc w:val="right"/>
              <w:rPr>
                <w:rFonts w:ascii="Arial Narrow" w:hAnsi="Arial Narrow" w:cs="Arial"/>
                <w:sz w:val="20"/>
                <w:szCs w:val="20"/>
                <w:lang w:eastAsia="en-PH"/>
              </w:rPr>
            </w:pPr>
          </w:p>
        </w:tc>
        <w:tc>
          <w:tcPr>
            <w:tcW w:w="1298" w:type="dxa"/>
            <w:noWrap/>
            <w:vAlign w:val="bottom"/>
            <w:hideMark/>
          </w:tcPr>
          <w:p w:rsidR="00A6434E" w:rsidRPr="004573F8" w:rsidRDefault="00A6434E" w:rsidP="00405B12">
            <w:pPr>
              <w:spacing w:after="0" w:line="240" w:lineRule="auto"/>
              <w:jc w:val="right"/>
              <w:rPr>
                <w:rFonts w:ascii="Arial Narrow" w:hAnsi="Arial Narrow" w:cs="Arial"/>
                <w:sz w:val="20"/>
                <w:szCs w:val="20"/>
              </w:rPr>
            </w:pPr>
            <w:r w:rsidRPr="004573F8">
              <w:rPr>
                <w:rFonts w:ascii="Arial Narrow" w:hAnsi="Arial Narrow" w:cs="Arial"/>
                <w:sz w:val="20"/>
                <w:szCs w:val="20"/>
              </w:rPr>
              <w:t>50,000.00</w:t>
            </w:r>
          </w:p>
        </w:tc>
        <w:tc>
          <w:tcPr>
            <w:tcW w:w="265" w:type="dxa"/>
            <w:vAlign w:val="center"/>
          </w:tcPr>
          <w:p w:rsidR="00A6434E" w:rsidRPr="004573F8" w:rsidRDefault="00A6434E" w:rsidP="00405B12">
            <w:pPr>
              <w:spacing w:after="0" w:line="240" w:lineRule="auto"/>
              <w:jc w:val="right"/>
              <w:rPr>
                <w:rFonts w:ascii="Arial Narrow" w:hAnsi="Arial Narrow" w:cs="Arial"/>
                <w:sz w:val="20"/>
                <w:szCs w:val="20"/>
                <w:lang w:eastAsia="en-PH"/>
              </w:rPr>
            </w:pPr>
          </w:p>
        </w:tc>
        <w:tc>
          <w:tcPr>
            <w:tcW w:w="1425" w:type="dxa"/>
            <w:noWrap/>
            <w:vAlign w:val="bottom"/>
            <w:hideMark/>
          </w:tcPr>
          <w:p w:rsidR="00A6434E" w:rsidRPr="004573F8" w:rsidRDefault="00A6434E" w:rsidP="00405B12">
            <w:pPr>
              <w:spacing w:after="0" w:line="240" w:lineRule="auto"/>
              <w:jc w:val="right"/>
              <w:rPr>
                <w:rFonts w:ascii="Arial Narrow" w:hAnsi="Arial Narrow" w:cs="Arial"/>
                <w:sz w:val="20"/>
                <w:szCs w:val="20"/>
              </w:rPr>
            </w:pPr>
            <w:r w:rsidRPr="004573F8">
              <w:rPr>
                <w:rFonts w:ascii="Arial Narrow" w:hAnsi="Arial Narrow" w:cs="Arial"/>
                <w:sz w:val="20"/>
                <w:szCs w:val="20"/>
              </w:rPr>
              <w:t>1,120,460.10</w:t>
            </w:r>
          </w:p>
        </w:tc>
      </w:tr>
      <w:tr w:rsidR="00A6434E" w:rsidRPr="00F578DA" w:rsidTr="00997013">
        <w:trPr>
          <w:trHeight w:val="151"/>
          <w:jc w:val="right"/>
        </w:trPr>
        <w:tc>
          <w:tcPr>
            <w:tcW w:w="685" w:type="dxa"/>
            <w:noWrap/>
            <w:vAlign w:val="center"/>
            <w:hideMark/>
          </w:tcPr>
          <w:p w:rsidR="00A6434E" w:rsidRPr="004573F8" w:rsidRDefault="00A6434E" w:rsidP="00997013">
            <w:pPr>
              <w:spacing w:after="0" w:line="240" w:lineRule="auto"/>
              <w:ind w:hanging="44"/>
              <w:jc w:val="center"/>
              <w:rPr>
                <w:rFonts w:ascii="Arial Narrow" w:hAnsi="Arial Narrow" w:cs="Arial"/>
                <w:sz w:val="20"/>
                <w:szCs w:val="20"/>
              </w:rPr>
            </w:pPr>
            <w:r w:rsidRPr="004573F8">
              <w:rPr>
                <w:rFonts w:ascii="Arial Narrow" w:hAnsi="Arial Narrow" w:cs="Arial"/>
                <w:sz w:val="20"/>
                <w:szCs w:val="20"/>
              </w:rPr>
              <w:t>2017</w:t>
            </w:r>
          </w:p>
        </w:tc>
        <w:tc>
          <w:tcPr>
            <w:tcW w:w="259" w:type="dxa"/>
            <w:vAlign w:val="center"/>
          </w:tcPr>
          <w:p w:rsidR="00A6434E" w:rsidRPr="004573F8" w:rsidRDefault="00A6434E" w:rsidP="00405B12">
            <w:pPr>
              <w:spacing w:after="0" w:line="240" w:lineRule="auto"/>
              <w:jc w:val="right"/>
              <w:rPr>
                <w:rFonts w:ascii="Arial Narrow" w:hAnsi="Arial Narrow" w:cs="Arial"/>
                <w:sz w:val="20"/>
                <w:szCs w:val="20"/>
                <w:lang w:eastAsia="en-PH"/>
              </w:rPr>
            </w:pPr>
          </w:p>
        </w:tc>
        <w:tc>
          <w:tcPr>
            <w:tcW w:w="1458" w:type="dxa"/>
            <w:noWrap/>
            <w:vAlign w:val="bottom"/>
            <w:hideMark/>
          </w:tcPr>
          <w:p w:rsidR="00A6434E" w:rsidRPr="004573F8" w:rsidRDefault="00A6434E" w:rsidP="00405B12">
            <w:pPr>
              <w:spacing w:after="0" w:line="240" w:lineRule="auto"/>
              <w:jc w:val="right"/>
              <w:rPr>
                <w:rFonts w:ascii="Arial Narrow" w:hAnsi="Arial Narrow" w:cs="Arial"/>
                <w:sz w:val="20"/>
                <w:szCs w:val="20"/>
              </w:rPr>
            </w:pPr>
            <w:r w:rsidRPr="004573F8">
              <w:rPr>
                <w:rFonts w:ascii="Arial Narrow" w:hAnsi="Arial Narrow" w:cs="Arial"/>
                <w:sz w:val="20"/>
                <w:szCs w:val="20"/>
              </w:rPr>
              <w:t>12,639,654.26</w:t>
            </w:r>
          </w:p>
        </w:tc>
        <w:tc>
          <w:tcPr>
            <w:tcW w:w="259" w:type="dxa"/>
            <w:vAlign w:val="center"/>
          </w:tcPr>
          <w:p w:rsidR="00A6434E" w:rsidRPr="004573F8" w:rsidRDefault="00A6434E" w:rsidP="00405B12">
            <w:pPr>
              <w:spacing w:after="0" w:line="240" w:lineRule="auto"/>
              <w:jc w:val="right"/>
              <w:rPr>
                <w:rFonts w:ascii="Arial Narrow" w:hAnsi="Arial Narrow" w:cs="Arial"/>
                <w:sz w:val="20"/>
                <w:szCs w:val="20"/>
                <w:lang w:eastAsia="en-PH"/>
              </w:rPr>
            </w:pPr>
          </w:p>
        </w:tc>
        <w:tc>
          <w:tcPr>
            <w:tcW w:w="1458" w:type="dxa"/>
            <w:noWrap/>
            <w:vAlign w:val="bottom"/>
            <w:hideMark/>
          </w:tcPr>
          <w:p w:rsidR="00A6434E" w:rsidRPr="004573F8" w:rsidRDefault="00A6434E" w:rsidP="00405B12">
            <w:pPr>
              <w:spacing w:after="0" w:line="240" w:lineRule="auto"/>
              <w:jc w:val="right"/>
              <w:rPr>
                <w:rFonts w:ascii="Arial Narrow" w:hAnsi="Arial Narrow" w:cs="Arial"/>
                <w:sz w:val="20"/>
                <w:szCs w:val="20"/>
              </w:rPr>
            </w:pPr>
            <w:r w:rsidRPr="004573F8">
              <w:rPr>
                <w:rFonts w:ascii="Arial Narrow" w:hAnsi="Arial Narrow" w:cs="Arial"/>
                <w:sz w:val="20"/>
                <w:szCs w:val="20"/>
              </w:rPr>
              <w:t>911,578.61</w:t>
            </w:r>
          </w:p>
        </w:tc>
        <w:tc>
          <w:tcPr>
            <w:tcW w:w="427" w:type="dxa"/>
            <w:vAlign w:val="center"/>
          </w:tcPr>
          <w:p w:rsidR="00A6434E" w:rsidRPr="004573F8" w:rsidRDefault="00A6434E" w:rsidP="00405B12">
            <w:pPr>
              <w:spacing w:after="0" w:line="240" w:lineRule="auto"/>
              <w:jc w:val="right"/>
              <w:rPr>
                <w:rFonts w:ascii="Arial Narrow" w:hAnsi="Arial Narrow" w:cs="Arial"/>
                <w:sz w:val="20"/>
                <w:szCs w:val="20"/>
                <w:lang w:eastAsia="en-PH"/>
              </w:rPr>
            </w:pPr>
          </w:p>
        </w:tc>
        <w:tc>
          <w:tcPr>
            <w:tcW w:w="1298" w:type="dxa"/>
            <w:noWrap/>
            <w:vAlign w:val="bottom"/>
            <w:hideMark/>
          </w:tcPr>
          <w:p w:rsidR="00A6434E" w:rsidRPr="004573F8" w:rsidRDefault="00A6434E" w:rsidP="00405B12">
            <w:pPr>
              <w:spacing w:after="0" w:line="240" w:lineRule="auto"/>
              <w:jc w:val="right"/>
              <w:rPr>
                <w:rFonts w:ascii="Arial Narrow" w:hAnsi="Arial Narrow" w:cs="Arial"/>
                <w:sz w:val="20"/>
                <w:szCs w:val="20"/>
              </w:rPr>
            </w:pPr>
            <w:r w:rsidRPr="004573F8">
              <w:rPr>
                <w:rFonts w:ascii="Arial Narrow" w:hAnsi="Arial Narrow" w:cs="Arial"/>
                <w:sz w:val="20"/>
                <w:szCs w:val="20"/>
              </w:rPr>
              <w:t>(5,445.20)</w:t>
            </w:r>
          </w:p>
        </w:tc>
        <w:tc>
          <w:tcPr>
            <w:tcW w:w="265" w:type="dxa"/>
            <w:vAlign w:val="center"/>
          </w:tcPr>
          <w:p w:rsidR="00A6434E" w:rsidRPr="004573F8" w:rsidRDefault="00A6434E" w:rsidP="00405B12">
            <w:pPr>
              <w:spacing w:after="0" w:line="240" w:lineRule="auto"/>
              <w:jc w:val="right"/>
              <w:rPr>
                <w:rFonts w:ascii="Arial Narrow" w:hAnsi="Arial Narrow" w:cs="Arial"/>
                <w:sz w:val="20"/>
                <w:szCs w:val="20"/>
                <w:lang w:eastAsia="en-PH"/>
              </w:rPr>
            </w:pPr>
          </w:p>
        </w:tc>
        <w:tc>
          <w:tcPr>
            <w:tcW w:w="1425" w:type="dxa"/>
            <w:noWrap/>
            <w:vAlign w:val="bottom"/>
            <w:hideMark/>
          </w:tcPr>
          <w:p w:rsidR="00A6434E" w:rsidRPr="004573F8" w:rsidRDefault="00A6434E" w:rsidP="00405B12">
            <w:pPr>
              <w:spacing w:after="0" w:line="240" w:lineRule="auto"/>
              <w:jc w:val="right"/>
              <w:rPr>
                <w:rFonts w:ascii="Arial Narrow" w:hAnsi="Arial Narrow" w:cs="Arial"/>
                <w:sz w:val="20"/>
                <w:szCs w:val="20"/>
              </w:rPr>
            </w:pPr>
            <w:r w:rsidRPr="004573F8">
              <w:rPr>
                <w:rFonts w:ascii="Arial Narrow" w:hAnsi="Arial Narrow" w:cs="Arial"/>
                <w:sz w:val="20"/>
                <w:szCs w:val="20"/>
              </w:rPr>
              <w:t>13,545,787.67</w:t>
            </w:r>
          </w:p>
        </w:tc>
      </w:tr>
      <w:tr w:rsidR="00A6434E" w:rsidRPr="00F578DA" w:rsidTr="00997013">
        <w:trPr>
          <w:trHeight w:val="151"/>
          <w:jc w:val="right"/>
        </w:trPr>
        <w:tc>
          <w:tcPr>
            <w:tcW w:w="685" w:type="dxa"/>
            <w:noWrap/>
            <w:vAlign w:val="center"/>
          </w:tcPr>
          <w:p w:rsidR="00A6434E" w:rsidRPr="004573F8" w:rsidRDefault="00A6434E" w:rsidP="00997013">
            <w:pPr>
              <w:spacing w:after="0" w:line="240" w:lineRule="auto"/>
              <w:ind w:hanging="44"/>
              <w:jc w:val="center"/>
              <w:rPr>
                <w:rFonts w:ascii="Arial Narrow" w:hAnsi="Arial Narrow" w:cs="Arial"/>
                <w:sz w:val="20"/>
                <w:szCs w:val="20"/>
              </w:rPr>
            </w:pPr>
            <w:r w:rsidRPr="004573F8">
              <w:rPr>
                <w:rFonts w:ascii="Arial Narrow" w:hAnsi="Arial Narrow" w:cs="Arial"/>
                <w:sz w:val="20"/>
                <w:szCs w:val="20"/>
              </w:rPr>
              <w:t>2018</w:t>
            </w:r>
          </w:p>
        </w:tc>
        <w:tc>
          <w:tcPr>
            <w:tcW w:w="259" w:type="dxa"/>
            <w:vAlign w:val="center"/>
          </w:tcPr>
          <w:p w:rsidR="00A6434E" w:rsidRPr="004573F8" w:rsidRDefault="00A6434E" w:rsidP="00405B12">
            <w:pPr>
              <w:spacing w:after="0" w:line="240" w:lineRule="auto"/>
              <w:jc w:val="right"/>
              <w:rPr>
                <w:rFonts w:ascii="Arial Narrow" w:hAnsi="Arial Narrow" w:cs="Arial"/>
                <w:sz w:val="20"/>
                <w:szCs w:val="20"/>
                <w:lang w:eastAsia="en-PH"/>
              </w:rPr>
            </w:pPr>
          </w:p>
        </w:tc>
        <w:tc>
          <w:tcPr>
            <w:tcW w:w="1458" w:type="dxa"/>
            <w:noWrap/>
            <w:vAlign w:val="bottom"/>
          </w:tcPr>
          <w:p w:rsidR="00A6434E" w:rsidRPr="004573F8" w:rsidRDefault="00A6434E" w:rsidP="00405B12">
            <w:pPr>
              <w:spacing w:after="0" w:line="240" w:lineRule="auto"/>
              <w:jc w:val="right"/>
              <w:rPr>
                <w:rFonts w:ascii="Arial Narrow" w:hAnsi="Arial Narrow" w:cs="Arial"/>
                <w:sz w:val="20"/>
                <w:szCs w:val="20"/>
              </w:rPr>
            </w:pPr>
            <w:r w:rsidRPr="004573F8">
              <w:rPr>
                <w:rFonts w:ascii="Arial Narrow" w:hAnsi="Arial Narrow" w:cs="Arial"/>
                <w:sz w:val="20"/>
                <w:szCs w:val="20"/>
              </w:rPr>
              <w:t>(15,627,368.8)</w:t>
            </w:r>
          </w:p>
        </w:tc>
        <w:tc>
          <w:tcPr>
            <w:tcW w:w="259" w:type="dxa"/>
            <w:vAlign w:val="center"/>
          </w:tcPr>
          <w:p w:rsidR="00A6434E" w:rsidRPr="004573F8" w:rsidRDefault="00A6434E" w:rsidP="00405B12">
            <w:pPr>
              <w:spacing w:after="0" w:line="240" w:lineRule="auto"/>
              <w:jc w:val="right"/>
              <w:rPr>
                <w:rFonts w:ascii="Arial Narrow" w:hAnsi="Arial Narrow" w:cs="Arial"/>
                <w:sz w:val="20"/>
                <w:szCs w:val="20"/>
                <w:lang w:eastAsia="en-PH"/>
              </w:rPr>
            </w:pPr>
          </w:p>
        </w:tc>
        <w:tc>
          <w:tcPr>
            <w:tcW w:w="1458" w:type="dxa"/>
            <w:noWrap/>
            <w:vAlign w:val="bottom"/>
          </w:tcPr>
          <w:p w:rsidR="00A6434E" w:rsidRPr="004573F8" w:rsidRDefault="00A6434E" w:rsidP="00405B12">
            <w:pPr>
              <w:spacing w:after="0" w:line="240" w:lineRule="auto"/>
              <w:jc w:val="right"/>
              <w:rPr>
                <w:rFonts w:ascii="Arial Narrow" w:hAnsi="Arial Narrow" w:cs="Arial"/>
                <w:sz w:val="20"/>
                <w:szCs w:val="20"/>
              </w:rPr>
            </w:pPr>
            <w:r w:rsidRPr="004573F8">
              <w:rPr>
                <w:rFonts w:ascii="Arial Narrow" w:hAnsi="Arial Narrow" w:cs="Arial"/>
                <w:sz w:val="20"/>
                <w:szCs w:val="20"/>
              </w:rPr>
              <w:t>(2,370,144.26)</w:t>
            </w:r>
          </w:p>
        </w:tc>
        <w:tc>
          <w:tcPr>
            <w:tcW w:w="427" w:type="dxa"/>
            <w:vAlign w:val="center"/>
          </w:tcPr>
          <w:p w:rsidR="00A6434E" w:rsidRPr="004573F8" w:rsidRDefault="00A6434E" w:rsidP="00405B12">
            <w:pPr>
              <w:spacing w:after="0" w:line="240" w:lineRule="auto"/>
              <w:jc w:val="right"/>
              <w:rPr>
                <w:rFonts w:ascii="Arial Narrow" w:hAnsi="Arial Narrow" w:cs="Arial"/>
                <w:sz w:val="20"/>
                <w:szCs w:val="20"/>
                <w:lang w:eastAsia="en-PH"/>
              </w:rPr>
            </w:pPr>
          </w:p>
        </w:tc>
        <w:tc>
          <w:tcPr>
            <w:tcW w:w="1298" w:type="dxa"/>
            <w:noWrap/>
            <w:vAlign w:val="bottom"/>
          </w:tcPr>
          <w:p w:rsidR="00A6434E" w:rsidRPr="004573F8" w:rsidRDefault="00A6434E" w:rsidP="00405B12">
            <w:pPr>
              <w:spacing w:after="0" w:line="240" w:lineRule="auto"/>
              <w:jc w:val="right"/>
              <w:rPr>
                <w:rFonts w:ascii="Arial Narrow" w:hAnsi="Arial Narrow" w:cs="Arial"/>
                <w:sz w:val="20"/>
                <w:szCs w:val="20"/>
              </w:rPr>
            </w:pPr>
            <w:r w:rsidRPr="004573F8">
              <w:rPr>
                <w:rFonts w:ascii="Arial Narrow" w:hAnsi="Arial Narrow" w:cs="Arial"/>
                <w:sz w:val="20"/>
                <w:szCs w:val="20"/>
              </w:rPr>
              <w:t>(268,705.39)</w:t>
            </w:r>
          </w:p>
        </w:tc>
        <w:tc>
          <w:tcPr>
            <w:tcW w:w="265" w:type="dxa"/>
            <w:vAlign w:val="center"/>
          </w:tcPr>
          <w:p w:rsidR="00A6434E" w:rsidRPr="004573F8" w:rsidRDefault="00A6434E" w:rsidP="00405B12">
            <w:pPr>
              <w:spacing w:after="0" w:line="240" w:lineRule="auto"/>
              <w:jc w:val="right"/>
              <w:rPr>
                <w:rFonts w:ascii="Arial Narrow" w:hAnsi="Arial Narrow" w:cs="Arial"/>
                <w:sz w:val="20"/>
                <w:szCs w:val="20"/>
                <w:lang w:eastAsia="en-PH"/>
              </w:rPr>
            </w:pPr>
          </w:p>
        </w:tc>
        <w:tc>
          <w:tcPr>
            <w:tcW w:w="1425" w:type="dxa"/>
            <w:noWrap/>
            <w:vAlign w:val="bottom"/>
          </w:tcPr>
          <w:p w:rsidR="00A6434E" w:rsidRPr="004573F8" w:rsidRDefault="00A6434E" w:rsidP="00405B12">
            <w:pPr>
              <w:spacing w:after="0" w:line="240" w:lineRule="auto"/>
              <w:jc w:val="right"/>
              <w:rPr>
                <w:rFonts w:ascii="Arial Narrow" w:hAnsi="Arial Narrow" w:cs="Arial"/>
                <w:sz w:val="20"/>
                <w:szCs w:val="20"/>
              </w:rPr>
            </w:pPr>
            <w:r w:rsidRPr="004573F8">
              <w:rPr>
                <w:rFonts w:ascii="Arial Narrow" w:hAnsi="Arial Narrow" w:cs="Arial"/>
                <w:sz w:val="20"/>
                <w:szCs w:val="20"/>
              </w:rPr>
              <w:t>(18,266,218.4)</w:t>
            </w:r>
          </w:p>
        </w:tc>
      </w:tr>
      <w:tr w:rsidR="00A6434E" w:rsidRPr="00F578DA" w:rsidTr="00997013">
        <w:trPr>
          <w:trHeight w:val="210"/>
          <w:jc w:val="right"/>
        </w:trPr>
        <w:tc>
          <w:tcPr>
            <w:tcW w:w="685" w:type="dxa"/>
            <w:tcBorders>
              <w:top w:val="single" w:sz="4" w:space="0" w:color="auto"/>
              <w:left w:val="nil"/>
              <w:bottom w:val="double" w:sz="6" w:space="0" w:color="auto"/>
              <w:right w:val="nil"/>
            </w:tcBorders>
            <w:noWrap/>
            <w:vAlign w:val="center"/>
            <w:hideMark/>
          </w:tcPr>
          <w:p w:rsidR="00A6434E" w:rsidRPr="004573F8" w:rsidRDefault="00A6434E" w:rsidP="00997013">
            <w:pPr>
              <w:spacing w:after="0" w:line="240" w:lineRule="auto"/>
              <w:ind w:hanging="44"/>
              <w:jc w:val="center"/>
              <w:rPr>
                <w:rFonts w:ascii="Arial Narrow" w:hAnsi="Arial Narrow" w:cs="Arial"/>
                <w:b/>
                <w:bCs/>
                <w:sz w:val="20"/>
                <w:szCs w:val="20"/>
                <w:lang w:eastAsia="en-PH"/>
              </w:rPr>
            </w:pPr>
            <w:r w:rsidRPr="004573F8">
              <w:rPr>
                <w:rFonts w:ascii="Arial Narrow" w:hAnsi="Arial Narrow" w:cs="Arial"/>
                <w:b/>
                <w:bCs/>
                <w:sz w:val="20"/>
                <w:szCs w:val="20"/>
                <w:lang w:eastAsia="en-PH"/>
              </w:rPr>
              <w:t>Total</w:t>
            </w:r>
          </w:p>
        </w:tc>
        <w:tc>
          <w:tcPr>
            <w:tcW w:w="259" w:type="dxa"/>
            <w:tcBorders>
              <w:top w:val="single" w:sz="4" w:space="0" w:color="auto"/>
              <w:left w:val="nil"/>
              <w:bottom w:val="double" w:sz="6" w:space="0" w:color="auto"/>
              <w:right w:val="nil"/>
            </w:tcBorders>
            <w:vAlign w:val="center"/>
            <w:hideMark/>
          </w:tcPr>
          <w:p w:rsidR="00A6434E" w:rsidRPr="004573F8" w:rsidRDefault="00A6434E" w:rsidP="00405B12">
            <w:pPr>
              <w:spacing w:after="0" w:line="240" w:lineRule="auto"/>
              <w:jc w:val="right"/>
              <w:rPr>
                <w:rFonts w:ascii="Arial Narrow" w:hAnsi="Arial Narrow" w:cs="Arial"/>
                <w:b/>
                <w:bCs/>
                <w:sz w:val="20"/>
                <w:szCs w:val="20"/>
                <w:lang w:eastAsia="en-PH"/>
              </w:rPr>
            </w:pPr>
            <w:r w:rsidRPr="004573F8">
              <w:rPr>
                <w:rFonts w:ascii="Arial Narrow" w:hAnsi="Arial Narrow" w:cs="Arial"/>
                <w:b/>
                <w:bCs/>
                <w:sz w:val="20"/>
                <w:szCs w:val="20"/>
                <w:lang w:eastAsia="en-PH"/>
              </w:rPr>
              <w:t>P</w:t>
            </w:r>
          </w:p>
        </w:tc>
        <w:tc>
          <w:tcPr>
            <w:tcW w:w="1458" w:type="dxa"/>
            <w:tcBorders>
              <w:top w:val="single" w:sz="4" w:space="0" w:color="auto"/>
              <w:left w:val="nil"/>
              <w:bottom w:val="double" w:sz="6" w:space="0" w:color="auto"/>
              <w:right w:val="nil"/>
            </w:tcBorders>
            <w:noWrap/>
            <w:vAlign w:val="bottom"/>
            <w:hideMark/>
          </w:tcPr>
          <w:p w:rsidR="00A6434E" w:rsidRPr="004573F8" w:rsidRDefault="00A6434E" w:rsidP="00405B12">
            <w:pPr>
              <w:spacing w:after="0" w:line="240" w:lineRule="auto"/>
              <w:jc w:val="right"/>
              <w:rPr>
                <w:rFonts w:ascii="Arial Narrow" w:hAnsi="Arial Narrow" w:cs="Arial"/>
                <w:b/>
                <w:sz w:val="20"/>
                <w:szCs w:val="20"/>
              </w:rPr>
            </w:pPr>
            <w:r w:rsidRPr="004573F8">
              <w:rPr>
                <w:rFonts w:ascii="Arial Narrow" w:hAnsi="Arial Narrow" w:cs="Arial"/>
                <w:b/>
                <w:sz w:val="20"/>
                <w:szCs w:val="20"/>
              </w:rPr>
              <w:t>22,365,538.06</w:t>
            </w:r>
          </w:p>
        </w:tc>
        <w:tc>
          <w:tcPr>
            <w:tcW w:w="259" w:type="dxa"/>
            <w:tcBorders>
              <w:top w:val="single" w:sz="4" w:space="0" w:color="auto"/>
              <w:left w:val="nil"/>
              <w:bottom w:val="double" w:sz="6" w:space="0" w:color="auto"/>
              <w:right w:val="nil"/>
            </w:tcBorders>
            <w:vAlign w:val="center"/>
            <w:hideMark/>
          </w:tcPr>
          <w:p w:rsidR="00A6434E" w:rsidRPr="004573F8" w:rsidRDefault="00A6434E" w:rsidP="00405B12">
            <w:pPr>
              <w:spacing w:after="0" w:line="240" w:lineRule="auto"/>
              <w:jc w:val="right"/>
              <w:rPr>
                <w:rFonts w:ascii="Arial Narrow" w:hAnsi="Arial Narrow" w:cs="Arial"/>
                <w:b/>
                <w:bCs/>
                <w:sz w:val="20"/>
                <w:szCs w:val="20"/>
                <w:lang w:eastAsia="en-PH"/>
              </w:rPr>
            </w:pPr>
            <w:r w:rsidRPr="004573F8">
              <w:rPr>
                <w:rFonts w:ascii="Arial Narrow" w:hAnsi="Arial Narrow" w:cs="Arial"/>
                <w:b/>
                <w:bCs/>
                <w:sz w:val="20"/>
                <w:szCs w:val="20"/>
                <w:lang w:eastAsia="en-PH"/>
              </w:rPr>
              <w:t>P</w:t>
            </w:r>
          </w:p>
        </w:tc>
        <w:tc>
          <w:tcPr>
            <w:tcW w:w="1458" w:type="dxa"/>
            <w:tcBorders>
              <w:top w:val="single" w:sz="4" w:space="0" w:color="auto"/>
              <w:left w:val="nil"/>
              <w:bottom w:val="double" w:sz="6" w:space="0" w:color="auto"/>
              <w:right w:val="nil"/>
            </w:tcBorders>
            <w:noWrap/>
            <w:vAlign w:val="bottom"/>
            <w:hideMark/>
          </w:tcPr>
          <w:p w:rsidR="00A6434E" w:rsidRPr="004573F8" w:rsidRDefault="00A6434E" w:rsidP="00405B12">
            <w:pPr>
              <w:spacing w:after="0" w:line="240" w:lineRule="auto"/>
              <w:jc w:val="right"/>
              <w:rPr>
                <w:rFonts w:ascii="Arial Narrow" w:hAnsi="Arial Narrow" w:cs="Arial"/>
                <w:b/>
                <w:sz w:val="20"/>
                <w:szCs w:val="20"/>
              </w:rPr>
            </w:pPr>
            <w:r w:rsidRPr="004573F8">
              <w:rPr>
                <w:rFonts w:ascii="Arial Narrow" w:hAnsi="Arial Narrow" w:cs="Arial"/>
                <w:b/>
                <w:sz w:val="20"/>
                <w:szCs w:val="20"/>
              </w:rPr>
              <w:t>4,954,127.50</w:t>
            </w:r>
          </w:p>
        </w:tc>
        <w:tc>
          <w:tcPr>
            <w:tcW w:w="427" w:type="dxa"/>
            <w:tcBorders>
              <w:top w:val="single" w:sz="4" w:space="0" w:color="auto"/>
              <w:left w:val="nil"/>
              <w:bottom w:val="double" w:sz="6" w:space="0" w:color="auto"/>
              <w:right w:val="nil"/>
            </w:tcBorders>
            <w:vAlign w:val="center"/>
            <w:hideMark/>
          </w:tcPr>
          <w:p w:rsidR="00A6434E" w:rsidRPr="004573F8" w:rsidRDefault="00A6434E" w:rsidP="00405B12">
            <w:pPr>
              <w:spacing w:after="0" w:line="240" w:lineRule="auto"/>
              <w:jc w:val="right"/>
              <w:rPr>
                <w:rFonts w:ascii="Arial Narrow" w:hAnsi="Arial Narrow" w:cs="Arial"/>
                <w:b/>
                <w:bCs/>
                <w:sz w:val="20"/>
                <w:szCs w:val="20"/>
                <w:lang w:eastAsia="en-PH"/>
              </w:rPr>
            </w:pPr>
            <w:r w:rsidRPr="004573F8">
              <w:rPr>
                <w:rFonts w:ascii="Arial Narrow" w:hAnsi="Arial Narrow" w:cs="Arial"/>
                <w:b/>
                <w:bCs/>
                <w:sz w:val="20"/>
                <w:szCs w:val="20"/>
                <w:lang w:eastAsia="en-PH"/>
              </w:rPr>
              <w:t>P</w:t>
            </w:r>
          </w:p>
        </w:tc>
        <w:tc>
          <w:tcPr>
            <w:tcW w:w="1298" w:type="dxa"/>
            <w:tcBorders>
              <w:top w:val="single" w:sz="4" w:space="0" w:color="auto"/>
              <w:left w:val="nil"/>
              <w:bottom w:val="double" w:sz="6" w:space="0" w:color="auto"/>
              <w:right w:val="nil"/>
            </w:tcBorders>
            <w:noWrap/>
            <w:vAlign w:val="bottom"/>
            <w:hideMark/>
          </w:tcPr>
          <w:p w:rsidR="00A6434E" w:rsidRPr="004573F8" w:rsidRDefault="00A6434E" w:rsidP="00405B12">
            <w:pPr>
              <w:spacing w:after="0" w:line="240" w:lineRule="auto"/>
              <w:jc w:val="right"/>
              <w:rPr>
                <w:rFonts w:ascii="Arial Narrow" w:hAnsi="Arial Narrow" w:cs="Arial"/>
                <w:b/>
                <w:sz w:val="20"/>
                <w:szCs w:val="20"/>
              </w:rPr>
            </w:pPr>
            <w:r w:rsidRPr="004573F8">
              <w:rPr>
                <w:rFonts w:ascii="Arial Narrow" w:hAnsi="Arial Narrow" w:cs="Arial"/>
                <w:b/>
                <w:sz w:val="20"/>
                <w:szCs w:val="20"/>
              </w:rPr>
              <w:t>(27,547.34)</w:t>
            </w:r>
          </w:p>
        </w:tc>
        <w:tc>
          <w:tcPr>
            <w:tcW w:w="265" w:type="dxa"/>
            <w:tcBorders>
              <w:top w:val="single" w:sz="4" w:space="0" w:color="auto"/>
              <w:left w:val="nil"/>
              <w:bottom w:val="double" w:sz="6" w:space="0" w:color="auto"/>
              <w:right w:val="nil"/>
            </w:tcBorders>
            <w:vAlign w:val="center"/>
            <w:hideMark/>
          </w:tcPr>
          <w:p w:rsidR="00A6434E" w:rsidRPr="004573F8" w:rsidRDefault="00A6434E" w:rsidP="00405B12">
            <w:pPr>
              <w:spacing w:after="0" w:line="240" w:lineRule="auto"/>
              <w:jc w:val="right"/>
              <w:rPr>
                <w:rFonts w:ascii="Arial Narrow" w:hAnsi="Arial Narrow" w:cs="Arial"/>
                <w:b/>
                <w:bCs/>
                <w:sz w:val="20"/>
                <w:szCs w:val="20"/>
                <w:lang w:eastAsia="en-PH"/>
              </w:rPr>
            </w:pPr>
            <w:r w:rsidRPr="004573F8">
              <w:rPr>
                <w:rFonts w:ascii="Arial Narrow" w:hAnsi="Arial Narrow" w:cs="Arial"/>
                <w:b/>
                <w:bCs/>
                <w:sz w:val="20"/>
                <w:szCs w:val="20"/>
                <w:lang w:eastAsia="en-PH"/>
              </w:rPr>
              <w:t>P</w:t>
            </w:r>
          </w:p>
        </w:tc>
        <w:tc>
          <w:tcPr>
            <w:tcW w:w="1425" w:type="dxa"/>
            <w:tcBorders>
              <w:top w:val="single" w:sz="4" w:space="0" w:color="auto"/>
              <w:left w:val="nil"/>
              <w:bottom w:val="double" w:sz="6" w:space="0" w:color="auto"/>
              <w:right w:val="nil"/>
            </w:tcBorders>
            <w:noWrap/>
            <w:vAlign w:val="bottom"/>
            <w:hideMark/>
          </w:tcPr>
          <w:p w:rsidR="00A6434E" w:rsidRPr="004573F8" w:rsidRDefault="00A6434E" w:rsidP="00E56521">
            <w:pPr>
              <w:spacing w:after="0" w:line="240" w:lineRule="auto"/>
              <w:jc w:val="right"/>
              <w:rPr>
                <w:rFonts w:ascii="Arial Narrow" w:hAnsi="Arial Narrow" w:cs="Arial"/>
                <w:b/>
                <w:sz w:val="20"/>
                <w:szCs w:val="20"/>
              </w:rPr>
            </w:pPr>
            <w:r w:rsidRPr="004573F8">
              <w:rPr>
                <w:rFonts w:ascii="Arial Narrow" w:hAnsi="Arial Narrow" w:cs="Arial"/>
                <w:b/>
                <w:sz w:val="20"/>
                <w:szCs w:val="20"/>
              </w:rPr>
              <w:t>27,292,118.2</w:t>
            </w:r>
            <w:r w:rsidR="00E56521">
              <w:rPr>
                <w:rFonts w:ascii="Arial Narrow" w:hAnsi="Arial Narrow" w:cs="Arial"/>
                <w:b/>
                <w:sz w:val="20"/>
                <w:szCs w:val="20"/>
              </w:rPr>
              <w:t>7</w:t>
            </w:r>
          </w:p>
        </w:tc>
      </w:tr>
    </w:tbl>
    <w:p w:rsidR="00A6434E" w:rsidRPr="004F6C55" w:rsidRDefault="00A6434E" w:rsidP="00997013">
      <w:pPr>
        <w:spacing w:after="0" w:line="240" w:lineRule="auto"/>
        <w:ind w:left="1170" w:firstLine="90"/>
        <w:jc w:val="both"/>
        <w:rPr>
          <w:rFonts w:ascii="Arial Narrow" w:hAnsi="Arial Narrow" w:cs="Arial"/>
          <w:sz w:val="16"/>
          <w:szCs w:val="16"/>
        </w:rPr>
      </w:pPr>
      <w:r w:rsidRPr="004F6C55">
        <w:rPr>
          <w:rFonts w:ascii="Arial Narrow" w:hAnsi="Arial Narrow" w:cs="Arial"/>
          <w:sz w:val="16"/>
          <w:szCs w:val="16"/>
        </w:rPr>
        <w:t>DM – Debit Memo</w:t>
      </w:r>
    </w:p>
    <w:p w:rsidR="00A6434E" w:rsidRPr="004F6C55" w:rsidRDefault="00A6434E" w:rsidP="00997013">
      <w:pPr>
        <w:spacing w:after="0" w:line="240" w:lineRule="auto"/>
        <w:ind w:left="1170" w:firstLine="90"/>
        <w:jc w:val="both"/>
        <w:rPr>
          <w:rFonts w:ascii="Arial Narrow" w:hAnsi="Arial Narrow" w:cs="Arial"/>
          <w:sz w:val="16"/>
          <w:szCs w:val="16"/>
        </w:rPr>
      </w:pPr>
      <w:r w:rsidRPr="004F6C55">
        <w:rPr>
          <w:rFonts w:ascii="Arial Narrow" w:hAnsi="Arial Narrow" w:cs="Arial"/>
          <w:sz w:val="16"/>
          <w:szCs w:val="16"/>
        </w:rPr>
        <w:t>CM – Credit Memo</w:t>
      </w:r>
    </w:p>
    <w:p w:rsidR="00A6434E" w:rsidRDefault="00A6434E" w:rsidP="00A6434E">
      <w:pPr>
        <w:pStyle w:val="ListParagraph"/>
        <w:rPr>
          <w:rFonts w:ascii="Arial" w:hAnsi="Arial" w:cs="Arial"/>
          <w:sz w:val="22"/>
          <w:szCs w:val="22"/>
        </w:rPr>
      </w:pPr>
    </w:p>
    <w:p w:rsidR="000B3DC2" w:rsidRPr="00A6434E" w:rsidRDefault="000B3DC2" w:rsidP="00A6434E">
      <w:pPr>
        <w:pStyle w:val="ListParagraph"/>
        <w:rPr>
          <w:rFonts w:ascii="Arial" w:hAnsi="Arial" w:cs="Arial"/>
          <w:sz w:val="22"/>
          <w:szCs w:val="22"/>
        </w:rPr>
      </w:pPr>
    </w:p>
    <w:p w:rsidR="00A84DDE" w:rsidRPr="00A6434E" w:rsidRDefault="00F9070B" w:rsidP="00DA78B4">
      <w:pPr>
        <w:pStyle w:val="ListParagraph"/>
        <w:numPr>
          <w:ilvl w:val="1"/>
          <w:numId w:val="1"/>
        </w:numPr>
        <w:ind w:left="1440"/>
        <w:contextualSpacing/>
        <w:jc w:val="both"/>
        <w:rPr>
          <w:rFonts w:ascii="Arial" w:hAnsi="Arial" w:cs="Arial"/>
          <w:sz w:val="22"/>
          <w:szCs w:val="22"/>
        </w:rPr>
      </w:pPr>
      <w:r w:rsidRPr="00A6434E">
        <w:rPr>
          <w:rFonts w:ascii="Arial" w:hAnsi="Arial" w:cs="Arial"/>
          <w:sz w:val="22"/>
          <w:szCs w:val="22"/>
        </w:rPr>
        <w:lastRenderedPageBreak/>
        <w:t xml:space="preserve">Moreover, </w:t>
      </w:r>
      <w:r w:rsidR="00A84DDE" w:rsidRPr="00A6434E">
        <w:rPr>
          <w:rFonts w:ascii="Arial" w:hAnsi="Arial" w:cs="Arial"/>
          <w:sz w:val="22"/>
          <w:szCs w:val="22"/>
        </w:rPr>
        <w:t>the</w:t>
      </w:r>
      <w:r w:rsidRPr="00A6434E">
        <w:rPr>
          <w:rFonts w:ascii="Arial" w:hAnsi="Arial" w:cs="Arial"/>
          <w:sz w:val="22"/>
          <w:szCs w:val="22"/>
        </w:rPr>
        <w:t xml:space="preserve">re were </w:t>
      </w:r>
      <w:r w:rsidR="00A84DDE" w:rsidRPr="00A6434E">
        <w:rPr>
          <w:rFonts w:ascii="Arial" w:hAnsi="Arial" w:cs="Arial"/>
          <w:sz w:val="22"/>
          <w:szCs w:val="22"/>
        </w:rPr>
        <w:t>bank reconciling items</w:t>
      </w:r>
      <w:r w:rsidRPr="00A6434E">
        <w:rPr>
          <w:rFonts w:ascii="Arial" w:hAnsi="Arial" w:cs="Arial"/>
          <w:sz w:val="22"/>
          <w:szCs w:val="22"/>
        </w:rPr>
        <w:t xml:space="preserve"> which </w:t>
      </w:r>
      <w:r w:rsidR="00A84DDE" w:rsidRPr="00A6434E">
        <w:rPr>
          <w:rFonts w:ascii="Arial" w:hAnsi="Arial" w:cs="Arial"/>
          <w:sz w:val="22"/>
          <w:szCs w:val="22"/>
        </w:rPr>
        <w:t>have been identified in the BRS</w:t>
      </w:r>
      <w:r w:rsidRPr="00A6434E">
        <w:rPr>
          <w:rFonts w:ascii="Arial" w:hAnsi="Arial" w:cs="Arial"/>
          <w:sz w:val="22"/>
          <w:szCs w:val="22"/>
        </w:rPr>
        <w:t xml:space="preserve">s for the period </w:t>
      </w:r>
      <w:r w:rsidR="00A84DDE" w:rsidRPr="00A6434E">
        <w:rPr>
          <w:rFonts w:ascii="Arial" w:hAnsi="Arial" w:cs="Arial"/>
          <w:sz w:val="22"/>
          <w:szCs w:val="22"/>
        </w:rPr>
        <w:t>2006 to 2018 but remain</w:t>
      </w:r>
      <w:r w:rsidR="004A04DF">
        <w:rPr>
          <w:rFonts w:ascii="Arial" w:hAnsi="Arial" w:cs="Arial"/>
          <w:sz w:val="22"/>
          <w:szCs w:val="22"/>
        </w:rPr>
        <w:t xml:space="preserve"> </w:t>
      </w:r>
      <w:r w:rsidR="00A84DDE" w:rsidRPr="00A6434E">
        <w:rPr>
          <w:rFonts w:ascii="Arial" w:hAnsi="Arial" w:cs="Arial"/>
          <w:sz w:val="22"/>
          <w:szCs w:val="22"/>
        </w:rPr>
        <w:t xml:space="preserve">as reconciling items </w:t>
      </w:r>
      <w:r w:rsidR="00997013">
        <w:rPr>
          <w:rFonts w:ascii="Arial" w:hAnsi="Arial" w:cs="Arial"/>
          <w:sz w:val="22"/>
          <w:szCs w:val="22"/>
        </w:rPr>
        <w:t>as of December 31</w:t>
      </w:r>
      <w:r w:rsidR="00F36B0A" w:rsidRPr="00A6434E">
        <w:rPr>
          <w:rFonts w:ascii="Arial" w:hAnsi="Arial" w:cs="Arial"/>
          <w:sz w:val="22"/>
          <w:szCs w:val="22"/>
        </w:rPr>
        <w:t>,</w:t>
      </w:r>
      <w:r w:rsidR="00997013">
        <w:rPr>
          <w:rFonts w:ascii="Arial" w:hAnsi="Arial" w:cs="Arial"/>
          <w:sz w:val="22"/>
          <w:szCs w:val="22"/>
        </w:rPr>
        <w:t xml:space="preserve"> 2018,</w:t>
      </w:r>
      <w:r w:rsidRPr="00A6434E">
        <w:rPr>
          <w:rFonts w:ascii="Arial" w:hAnsi="Arial" w:cs="Arial"/>
          <w:sz w:val="22"/>
          <w:szCs w:val="22"/>
        </w:rPr>
        <w:t xml:space="preserve"> as summarized in Table </w:t>
      </w:r>
      <w:r w:rsidR="000B3DC2">
        <w:rPr>
          <w:rFonts w:ascii="Arial" w:hAnsi="Arial" w:cs="Arial"/>
          <w:sz w:val="22"/>
          <w:szCs w:val="22"/>
        </w:rPr>
        <w:t>3</w:t>
      </w:r>
      <w:r w:rsidRPr="00A6434E">
        <w:rPr>
          <w:rFonts w:ascii="Arial" w:hAnsi="Arial" w:cs="Arial"/>
          <w:sz w:val="22"/>
          <w:szCs w:val="22"/>
        </w:rPr>
        <w:t>.</w:t>
      </w:r>
    </w:p>
    <w:p w:rsidR="009F7AA7" w:rsidRPr="00997013" w:rsidRDefault="009F7AA7" w:rsidP="004C39E3">
      <w:pPr>
        <w:spacing w:after="0" w:line="240" w:lineRule="auto"/>
        <w:ind w:left="720"/>
        <w:jc w:val="both"/>
        <w:rPr>
          <w:rFonts w:ascii="Arial" w:hAnsi="Arial" w:cs="Arial"/>
        </w:rPr>
      </w:pPr>
    </w:p>
    <w:p w:rsidR="00BF7821" w:rsidRDefault="00F578DA" w:rsidP="004F6C55">
      <w:pPr>
        <w:spacing w:after="0" w:line="240" w:lineRule="auto"/>
        <w:ind w:firstLine="540"/>
        <w:jc w:val="center"/>
        <w:rPr>
          <w:rFonts w:ascii="Arial" w:hAnsi="Arial" w:cs="Arial"/>
          <w:b/>
          <w:sz w:val="20"/>
          <w:szCs w:val="20"/>
        </w:rPr>
      </w:pPr>
      <w:r w:rsidRPr="00432DA9">
        <w:rPr>
          <w:rFonts w:ascii="Arial" w:hAnsi="Arial" w:cs="Arial"/>
          <w:b/>
          <w:sz w:val="20"/>
          <w:szCs w:val="20"/>
        </w:rPr>
        <w:t>T</w:t>
      </w:r>
      <w:r w:rsidR="00BF7821" w:rsidRPr="00432DA9">
        <w:rPr>
          <w:rFonts w:ascii="Arial" w:hAnsi="Arial" w:cs="Arial"/>
          <w:b/>
          <w:sz w:val="20"/>
          <w:szCs w:val="20"/>
        </w:rPr>
        <w:t>able</w:t>
      </w:r>
      <w:r w:rsidRPr="00432DA9">
        <w:rPr>
          <w:rFonts w:ascii="Arial" w:hAnsi="Arial" w:cs="Arial"/>
          <w:b/>
          <w:sz w:val="20"/>
          <w:szCs w:val="20"/>
        </w:rPr>
        <w:t xml:space="preserve"> </w:t>
      </w:r>
      <w:r w:rsidR="000B3DC2">
        <w:rPr>
          <w:rFonts w:ascii="Arial" w:hAnsi="Arial" w:cs="Arial"/>
          <w:b/>
          <w:sz w:val="20"/>
          <w:szCs w:val="20"/>
        </w:rPr>
        <w:t>3</w:t>
      </w:r>
      <w:r w:rsidR="00BF7821" w:rsidRPr="00432DA9">
        <w:rPr>
          <w:rFonts w:ascii="Arial" w:hAnsi="Arial" w:cs="Arial"/>
          <w:b/>
          <w:sz w:val="20"/>
          <w:szCs w:val="20"/>
        </w:rPr>
        <w:t xml:space="preserve"> </w:t>
      </w:r>
      <w:r w:rsidR="0015264F" w:rsidRPr="00432DA9">
        <w:rPr>
          <w:rFonts w:ascii="Arial" w:hAnsi="Arial" w:cs="Arial"/>
          <w:b/>
          <w:sz w:val="20"/>
          <w:szCs w:val="20"/>
        </w:rPr>
        <w:t>–</w:t>
      </w:r>
      <w:r w:rsidR="00F9070B" w:rsidRPr="00432DA9">
        <w:rPr>
          <w:rFonts w:ascii="Arial" w:hAnsi="Arial" w:cs="Arial"/>
          <w:b/>
          <w:sz w:val="20"/>
          <w:szCs w:val="20"/>
        </w:rPr>
        <w:t xml:space="preserve"> Summary of </w:t>
      </w:r>
      <w:r w:rsidR="00A6434E" w:rsidRPr="00432DA9">
        <w:rPr>
          <w:rFonts w:ascii="Arial" w:hAnsi="Arial" w:cs="Arial"/>
          <w:b/>
          <w:sz w:val="20"/>
          <w:szCs w:val="20"/>
        </w:rPr>
        <w:t xml:space="preserve">Long Outstanding </w:t>
      </w:r>
      <w:r w:rsidR="00F9070B" w:rsidRPr="00432DA9">
        <w:rPr>
          <w:rFonts w:ascii="Arial" w:hAnsi="Arial" w:cs="Arial"/>
          <w:b/>
          <w:sz w:val="20"/>
          <w:szCs w:val="20"/>
        </w:rPr>
        <w:t>Bank Reconciling Items</w:t>
      </w:r>
    </w:p>
    <w:p w:rsidR="00972DD8" w:rsidRPr="00972DD8" w:rsidRDefault="00972DD8" w:rsidP="004F6C55">
      <w:pPr>
        <w:spacing w:after="0" w:line="240" w:lineRule="auto"/>
        <w:ind w:firstLine="540"/>
        <w:jc w:val="center"/>
        <w:rPr>
          <w:rFonts w:ascii="Arial" w:hAnsi="Arial" w:cs="Arial"/>
          <w:b/>
          <w:sz w:val="14"/>
          <w:szCs w:val="20"/>
        </w:rPr>
      </w:pPr>
    </w:p>
    <w:tbl>
      <w:tblPr>
        <w:tblW w:w="4521" w:type="pct"/>
        <w:tblInd w:w="828" w:type="dxa"/>
        <w:tblLayout w:type="fixed"/>
        <w:tblLook w:val="04A0" w:firstRow="1" w:lastRow="0" w:firstColumn="1" w:lastColumn="0" w:noHBand="0" w:noVBand="1"/>
      </w:tblPr>
      <w:tblGrid>
        <w:gridCol w:w="1012"/>
        <w:gridCol w:w="263"/>
        <w:gridCol w:w="1384"/>
        <w:gridCol w:w="275"/>
        <w:gridCol w:w="1666"/>
        <w:gridCol w:w="277"/>
        <w:gridCol w:w="1294"/>
        <w:gridCol w:w="277"/>
        <w:gridCol w:w="1560"/>
      </w:tblGrid>
      <w:tr w:rsidR="0015264F" w:rsidRPr="004573F8" w:rsidTr="00972DD8">
        <w:trPr>
          <w:trHeight w:val="621"/>
          <w:tblHeader/>
        </w:trPr>
        <w:tc>
          <w:tcPr>
            <w:tcW w:w="632" w:type="pct"/>
            <w:tcBorders>
              <w:top w:val="single" w:sz="4" w:space="0" w:color="auto"/>
              <w:left w:val="nil"/>
              <w:bottom w:val="single" w:sz="4" w:space="0" w:color="auto"/>
              <w:right w:val="nil"/>
            </w:tcBorders>
            <w:shd w:val="clear" w:color="auto" w:fill="auto"/>
            <w:noWrap/>
            <w:vAlign w:val="center"/>
            <w:hideMark/>
          </w:tcPr>
          <w:p w:rsidR="0015264F" w:rsidRPr="004F6C55" w:rsidRDefault="0015264F" w:rsidP="004C39E3">
            <w:pPr>
              <w:spacing w:after="0" w:line="240" w:lineRule="auto"/>
              <w:jc w:val="center"/>
              <w:rPr>
                <w:rFonts w:ascii="Arial Narrow" w:hAnsi="Arial Narrow" w:cs="Arabic Typesetting"/>
                <w:b/>
                <w:bCs/>
                <w:sz w:val="20"/>
                <w:szCs w:val="20"/>
                <w:lang w:eastAsia="en-PH"/>
              </w:rPr>
            </w:pPr>
            <w:r w:rsidRPr="004F6C55">
              <w:rPr>
                <w:rFonts w:ascii="Arial Narrow" w:hAnsi="Arial Narrow" w:cs="Arabic Typesetting"/>
                <w:b/>
                <w:bCs/>
                <w:sz w:val="20"/>
                <w:szCs w:val="20"/>
                <w:lang w:eastAsia="en-PH"/>
              </w:rPr>
              <w:t>Year</w:t>
            </w:r>
          </w:p>
        </w:tc>
        <w:tc>
          <w:tcPr>
            <w:tcW w:w="1028" w:type="pct"/>
            <w:gridSpan w:val="2"/>
            <w:tcBorders>
              <w:top w:val="single" w:sz="4" w:space="0" w:color="auto"/>
              <w:left w:val="nil"/>
              <w:bottom w:val="single" w:sz="4" w:space="0" w:color="auto"/>
              <w:right w:val="nil"/>
            </w:tcBorders>
            <w:vAlign w:val="center"/>
          </w:tcPr>
          <w:p w:rsidR="0015264F" w:rsidRPr="004F6C55" w:rsidRDefault="0015264F" w:rsidP="004C39E3">
            <w:pPr>
              <w:spacing w:after="0" w:line="240" w:lineRule="auto"/>
              <w:jc w:val="center"/>
              <w:rPr>
                <w:rFonts w:ascii="Arial Narrow" w:hAnsi="Arial Narrow" w:cs="Arabic Typesetting"/>
                <w:b/>
                <w:bCs/>
                <w:sz w:val="20"/>
                <w:szCs w:val="20"/>
                <w:lang w:eastAsia="en-PH"/>
              </w:rPr>
            </w:pPr>
            <w:r w:rsidRPr="004F6C55">
              <w:rPr>
                <w:rFonts w:ascii="Arial Narrow" w:hAnsi="Arial Narrow" w:cs="Arabic Typesetting"/>
                <w:b/>
                <w:bCs/>
                <w:sz w:val="20"/>
                <w:szCs w:val="20"/>
                <w:lang w:eastAsia="en-PH"/>
              </w:rPr>
              <w:t>Outstanding Checks</w:t>
            </w:r>
          </w:p>
        </w:tc>
        <w:tc>
          <w:tcPr>
            <w:tcW w:w="1212" w:type="pct"/>
            <w:gridSpan w:val="2"/>
            <w:tcBorders>
              <w:top w:val="single" w:sz="4" w:space="0" w:color="auto"/>
              <w:left w:val="nil"/>
              <w:bottom w:val="single" w:sz="4" w:space="0" w:color="auto"/>
              <w:right w:val="nil"/>
            </w:tcBorders>
            <w:vAlign w:val="center"/>
          </w:tcPr>
          <w:p w:rsidR="0015264F" w:rsidRPr="004F6C55" w:rsidRDefault="0015264F" w:rsidP="004C39E3">
            <w:pPr>
              <w:spacing w:after="0" w:line="240" w:lineRule="auto"/>
              <w:jc w:val="center"/>
              <w:rPr>
                <w:rFonts w:ascii="Arial Narrow" w:hAnsi="Arial Narrow" w:cs="Arabic Typesetting"/>
                <w:b/>
                <w:bCs/>
                <w:sz w:val="20"/>
                <w:szCs w:val="20"/>
                <w:lang w:eastAsia="en-PH"/>
              </w:rPr>
            </w:pPr>
            <w:r w:rsidRPr="004F6C55">
              <w:rPr>
                <w:rFonts w:ascii="Arial Narrow" w:hAnsi="Arial Narrow" w:cs="Arabic Typesetting"/>
                <w:b/>
                <w:bCs/>
                <w:sz w:val="20"/>
                <w:szCs w:val="20"/>
                <w:lang w:eastAsia="en-PH"/>
              </w:rPr>
              <w:t>Unposted Deposits</w:t>
            </w:r>
          </w:p>
        </w:tc>
        <w:tc>
          <w:tcPr>
            <w:tcW w:w="981" w:type="pct"/>
            <w:gridSpan w:val="2"/>
            <w:tcBorders>
              <w:top w:val="single" w:sz="4" w:space="0" w:color="auto"/>
              <w:left w:val="nil"/>
              <w:bottom w:val="single" w:sz="4" w:space="0" w:color="auto"/>
              <w:right w:val="nil"/>
            </w:tcBorders>
            <w:vAlign w:val="center"/>
          </w:tcPr>
          <w:p w:rsidR="0015264F" w:rsidRPr="004F6C55" w:rsidRDefault="0015264F" w:rsidP="004C39E3">
            <w:pPr>
              <w:spacing w:after="0" w:line="240" w:lineRule="auto"/>
              <w:jc w:val="center"/>
              <w:rPr>
                <w:rFonts w:ascii="Arial Narrow" w:hAnsi="Arial Narrow" w:cs="Arabic Typesetting"/>
                <w:b/>
                <w:bCs/>
                <w:sz w:val="20"/>
                <w:szCs w:val="20"/>
                <w:lang w:eastAsia="en-PH"/>
              </w:rPr>
            </w:pPr>
            <w:r w:rsidRPr="004F6C55">
              <w:rPr>
                <w:rFonts w:ascii="Arial Narrow" w:hAnsi="Arial Narrow" w:cs="Arabic Typesetting"/>
                <w:b/>
                <w:bCs/>
                <w:sz w:val="20"/>
                <w:szCs w:val="20"/>
                <w:lang w:eastAsia="en-PH"/>
              </w:rPr>
              <w:t>Errors</w:t>
            </w:r>
          </w:p>
        </w:tc>
        <w:tc>
          <w:tcPr>
            <w:tcW w:w="1147" w:type="pct"/>
            <w:gridSpan w:val="2"/>
            <w:tcBorders>
              <w:top w:val="single" w:sz="4" w:space="0" w:color="auto"/>
              <w:left w:val="nil"/>
              <w:bottom w:val="single" w:sz="4" w:space="0" w:color="auto"/>
              <w:right w:val="nil"/>
            </w:tcBorders>
            <w:vAlign w:val="center"/>
          </w:tcPr>
          <w:p w:rsidR="0015264F" w:rsidRPr="004F6C55" w:rsidRDefault="0015264F" w:rsidP="004C39E3">
            <w:pPr>
              <w:spacing w:after="0" w:line="240" w:lineRule="auto"/>
              <w:jc w:val="center"/>
              <w:rPr>
                <w:rFonts w:ascii="Arial Narrow" w:hAnsi="Arial Narrow" w:cs="Arabic Typesetting"/>
                <w:b/>
                <w:bCs/>
                <w:sz w:val="20"/>
                <w:szCs w:val="20"/>
                <w:lang w:eastAsia="en-PH"/>
              </w:rPr>
            </w:pPr>
            <w:r w:rsidRPr="004F6C55">
              <w:rPr>
                <w:rFonts w:ascii="Arial Narrow" w:hAnsi="Arial Narrow" w:cs="Arabic Typesetting"/>
                <w:b/>
                <w:bCs/>
                <w:sz w:val="20"/>
                <w:szCs w:val="20"/>
                <w:lang w:eastAsia="en-PH"/>
              </w:rPr>
              <w:t>Total</w:t>
            </w:r>
          </w:p>
        </w:tc>
      </w:tr>
      <w:tr w:rsidR="00F578DA" w:rsidRPr="004573F8" w:rsidTr="00972DD8">
        <w:trPr>
          <w:trHeight w:val="170"/>
        </w:trPr>
        <w:tc>
          <w:tcPr>
            <w:tcW w:w="632" w:type="pct"/>
            <w:tcBorders>
              <w:top w:val="nil"/>
              <w:left w:val="nil"/>
              <w:bottom w:val="nil"/>
              <w:right w:val="nil"/>
            </w:tcBorders>
            <w:shd w:val="clear" w:color="auto" w:fill="auto"/>
            <w:noWrap/>
          </w:tcPr>
          <w:p w:rsidR="0015264F" w:rsidRPr="004F6C55" w:rsidRDefault="0015264F" w:rsidP="004C39E3">
            <w:pPr>
              <w:spacing w:after="0" w:line="240" w:lineRule="auto"/>
              <w:jc w:val="center"/>
              <w:rPr>
                <w:rFonts w:ascii="Arial Narrow" w:hAnsi="Arial Narrow" w:cs="Arabic Typesetting"/>
                <w:sz w:val="20"/>
                <w:szCs w:val="20"/>
                <w:lang w:eastAsia="en-PH"/>
              </w:rPr>
            </w:pPr>
            <w:r w:rsidRPr="004F6C55">
              <w:rPr>
                <w:rFonts w:ascii="Arial Narrow" w:hAnsi="Arial Narrow" w:cs="Arabic Typesetting"/>
                <w:sz w:val="20"/>
                <w:szCs w:val="20"/>
                <w:lang w:eastAsia="en-PH"/>
              </w:rPr>
              <w:t>2006</w:t>
            </w:r>
          </w:p>
        </w:tc>
        <w:tc>
          <w:tcPr>
            <w:tcW w:w="164" w:type="pct"/>
            <w:tcBorders>
              <w:top w:val="nil"/>
              <w:left w:val="nil"/>
              <w:bottom w:val="nil"/>
              <w:right w:val="nil"/>
            </w:tcBorders>
          </w:tcPr>
          <w:p w:rsidR="0015264F" w:rsidRPr="004F6C55" w:rsidRDefault="0015264F" w:rsidP="004C39E3">
            <w:pPr>
              <w:spacing w:after="0" w:line="240" w:lineRule="auto"/>
              <w:jc w:val="right"/>
              <w:rPr>
                <w:rFonts w:ascii="Arial Narrow" w:hAnsi="Arial Narrow" w:cs="Arabic Typesetting"/>
                <w:sz w:val="20"/>
                <w:szCs w:val="20"/>
                <w:lang w:eastAsia="en-PH"/>
              </w:rPr>
            </w:pPr>
            <w:r w:rsidRPr="004F6C55">
              <w:rPr>
                <w:rFonts w:ascii="Arial Narrow" w:hAnsi="Arial Narrow" w:cs="Arabic Typesetting"/>
                <w:sz w:val="20"/>
                <w:szCs w:val="20"/>
                <w:lang w:eastAsia="en-PH"/>
              </w:rPr>
              <w:t>P</w:t>
            </w:r>
          </w:p>
        </w:tc>
        <w:tc>
          <w:tcPr>
            <w:tcW w:w="864" w:type="pct"/>
            <w:tcBorders>
              <w:top w:val="nil"/>
              <w:left w:val="nil"/>
              <w:bottom w:val="nil"/>
              <w:right w:val="nil"/>
            </w:tcBorders>
          </w:tcPr>
          <w:p w:rsidR="0015264F" w:rsidRPr="004F6C55" w:rsidRDefault="0015264F" w:rsidP="004C39E3">
            <w:pPr>
              <w:spacing w:after="0" w:line="240" w:lineRule="auto"/>
              <w:jc w:val="right"/>
              <w:rPr>
                <w:rFonts w:ascii="Arial Narrow" w:hAnsi="Arial Narrow" w:cs="Arabic Typesetting"/>
                <w:sz w:val="20"/>
                <w:szCs w:val="20"/>
              </w:rPr>
            </w:pPr>
            <w:r w:rsidRPr="004F6C55">
              <w:rPr>
                <w:rFonts w:ascii="Arial Narrow" w:hAnsi="Arial Narrow" w:cs="Arabic Typesetting"/>
                <w:sz w:val="20"/>
                <w:szCs w:val="20"/>
                <w:lang w:eastAsia="en-PH"/>
              </w:rPr>
              <w:t>-</w:t>
            </w:r>
          </w:p>
        </w:tc>
        <w:tc>
          <w:tcPr>
            <w:tcW w:w="172" w:type="pct"/>
            <w:tcBorders>
              <w:top w:val="nil"/>
              <w:left w:val="nil"/>
              <w:bottom w:val="nil"/>
              <w:right w:val="nil"/>
            </w:tcBorders>
          </w:tcPr>
          <w:p w:rsidR="0015264F" w:rsidRPr="004F6C55" w:rsidRDefault="0015264F" w:rsidP="004C39E3">
            <w:pPr>
              <w:spacing w:after="0" w:line="240" w:lineRule="auto"/>
              <w:jc w:val="right"/>
              <w:rPr>
                <w:rFonts w:ascii="Arial Narrow" w:hAnsi="Arial Narrow" w:cs="Arabic Typesetting"/>
                <w:sz w:val="20"/>
                <w:szCs w:val="20"/>
                <w:lang w:eastAsia="en-PH"/>
              </w:rPr>
            </w:pPr>
            <w:r w:rsidRPr="004F6C55">
              <w:rPr>
                <w:rFonts w:ascii="Arial Narrow" w:hAnsi="Arial Narrow" w:cs="Arabic Typesetting"/>
                <w:sz w:val="20"/>
                <w:szCs w:val="20"/>
                <w:lang w:eastAsia="en-PH"/>
              </w:rPr>
              <w:t>P</w:t>
            </w:r>
          </w:p>
        </w:tc>
        <w:tc>
          <w:tcPr>
            <w:tcW w:w="1040" w:type="pct"/>
            <w:tcBorders>
              <w:top w:val="nil"/>
              <w:left w:val="nil"/>
              <w:bottom w:val="nil"/>
              <w:right w:val="nil"/>
            </w:tcBorders>
            <w:shd w:val="clear" w:color="auto" w:fill="auto"/>
            <w:noWrap/>
            <w:vAlign w:val="bottom"/>
          </w:tcPr>
          <w:p w:rsidR="0015264F" w:rsidRPr="004F6C55" w:rsidRDefault="0015264F" w:rsidP="004C39E3">
            <w:pPr>
              <w:spacing w:after="0" w:line="240" w:lineRule="auto"/>
              <w:rPr>
                <w:rFonts w:ascii="Arial Narrow" w:hAnsi="Arial Narrow" w:cs="Arabic Typesetting"/>
                <w:sz w:val="20"/>
                <w:szCs w:val="20"/>
              </w:rPr>
            </w:pPr>
          </w:p>
        </w:tc>
        <w:tc>
          <w:tcPr>
            <w:tcW w:w="173" w:type="pct"/>
            <w:tcBorders>
              <w:top w:val="nil"/>
              <w:left w:val="nil"/>
              <w:bottom w:val="nil"/>
              <w:right w:val="nil"/>
            </w:tcBorders>
          </w:tcPr>
          <w:p w:rsidR="0015264F" w:rsidRPr="004F6C55" w:rsidRDefault="0015264F" w:rsidP="004C39E3">
            <w:pPr>
              <w:spacing w:after="0" w:line="240" w:lineRule="auto"/>
              <w:jc w:val="right"/>
              <w:rPr>
                <w:rFonts w:ascii="Arial Narrow" w:hAnsi="Arial Narrow" w:cs="Arabic Typesetting"/>
                <w:sz w:val="20"/>
                <w:szCs w:val="20"/>
                <w:lang w:eastAsia="en-PH"/>
              </w:rPr>
            </w:pPr>
            <w:r w:rsidRPr="004F6C55">
              <w:rPr>
                <w:rFonts w:ascii="Arial Narrow" w:hAnsi="Arial Narrow" w:cs="Arabic Typesetting"/>
                <w:sz w:val="20"/>
                <w:szCs w:val="20"/>
                <w:lang w:eastAsia="en-PH"/>
              </w:rPr>
              <w:t>P</w:t>
            </w:r>
          </w:p>
        </w:tc>
        <w:tc>
          <w:tcPr>
            <w:tcW w:w="808" w:type="pct"/>
            <w:tcBorders>
              <w:top w:val="nil"/>
              <w:left w:val="nil"/>
              <w:bottom w:val="nil"/>
              <w:right w:val="nil"/>
            </w:tcBorders>
            <w:shd w:val="clear" w:color="auto" w:fill="auto"/>
            <w:noWrap/>
            <w:vAlign w:val="bottom"/>
          </w:tcPr>
          <w:p w:rsidR="0015264F" w:rsidRPr="004F6C55" w:rsidRDefault="0015264F" w:rsidP="004C39E3">
            <w:pPr>
              <w:spacing w:after="0" w:line="240" w:lineRule="auto"/>
              <w:jc w:val="right"/>
              <w:rPr>
                <w:rFonts w:ascii="Arial Narrow" w:hAnsi="Arial Narrow" w:cs="Arabic Typesetting"/>
                <w:sz w:val="20"/>
                <w:szCs w:val="20"/>
              </w:rPr>
            </w:pPr>
            <w:r w:rsidRPr="004F6C55">
              <w:rPr>
                <w:rFonts w:ascii="Arial Narrow" w:hAnsi="Arial Narrow" w:cs="Arabic Typesetting"/>
                <w:sz w:val="20"/>
                <w:szCs w:val="20"/>
              </w:rPr>
              <w:t>(200.00)</w:t>
            </w:r>
          </w:p>
        </w:tc>
        <w:tc>
          <w:tcPr>
            <w:tcW w:w="173" w:type="pct"/>
            <w:tcBorders>
              <w:top w:val="nil"/>
              <w:left w:val="nil"/>
              <w:bottom w:val="nil"/>
              <w:right w:val="nil"/>
            </w:tcBorders>
          </w:tcPr>
          <w:p w:rsidR="0015264F" w:rsidRPr="004F6C55" w:rsidRDefault="0015264F" w:rsidP="004C39E3">
            <w:pPr>
              <w:spacing w:after="0" w:line="240" w:lineRule="auto"/>
              <w:jc w:val="right"/>
              <w:rPr>
                <w:rFonts w:ascii="Arial Narrow" w:hAnsi="Arial Narrow" w:cs="Arabic Typesetting"/>
                <w:sz w:val="20"/>
                <w:szCs w:val="20"/>
                <w:lang w:eastAsia="en-PH"/>
              </w:rPr>
            </w:pPr>
            <w:r w:rsidRPr="004F6C55">
              <w:rPr>
                <w:rFonts w:ascii="Arial Narrow" w:hAnsi="Arial Narrow" w:cs="Arabic Typesetting"/>
                <w:sz w:val="20"/>
                <w:szCs w:val="20"/>
                <w:lang w:eastAsia="en-PH"/>
              </w:rPr>
              <w:t>P</w:t>
            </w:r>
          </w:p>
        </w:tc>
        <w:tc>
          <w:tcPr>
            <w:tcW w:w="974" w:type="pct"/>
            <w:tcBorders>
              <w:top w:val="nil"/>
              <w:left w:val="nil"/>
              <w:bottom w:val="nil"/>
              <w:right w:val="nil"/>
            </w:tcBorders>
            <w:shd w:val="clear" w:color="auto" w:fill="auto"/>
            <w:noWrap/>
            <w:vAlign w:val="bottom"/>
          </w:tcPr>
          <w:p w:rsidR="0015264F" w:rsidRPr="004F6C55" w:rsidRDefault="0015264F" w:rsidP="004C39E3">
            <w:pPr>
              <w:spacing w:after="0" w:line="240" w:lineRule="auto"/>
              <w:jc w:val="right"/>
              <w:rPr>
                <w:rFonts w:ascii="Arial Narrow" w:hAnsi="Arial Narrow" w:cs="Arabic Typesetting"/>
                <w:sz w:val="20"/>
                <w:szCs w:val="20"/>
              </w:rPr>
            </w:pPr>
            <w:r w:rsidRPr="004F6C55">
              <w:rPr>
                <w:rFonts w:ascii="Arial Narrow" w:hAnsi="Arial Narrow" w:cs="Arabic Typesetting"/>
                <w:sz w:val="20"/>
                <w:szCs w:val="20"/>
              </w:rPr>
              <w:t>(200.00)</w:t>
            </w:r>
          </w:p>
        </w:tc>
      </w:tr>
      <w:tr w:rsidR="00F578DA" w:rsidRPr="004573F8" w:rsidTr="00972DD8">
        <w:trPr>
          <w:trHeight w:val="189"/>
        </w:trPr>
        <w:tc>
          <w:tcPr>
            <w:tcW w:w="632" w:type="pct"/>
            <w:tcBorders>
              <w:top w:val="nil"/>
              <w:left w:val="nil"/>
              <w:bottom w:val="nil"/>
              <w:right w:val="nil"/>
            </w:tcBorders>
            <w:shd w:val="clear" w:color="auto" w:fill="auto"/>
            <w:noWrap/>
            <w:hideMark/>
          </w:tcPr>
          <w:p w:rsidR="0015264F" w:rsidRPr="004F6C55" w:rsidRDefault="0015264F" w:rsidP="004C39E3">
            <w:pPr>
              <w:spacing w:after="0" w:line="240" w:lineRule="auto"/>
              <w:jc w:val="center"/>
              <w:rPr>
                <w:rFonts w:ascii="Arial Narrow" w:hAnsi="Arial Narrow" w:cs="Arabic Typesetting"/>
                <w:sz w:val="20"/>
                <w:szCs w:val="20"/>
                <w:lang w:eastAsia="en-PH"/>
              </w:rPr>
            </w:pPr>
            <w:r w:rsidRPr="004F6C55">
              <w:rPr>
                <w:rFonts w:ascii="Arial Narrow" w:hAnsi="Arial Narrow" w:cs="Arabic Typesetting"/>
                <w:sz w:val="20"/>
                <w:szCs w:val="20"/>
                <w:lang w:eastAsia="en-PH"/>
              </w:rPr>
              <w:t>2008</w:t>
            </w:r>
          </w:p>
        </w:tc>
        <w:tc>
          <w:tcPr>
            <w:tcW w:w="164" w:type="pct"/>
            <w:tcBorders>
              <w:top w:val="nil"/>
              <w:left w:val="nil"/>
              <w:bottom w:val="nil"/>
              <w:right w:val="nil"/>
            </w:tcBorders>
          </w:tcPr>
          <w:p w:rsidR="0015264F" w:rsidRPr="004F6C55" w:rsidRDefault="0015264F" w:rsidP="004C39E3">
            <w:pPr>
              <w:spacing w:after="0" w:line="240" w:lineRule="auto"/>
              <w:jc w:val="right"/>
              <w:rPr>
                <w:rFonts w:ascii="Arial Narrow" w:hAnsi="Arial Narrow" w:cs="Arabic Typesetting"/>
                <w:sz w:val="20"/>
                <w:szCs w:val="20"/>
                <w:lang w:eastAsia="en-PH"/>
              </w:rPr>
            </w:pPr>
          </w:p>
        </w:tc>
        <w:tc>
          <w:tcPr>
            <w:tcW w:w="864" w:type="pct"/>
            <w:tcBorders>
              <w:top w:val="nil"/>
              <w:left w:val="nil"/>
              <w:bottom w:val="nil"/>
              <w:right w:val="nil"/>
            </w:tcBorders>
          </w:tcPr>
          <w:p w:rsidR="0015264F" w:rsidRPr="004F6C55" w:rsidRDefault="0015264F" w:rsidP="004C39E3">
            <w:pPr>
              <w:spacing w:after="0" w:line="240" w:lineRule="auto"/>
              <w:jc w:val="right"/>
              <w:rPr>
                <w:rFonts w:ascii="Arial Narrow" w:hAnsi="Arial Narrow" w:cs="Arabic Typesetting"/>
                <w:sz w:val="20"/>
                <w:szCs w:val="20"/>
              </w:rPr>
            </w:pPr>
            <w:r w:rsidRPr="004F6C55">
              <w:rPr>
                <w:rFonts w:ascii="Arial Narrow" w:hAnsi="Arial Narrow" w:cs="Arabic Typesetting"/>
                <w:sz w:val="20"/>
                <w:szCs w:val="20"/>
                <w:lang w:eastAsia="en-PH"/>
              </w:rPr>
              <w:t>-</w:t>
            </w:r>
          </w:p>
        </w:tc>
        <w:tc>
          <w:tcPr>
            <w:tcW w:w="172" w:type="pct"/>
            <w:tcBorders>
              <w:top w:val="nil"/>
              <w:left w:val="nil"/>
              <w:bottom w:val="nil"/>
              <w:right w:val="nil"/>
            </w:tcBorders>
          </w:tcPr>
          <w:p w:rsidR="0015264F" w:rsidRPr="004F6C55" w:rsidRDefault="0015264F" w:rsidP="004C39E3">
            <w:pPr>
              <w:spacing w:after="0" w:line="240" w:lineRule="auto"/>
              <w:jc w:val="right"/>
              <w:rPr>
                <w:rFonts w:ascii="Arial Narrow" w:hAnsi="Arial Narrow" w:cs="Arabic Typesetting"/>
                <w:sz w:val="20"/>
                <w:szCs w:val="20"/>
                <w:lang w:eastAsia="en-PH"/>
              </w:rPr>
            </w:pPr>
          </w:p>
        </w:tc>
        <w:tc>
          <w:tcPr>
            <w:tcW w:w="1040" w:type="pct"/>
            <w:tcBorders>
              <w:top w:val="nil"/>
              <w:left w:val="nil"/>
              <w:bottom w:val="nil"/>
              <w:right w:val="nil"/>
            </w:tcBorders>
            <w:shd w:val="clear" w:color="auto" w:fill="auto"/>
            <w:noWrap/>
            <w:vAlign w:val="bottom"/>
            <w:hideMark/>
          </w:tcPr>
          <w:p w:rsidR="0015264F" w:rsidRPr="004F6C55" w:rsidRDefault="0015264F" w:rsidP="004C39E3">
            <w:pPr>
              <w:spacing w:after="0" w:line="240" w:lineRule="auto"/>
              <w:rPr>
                <w:rFonts w:ascii="Arial Narrow" w:hAnsi="Arial Narrow" w:cs="Arabic Typesetting"/>
                <w:sz w:val="20"/>
                <w:szCs w:val="20"/>
              </w:rPr>
            </w:pPr>
          </w:p>
        </w:tc>
        <w:tc>
          <w:tcPr>
            <w:tcW w:w="173" w:type="pct"/>
            <w:tcBorders>
              <w:top w:val="nil"/>
              <w:left w:val="nil"/>
              <w:bottom w:val="nil"/>
              <w:right w:val="nil"/>
            </w:tcBorders>
          </w:tcPr>
          <w:p w:rsidR="0015264F" w:rsidRPr="004F6C55" w:rsidRDefault="0015264F" w:rsidP="004C39E3">
            <w:pPr>
              <w:spacing w:after="0" w:line="240" w:lineRule="auto"/>
              <w:jc w:val="right"/>
              <w:rPr>
                <w:rFonts w:ascii="Arial Narrow" w:hAnsi="Arial Narrow" w:cs="Arabic Typesetting"/>
                <w:sz w:val="20"/>
                <w:szCs w:val="20"/>
                <w:lang w:eastAsia="en-PH"/>
              </w:rPr>
            </w:pPr>
          </w:p>
        </w:tc>
        <w:tc>
          <w:tcPr>
            <w:tcW w:w="808" w:type="pct"/>
            <w:tcBorders>
              <w:top w:val="nil"/>
              <w:left w:val="nil"/>
              <w:bottom w:val="nil"/>
              <w:right w:val="nil"/>
            </w:tcBorders>
            <w:shd w:val="clear" w:color="auto" w:fill="auto"/>
            <w:noWrap/>
            <w:vAlign w:val="bottom"/>
            <w:hideMark/>
          </w:tcPr>
          <w:p w:rsidR="0015264F" w:rsidRPr="004F6C55" w:rsidRDefault="0015264F" w:rsidP="004C39E3">
            <w:pPr>
              <w:spacing w:after="0" w:line="240" w:lineRule="auto"/>
              <w:rPr>
                <w:rFonts w:ascii="Arial Narrow" w:hAnsi="Arial Narrow" w:cs="Arabic Typesetting"/>
                <w:sz w:val="20"/>
                <w:szCs w:val="20"/>
              </w:rPr>
            </w:pPr>
          </w:p>
        </w:tc>
        <w:tc>
          <w:tcPr>
            <w:tcW w:w="173" w:type="pct"/>
            <w:tcBorders>
              <w:top w:val="nil"/>
              <w:left w:val="nil"/>
              <w:bottom w:val="nil"/>
              <w:right w:val="nil"/>
            </w:tcBorders>
          </w:tcPr>
          <w:p w:rsidR="0015264F" w:rsidRPr="004F6C55" w:rsidRDefault="0015264F" w:rsidP="004C39E3">
            <w:pPr>
              <w:spacing w:after="0" w:line="240" w:lineRule="auto"/>
              <w:jc w:val="right"/>
              <w:rPr>
                <w:rFonts w:ascii="Arial Narrow" w:hAnsi="Arial Narrow" w:cs="Arabic Typesetting"/>
                <w:sz w:val="20"/>
                <w:szCs w:val="20"/>
                <w:lang w:eastAsia="en-PH"/>
              </w:rPr>
            </w:pPr>
          </w:p>
        </w:tc>
        <w:tc>
          <w:tcPr>
            <w:tcW w:w="974" w:type="pct"/>
            <w:tcBorders>
              <w:top w:val="nil"/>
              <w:left w:val="nil"/>
              <w:bottom w:val="nil"/>
              <w:right w:val="nil"/>
            </w:tcBorders>
            <w:shd w:val="clear" w:color="auto" w:fill="auto"/>
            <w:noWrap/>
            <w:vAlign w:val="bottom"/>
            <w:hideMark/>
          </w:tcPr>
          <w:p w:rsidR="0015264F" w:rsidRPr="004F6C55" w:rsidRDefault="0015264F" w:rsidP="004C39E3">
            <w:pPr>
              <w:spacing w:after="0" w:line="240" w:lineRule="auto"/>
              <w:jc w:val="right"/>
              <w:rPr>
                <w:rFonts w:ascii="Arial Narrow" w:hAnsi="Arial Narrow" w:cs="Arabic Typesetting"/>
                <w:sz w:val="20"/>
                <w:szCs w:val="20"/>
              </w:rPr>
            </w:pPr>
            <w:r w:rsidRPr="004F6C55">
              <w:rPr>
                <w:rFonts w:ascii="Arial Narrow" w:hAnsi="Arial Narrow" w:cs="Arabic Typesetting"/>
                <w:sz w:val="20"/>
                <w:szCs w:val="20"/>
              </w:rPr>
              <w:t>0.00</w:t>
            </w:r>
          </w:p>
        </w:tc>
      </w:tr>
      <w:tr w:rsidR="00F578DA" w:rsidRPr="004573F8" w:rsidTr="00972DD8">
        <w:trPr>
          <w:trHeight w:val="225"/>
        </w:trPr>
        <w:tc>
          <w:tcPr>
            <w:tcW w:w="632" w:type="pct"/>
            <w:tcBorders>
              <w:top w:val="nil"/>
              <w:left w:val="nil"/>
              <w:bottom w:val="nil"/>
              <w:right w:val="nil"/>
            </w:tcBorders>
            <w:shd w:val="clear" w:color="auto" w:fill="auto"/>
            <w:noWrap/>
            <w:hideMark/>
          </w:tcPr>
          <w:p w:rsidR="0015264F" w:rsidRPr="004F6C55" w:rsidRDefault="0015264F" w:rsidP="004C39E3">
            <w:pPr>
              <w:spacing w:after="0" w:line="240" w:lineRule="auto"/>
              <w:jc w:val="center"/>
              <w:rPr>
                <w:rFonts w:ascii="Arial Narrow" w:hAnsi="Arial Narrow" w:cs="Arabic Typesetting"/>
                <w:sz w:val="20"/>
                <w:szCs w:val="20"/>
                <w:lang w:eastAsia="en-PH"/>
              </w:rPr>
            </w:pPr>
            <w:r w:rsidRPr="004F6C55">
              <w:rPr>
                <w:rFonts w:ascii="Arial Narrow" w:hAnsi="Arial Narrow" w:cs="Arabic Typesetting"/>
                <w:sz w:val="20"/>
                <w:szCs w:val="20"/>
                <w:lang w:eastAsia="en-PH"/>
              </w:rPr>
              <w:t>2009</w:t>
            </w:r>
          </w:p>
        </w:tc>
        <w:tc>
          <w:tcPr>
            <w:tcW w:w="164" w:type="pct"/>
            <w:tcBorders>
              <w:top w:val="nil"/>
              <w:left w:val="nil"/>
              <w:bottom w:val="nil"/>
              <w:right w:val="nil"/>
            </w:tcBorders>
          </w:tcPr>
          <w:p w:rsidR="0015264F" w:rsidRPr="004F6C55" w:rsidRDefault="0015264F" w:rsidP="004C39E3">
            <w:pPr>
              <w:spacing w:after="0" w:line="240" w:lineRule="auto"/>
              <w:jc w:val="right"/>
              <w:rPr>
                <w:rFonts w:ascii="Arial Narrow" w:hAnsi="Arial Narrow" w:cs="Arabic Typesetting"/>
                <w:sz w:val="20"/>
                <w:szCs w:val="20"/>
                <w:lang w:eastAsia="en-PH"/>
              </w:rPr>
            </w:pPr>
          </w:p>
        </w:tc>
        <w:tc>
          <w:tcPr>
            <w:tcW w:w="864" w:type="pct"/>
            <w:tcBorders>
              <w:top w:val="nil"/>
              <w:left w:val="nil"/>
              <w:bottom w:val="nil"/>
              <w:right w:val="nil"/>
            </w:tcBorders>
          </w:tcPr>
          <w:p w:rsidR="0015264F" w:rsidRPr="004F6C55" w:rsidRDefault="0015264F" w:rsidP="004C39E3">
            <w:pPr>
              <w:spacing w:after="0" w:line="240" w:lineRule="auto"/>
              <w:jc w:val="right"/>
              <w:rPr>
                <w:rFonts w:ascii="Arial Narrow" w:hAnsi="Arial Narrow" w:cs="Arabic Typesetting"/>
                <w:sz w:val="20"/>
                <w:szCs w:val="20"/>
              </w:rPr>
            </w:pPr>
            <w:r w:rsidRPr="004F6C55">
              <w:rPr>
                <w:rFonts w:ascii="Arial Narrow" w:hAnsi="Arial Narrow" w:cs="Arabic Typesetting"/>
                <w:sz w:val="20"/>
                <w:szCs w:val="20"/>
                <w:lang w:eastAsia="en-PH"/>
              </w:rPr>
              <w:t>-</w:t>
            </w:r>
          </w:p>
        </w:tc>
        <w:tc>
          <w:tcPr>
            <w:tcW w:w="172" w:type="pct"/>
            <w:tcBorders>
              <w:top w:val="nil"/>
              <w:left w:val="nil"/>
              <w:bottom w:val="nil"/>
              <w:right w:val="nil"/>
            </w:tcBorders>
          </w:tcPr>
          <w:p w:rsidR="0015264F" w:rsidRPr="004F6C55" w:rsidRDefault="0015264F" w:rsidP="004C39E3">
            <w:pPr>
              <w:spacing w:after="0" w:line="240" w:lineRule="auto"/>
              <w:jc w:val="right"/>
              <w:rPr>
                <w:rFonts w:ascii="Arial Narrow" w:hAnsi="Arial Narrow" w:cs="Arabic Typesetting"/>
                <w:sz w:val="20"/>
                <w:szCs w:val="20"/>
                <w:lang w:eastAsia="en-PH"/>
              </w:rPr>
            </w:pPr>
          </w:p>
        </w:tc>
        <w:tc>
          <w:tcPr>
            <w:tcW w:w="1040" w:type="pct"/>
            <w:tcBorders>
              <w:top w:val="nil"/>
              <w:left w:val="nil"/>
              <w:bottom w:val="nil"/>
              <w:right w:val="nil"/>
            </w:tcBorders>
            <w:shd w:val="clear" w:color="auto" w:fill="auto"/>
            <w:noWrap/>
            <w:vAlign w:val="bottom"/>
            <w:hideMark/>
          </w:tcPr>
          <w:p w:rsidR="0015264F" w:rsidRPr="004F6C55" w:rsidRDefault="0015264F" w:rsidP="004C39E3">
            <w:pPr>
              <w:spacing w:after="0" w:line="240" w:lineRule="auto"/>
              <w:rPr>
                <w:rFonts w:ascii="Arial Narrow" w:hAnsi="Arial Narrow" w:cs="Arabic Typesetting"/>
                <w:sz w:val="20"/>
                <w:szCs w:val="20"/>
              </w:rPr>
            </w:pPr>
          </w:p>
        </w:tc>
        <w:tc>
          <w:tcPr>
            <w:tcW w:w="173" w:type="pct"/>
            <w:tcBorders>
              <w:top w:val="nil"/>
              <w:left w:val="nil"/>
              <w:bottom w:val="nil"/>
              <w:right w:val="nil"/>
            </w:tcBorders>
          </w:tcPr>
          <w:p w:rsidR="0015264F" w:rsidRPr="004F6C55" w:rsidRDefault="0015264F" w:rsidP="004C39E3">
            <w:pPr>
              <w:spacing w:after="0" w:line="240" w:lineRule="auto"/>
              <w:jc w:val="right"/>
              <w:rPr>
                <w:rFonts w:ascii="Arial Narrow" w:hAnsi="Arial Narrow" w:cs="Arabic Typesetting"/>
                <w:sz w:val="20"/>
                <w:szCs w:val="20"/>
                <w:lang w:eastAsia="en-PH"/>
              </w:rPr>
            </w:pPr>
          </w:p>
        </w:tc>
        <w:tc>
          <w:tcPr>
            <w:tcW w:w="808" w:type="pct"/>
            <w:tcBorders>
              <w:top w:val="nil"/>
              <w:left w:val="nil"/>
              <w:bottom w:val="nil"/>
              <w:right w:val="nil"/>
            </w:tcBorders>
            <w:shd w:val="clear" w:color="auto" w:fill="auto"/>
            <w:noWrap/>
            <w:vAlign w:val="bottom"/>
            <w:hideMark/>
          </w:tcPr>
          <w:p w:rsidR="0015264F" w:rsidRPr="004F6C55" w:rsidRDefault="0015264F" w:rsidP="004C39E3">
            <w:pPr>
              <w:spacing w:after="0" w:line="240" w:lineRule="auto"/>
              <w:jc w:val="right"/>
              <w:rPr>
                <w:rFonts w:ascii="Arial Narrow" w:hAnsi="Arial Narrow" w:cs="Arabic Typesetting"/>
                <w:sz w:val="20"/>
                <w:szCs w:val="20"/>
              </w:rPr>
            </w:pPr>
            <w:r w:rsidRPr="004F6C55">
              <w:rPr>
                <w:rFonts w:ascii="Arial Narrow" w:hAnsi="Arial Narrow" w:cs="Arabic Typesetting"/>
                <w:sz w:val="20"/>
                <w:szCs w:val="20"/>
              </w:rPr>
              <w:t>(7,748.00)</w:t>
            </w:r>
          </w:p>
        </w:tc>
        <w:tc>
          <w:tcPr>
            <w:tcW w:w="173" w:type="pct"/>
            <w:tcBorders>
              <w:top w:val="nil"/>
              <w:left w:val="nil"/>
              <w:bottom w:val="nil"/>
              <w:right w:val="nil"/>
            </w:tcBorders>
          </w:tcPr>
          <w:p w:rsidR="0015264F" w:rsidRPr="004F6C55" w:rsidRDefault="0015264F" w:rsidP="004C39E3">
            <w:pPr>
              <w:spacing w:after="0" w:line="240" w:lineRule="auto"/>
              <w:jc w:val="right"/>
              <w:rPr>
                <w:rFonts w:ascii="Arial Narrow" w:hAnsi="Arial Narrow" w:cs="Arabic Typesetting"/>
                <w:sz w:val="20"/>
                <w:szCs w:val="20"/>
                <w:lang w:eastAsia="en-PH"/>
              </w:rPr>
            </w:pPr>
          </w:p>
        </w:tc>
        <w:tc>
          <w:tcPr>
            <w:tcW w:w="974" w:type="pct"/>
            <w:tcBorders>
              <w:top w:val="nil"/>
              <w:left w:val="nil"/>
              <w:bottom w:val="nil"/>
              <w:right w:val="nil"/>
            </w:tcBorders>
            <w:shd w:val="clear" w:color="auto" w:fill="auto"/>
            <w:noWrap/>
            <w:vAlign w:val="bottom"/>
            <w:hideMark/>
          </w:tcPr>
          <w:p w:rsidR="0015264F" w:rsidRPr="004F6C55" w:rsidRDefault="0015264F" w:rsidP="004C39E3">
            <w:pPr>
              <w:spacing w:after="0" w:line="240" w:lineRule="auto"/>
              <w:jc w:val="right"/>
              <w:rPr>
                <w:rFonts w:ascii="Arial Narrow" w:hAnsi="Arial Narrow" w:cs="Arabic Typesetting"/>
                <w:sz w:val="20"/>
                <w:szCs w:val="20"/>
              </w:rPr>
            </w:pPr>
            <w:r w:rsidRPr="004F6C55">
              <w:rPr>
                <w:rFonts w:ascii="Arial Narrow" w:hAnsi="Arial Narrow" w:cs="Arabic Typesetting"/>
                <w:sz w:val="20"/>
                <w:szCs w:val="20"/>
              </w:rPr>
              <w:t>(7,748.00)</w:t>
            </w:r>
          </w:p>
        </w:tc>
      </w:tr>
      <w:tr w:rsidR="00F578DA" w:rsidRPr="004573F8" w:rsidTr="00972DD8">
        <w:trPr>
          <w:trHeight w:val="162"/>
        </w:trPr>
        <w:tc>
          <w:tcPr>
            <w:tcW w:w="632" w:type="pct"/>
            <w:tcBorders>
              <w:top w:val="nil"/>
              <w:left w:val="nil"/>
              <w:bottom w:val="nil"/>
              <w:right w:val="nil"/>
            </w:tcBorders>
            <w:shd w:val="clear" w:color="auto" w:fill="auto"/>
            <w:noWrap/>
            <w:hideMark/>
          </w:tcPr>
          <w:p w:rsidR="0015264F" w:rsidRPr="004F6C55" w:rsidRDefault="0015264F" w:rsidP="004C39E3">
            <w:pPr>
              <w:spacing w:after="0" w:line="240" w:lineRule="auto"/>
              <w:jc w:val="center"/>
              <w:rPr>
                <w:rFonts w:ascii="Arial Narrow" w:hAnsi="Arial Narrow" w:cs="Arabic Typesetting"/>
                <w:sz w:val="20"/>
                <w:szCs w:val="20"/>
                <w:lang w:eastAsia="en-PH"/>
              </w:rPr>
            </w:pPr>
            <w:r w:rsidRPr="004F6C55">
              <w:rPr>
                <w:rFonts w:ascii="Arial Narrow" w:hAnsi="Arial Narrow" w:cs="Arabic Typesetting"/>
                <w:sz w:val="20"/>
                <w:szCs w:val="20"/>
                <w:lang w:eastAsia="en-PH"/>
              </w:rPr>
              <w:t>2010</w:t>
            </w:r>
          </w:p>
        </w:tc>
        <w:tc>
          <w:tcPr>
            <w:tcW w:w="164" w:type="pct"/>
            <w:tcBorders>
              <w:top w:val="nil"/>
              <w:left w:val="nil"/>
              <w:bottom w:val="nil"/>
              <w:right w:val="nil"/>
            </w:tcBorders>
          </w:tcPr>
          <w:p w:rsidR="0015264F" w:rsidRPr="004F6C55" w:rsidRDefault="0015264F" w:rsidP="004C39E3">
            <w:pPr>
              <w:spacing w:after="0" w:line="240" w:lineRule="auto"/>
              <w:jc w:val="right"/>
              <w:rPr>
                <w:rFonts w:ascii="Arial Narrow" w:hAnsi="Arial Narrow" w:cs="Arabic Typesetting"/>
                <w:sz w:val="20"/>
                <w:szCs w:val="20"/>
                <w:lang w:eastAsia="en-PH"/>
              </w:rPr>
            </w:pPr>
          </w:p>
        </w:tc>
        <w:tc>
          <w:tcPr>
            <w:tcW w:w="864" w:type="pct"/>
            <w:tcBorders>
              <w:top w:val="nil"/>
              <w:left w:val="nil"/>
              <w:bottom w:val="nil"/>
              <w:right w:val="nil"/>
            </w:tcBorders>
          </w:tcPr>
          <w:p w:rsidR="0015264F" w:rsidRPr="004F6C55" w:rsidRDefault="0015264F" w:rsidP="004C39E3">
            <w:pPr>
              <w:spacing w:after="0" w:line="240" w:lineRule="auto"/>
              <w:jc w:val="right"/>
              <w:rPr>
                <w:rFonts w:ascii="Arial Narrow" w:hAnsi="Arial Narrow" w:cs="Arabic Typesetting"/>
                <w:sz w:val="20"/>
                <w:szCs w:val="20"/>
              </w:rPr>
            </w:pPr>
            <w:r w:rsidRPr="004F6C55">
              <w:rPr>
                <w:rFonts w:ascii="Arial Narrow" w:hAnsi="Arial Narrow" w:cs="Arabic Typesetting"/>
                <w:sz w:val="20"/>
                <w:szCs w:val="20"/>
                <w:lang w:eastAsia="en-PH"/>
              </w:rPr>
              <w:t>-</w:t>
            </w:r>
          </w:p>
        </w:tc>
        <w:tc>
          <w:tcPr>
            <w:tcW w:w="172" w:type="pct"/>
            <w:tcBorders>
              <w:top w:val="nil"/>
              <w:left w:val="nil"/>
              <w:bottom w:val="nil"/>
              <w:right w:val="nil"/>
            </w:tcBorders>
          </w:tcPr>
          <w:p w:rsidR="0015264F" w:rsidRPr="004F6C55" w:rsidRDefault="0015264F" w:rsidP="004C39E3">
            <w:pPr>
              <w:spacing w:after="0" w:line="240" w:lineRule="auto"/>
              <w:jc w:val="right"/>
              <w:rPr>
                <w:rFonts w:ascii="Arial Narrow" w:hAnsi="Arial Narrow" w:cs="Arabic Typesetting"/>
                <w:sz w:val="20"/>
                <w:szCs w:val="20"/>
                <w:lang w:eastAsia="en-PH"/>
              </w:rPr>
            </w:pPr>
          </w:p>
        </w:tc>
        <w:tc>
          <w:tcPr>
            <w:tcW w:w="1040" w:type="pct"/>
            <w:tcBorders>
              <w:top w:val="nil"/>
              <w:left w:val="nil"/>
              <w:bottom w:val="nil"/>
              <w:right w:val="nil"/>
            </w:tcBorders>
            <w:shd w:val="clear" w:color="auto" w:fill="auto"/>
            <w:noWrap/>
            <w:vAlign w:val="bottom"/>
            <w:hideMark/>
          </w:tcPr>
          <w:p w:rsidR="0015264F" w:rsidRPr="004F6C55" w:rsidRDefault="0015264F" w:rsidP="004C39E3">
            <w:pPr>
              <w:spacing w:after="0" w:line="240" w:lineRule="auto"/>
              <w:rPr>
                <w:rFonts w:ascii="Arial Narrow" w:hAnsi="Arial Narrow" w:cs="Arabic Typesetting"/>
                <w:sz w:val="20"/>
                <w:szCs w:val="20"/>
              </w:rPr>
            </w:pPr>
          </w:p>
        </w:tc>
        <w:tc>
          <w:tcPr>
            <w:tcW w:w="173" w:type="pct"/>
            <w:tcBorders>
              <w:top w:val="nil"/>
              <w:left w:val="nil"/>
              <w:bottom w:val="nil"/>
              <w:right w:val="nil"/>
            </w:tcBorders>
          </w:tcPr>
          <w:p w:rsidR="0015264F" w:rsidRPr="004F6C55" w:rsidRDefault="0015264F" w:rsidP="004C39E3">
            <w:pPr>
              <w:spacing w:after="0" w:line="240" w:lineRule="auto"/>
              <w:jc w:val="right"/>
              <w:rPr>
                <w:rFonts w:ascii="Arial Narrow" w:hAnsi="Arial Narrow" w:cs="Arabic Typesetting"/>
                <w:sz w:val="20"/>
                <w:szCs w:val="20"/>
                <w:lang w:eastAsia="en-PH"/>
              </w:rPr>
            </w:pPr>
          </w:p>
        </w:tc>
        <w:tc>
          <w:tcPr>
            <w:tcW w:w="808" w:type="pct"/>
            <w:tcBorders>
              <w:top w:val="nil"/>
              <w:left w:val="nil"/>
              <w:bottom w:val="nil"/>
              <w:right w:val="nil"/>
            </w:tcBorders>
            <w:shd w:val="clear" w:color="auto" w:fill="auto"/>
            <w:noWrap/>
            <w:vAlign w:val="bottom"/>
            <w:hideMark/>
          </w:tcPr>
          <w:p w:rsidR="0015264F" w:rsidRPr="004F6C55" w:rsidRDefault="0015264F" w:rsidP="004C39E3">
            <w:pPr>
              <w:spacing w:after="0" w:line="240" w:lineRule="auto"/>
              <w:jc w:val="right"/>
              <w:rPr>
                <w:rFonts w:ascii="Arial Narrow" w:hAnsi="Arial Narrow" w:cs="Arabic Typesetting"/>
                <w:sz w:val="20"/>
                <w:szCs w:val="20"/>
              </w:rPr>
            </w:pPr>
            <w:r w:rsidRPr="004F6C55">
              <w:rPr>
                <w:rFonts w:ascii="Arial Narrow" w:hAnsi="Arial Narrow" w:cs="Arabic Typesetting"/>
                <w:sz w:val="20"/>
                <w:szCs w:val="20"/>
              </w:rPr>
              <w:t>353,393.52</w:t>
            </w:r>
          </w:p>
        </w:tc>
        <w:tc>
          <w:tcPr>
            <w:tcW w:w="173" w:type="pct"/>
            <w:tcBorders>
              <w:top w:val="nil"/>
              <w:left w:val="nil"/>
              <w:bottom w:val="nil"/>
              <w:right w:val="nil"/>
            </w:tcBorders>
          </w:tcPr>
          <w:p w:rsidR="0015264F" w:rsidRPr="004F6C55" w:rsidRDefault="0015264F" w:rsidP="004C39E3">
            <w:pPr>
              <w:spacing w:after="0" w:line="240" w:lineRule="auto"/>
              <w:jc w:val="right"/>
              <w:rPr>
                <w:rFonts w:ascii="Arial Narrow" w:hAnsi="Arial Narrow" w:cs="Arabic Typesetting"/>
                <w:sz w:val="20"/>
                <w:szCs w:val="20"/>
                <w:lang w:eastAsia="en-PH"/>
              </w:rPr>
            </w:pPr>
          </w:p>
        </w:tc>
        <w:tc>
          <w:tcPr>
            <w:tcW w:w="974" w:type="pct"/>
            <w:tcBorders>
              <w:top w:val="nil"/>
              <w:left w:val="nil"/>
              <w:bottom w:val="nil"/>
              <w:right w:val="nil"/>
            </w:tcBorders>
            <w:shd w:val="clear" w:color="auto" w:fill="auto"/>
            <w:noWrap/>
            <w:vAlign w:val="bottom"/>
            <w:hideMark/>
          </w:tcPr>
          <w:p w:rsidR="0015264F" w:rsidRPr="004F6C55" w:rsidRDefault="0015264F" w:rsidP="004C39E3">
            <w:pPr>
              <w:spacing w:after="0" w:line="240" w:lineRule="auto"/>
              <w:jc w:val="right"/>
              <w:rPr>
                <w:rFonts w:ascii="Arial Narrow" w:hAnsi="Arial Narrow" w:cs="Arabic Typesetting"/>
                <w:sz w:val="20"/>
                <w:szCs w:val="20"/>
              </w:rPr>
            </w:pPr>
            <w:r w:rsidRPr="004F6C55">
              <w:rPr>
                <w:rFonts w:ascii="Arial Narrow" w:hAnsi="Arial Narrow" w:cs="Arabic Typesetting"/>
                <w:sz w:val="20"/>
                <w:szCs w:val="20"/>
              </w:rPr>
              <w:t>353,393.52</w:t>
            </w:r>
          </w:p>
        </w:tc>
      </w:tr>
      <w:tr w:rsidR="00F578DA" w:rsidRPr="004573F8" w:rsidTr="00972DD8">
        <w:trPr>
          <w:trHeight w:val="207"/>
        </w:trPr>
        <w:tc>
          <w:tcPr>
            <w:tcW w:w="632" w:type="pct"/>
            <w:tcBorders>
              <w:top w:val="nil"/>
              <w:left w:val="nil"/>
              <w:bottom w:val="nil"/>
              <w:right w:val="nil"/>
            </w:tcBorders>
            <w:shd w:val="clear" w:color="auto" w:fill="auto"/>
            <w:noWrap/>
            <w:hideMark/>
          </w:tcPr>
          <w:p w:rsidR="0015264F" w:rsidRPr="004F6C55" w:rsidRDefault="0015264F" w:rsidP="004C39E3">
            <w:pPr>
              <w:spacing w:after="0" w:line="240" w:lineRule="auto"/>
              <w:jc w:val="center"/>
              <w:rPr>
                <w:rFonts w:ascii="Arial Narrow" w:hAnsi="Arial Narrow" w:cs="Arabic Typesetting"/>
                <w:sz w:val="20"/>
                <w:szCs w:val="20"/>
                <w:lang w:eastAsia="en-PH"/>
              </w:rPr>
            </w:pPr>
            <w:r w:rsidRPr="004F6C55">
              <w:rPr>
                <w:rFonts w:ascii="Arial Narrow" w:hAnsi="Arial Narrow" w:cs="Arabic Typesetting"/>
                <w:sz w:val="20"/>
                <w:szCs w:val="20"/>
                <w:lang w:eastAsia="en-PH"/>
              </w:rPr>
              <w:t>2011</w:t>
            </w:r>
          </w:p>
        </w:tc>
        <w:tc>
          <w:tcPr>
            <w:tcW w:w="164" w:type="pct"/>
            <w:tcBorders>
              <w:top w:val="nil"/>
              <w:left w:val="nil"/>
              <w:bottom w:val="nil"/>
              <w:right w:val="nil"/>
            </w:tcBorders>
          </w:tcPr>
          <w:p w:rsidR="0015264F" w:rsidRPr="004F6C55" w:rsidRDefault="0015264F" w:rsidP="004C39E3">
            <w:pPr>
              <w:spacing w:after="0" w:line="240" w:lineRule="auto"/>
              <w:jc w:val="right"/>
              <w:rPr>
                <w:rFonts w:ascii="Arial Narrow" w:hAnsi="Arial Narrow" w:cs="Arabic Typesetting"/>
                <w:sz w:val="20"/>
                <w:szCs w:val="20"/>
                <w:lang w:eastAsia="en-PH"/>
              </w:rPr>
            </w:pPr>
          </w:p>
        </w:tc>
        <w:tc>
          <w:tcPr>
            <w:tcW w:w="864" w:type="pct"/>
            <w:tcBorders>
              <w:top w:val="nil"/>
              <w:left w:val="nil"/>
              <w:bottom w:val="nil"/>
              <w:right w:val="nil"/>
            </w:tcBorders>
          </w:tcPr>
          <w:p w:rsidR="0015264F" w:rsidRPr="004F6C55" w:rsidRDefault="0015264F" w:rsidP="004C39E3">
            <w:pPr>
              <w:spacing w:after="0" w:line="240" w:lineRule="auto"/>
              <w:jc w:val="right"/>
              <w:rPr>
                <w:rFonts w:ascii="Arial Narrow" w:hAnsi="Arial Narrow" w:cs="Arabic Typesetting"/>
                <w:sz w:val="20"/>
                <w:szCs w:val="20"/>
              </w:rPr>
            </w:pPr>
            <w:r w:rsidRPr="004F6C55">
              <w:rPr>
                <w:rFonts w:ascii="Arial Narrow" w:hAnsi="Arial Narrow" w:cs="Arabic Typesetting"/>
                <w:sz w:val="20"/>
                <w:szCs w:val="20"/>
                <w:lang w:eastAsia="en-PH"/>
              </w:rPr>
              <w:t>-</w:t>
            </w:r>
          </w:p>
        </w:tc>
        <w:tc>
          <w:tcPr>
            <w:tcW w:w="172" w:type="pct"/>
            <w:tcBorders>
              <w:top w:val="nil"/>
              <w:left w:val="nil"/>
              <w:bottom w:val="nil"/>
              <w:right w:val="nil"/>
            </w:tcBorders>
          </w:tcPr>
          <w:p w:rsidR="0015264F" w:rsidRPr="004F6C55" w:rsidRDefault="0015264F" w:rsidP="004C39E3">
            <w:pPr>
              <w:spacing w:after="0" w:line="240" w:lineRule="auto"/>
              <w:jc w:val="right"/>
              <w:rPr>
                <w:rFonts w:ascii="Arial Narrow" w:hAnsi="Arial Narrow" w:cs="Arabic Typesetting"/>
                <w:sz w:val="20"/>
                <w:szCs w:val="20"/>
                <w:lang w:eastAsia="en-PH"/>
              </w:rPr>
            </w:pPr>
          </w:p>
        </w:tc>
        <w:tc>
          <w:tcPr>
            <w:tcW w:w="1040" w:type="pct"/>
            <w:tcBorders>
              <w:top w:val="nil"/>
              <w:left w:val="nil"/>
              <w:bottom w:val="nil"/>
              <w:right w:val="nil"/>
            </w:tcBorders>
            <w:shd w:val="clear" w:color="auto" w:fill="auto"/>
            <w:noWrap/>
            <w:vAlign w:val="bottom"/>
            <w:hideMark/>
          </w:tcPr>
          <w:p w:rsidR="0015264F" w:rsidRPr="004F6C55" w:rsidRDefault="0015264F" w:rsidP="004C39E3">
            <w:pPr>
              <w:spacing w:after="0" w:line="240" w:lineRule="auto"/>
              <w:rPr>
                <w:rFonts w:ascii="Arial Narrow" w:hAnsi="Arial Narrow" w:cs="Arabic Typesetting"/>
                <w:sz w:val="20"/>
                <w:szCs w:val="20"/>
              </w:rPr>
            </w:pPr>
          </w:p>
        </w:tc>
        <w:tc>
          <w:tcPr>
            <w:tcW w:w="173" w:type="pct"/>
            <w:tcBorders>
              <w:top w:val="nil"/>
              <w:left w:val="nil"/>
              <w:bottom w:val="nil"/>
              <w:right w:val="nil"/>
            </w:tcBorders>
          </w:tcPr>
          <w:p w:rsidR="0015264F" w:rsidRPr="004F6C55" w:rsidRDefault="0015264F" w:rsidP="004C39E3">
            <w:pPr>
              <w:spacing w:after="0" w:line="240" w:lineRule="auto"/>
              <w:jc w:val="right"/>
              <w:rPr>
                <w:rFonts w:ascii="Arial Narrow" w:hAnsi="Arial Narrow" w:cs="Arabic Typesetting"/>
                <w:sz w:val="20"/>
                <w:szCs w:val="20"/>
                <w:lang w:eastAsia="en-PH"/>
              </w:rPr>
            </w:pPr>
          </w:p>
        </w:tc>
        <w:tc>
          <w:tcPr>
            <w:tcW w:w="808" w:type="pct"/>
            <w:tcBorders>
              <w:top w:val="nil"/>
              <w:left w:val="nil"/>
              <w:bottom w:val="nil"/>
              <w:right w:val="nil"/>
            </w:tcBorders>
            <w:shd w:val="clear" w:color="auto" w:fill="auto"/>
            <w:noWrap/>
            <w:vAlign w:val="bottom"/>
            <w:hideMark/>
          </w:tcPr>
          <w:p w:rsidR="0015264F" w:rsidRPr="004F6C55" w:rsidRDefault="0015264F" w:rsidP="004C39E3">
            <w:pPr>
              <w:spacing w:after="0" w:line="240" w:lineRule="auto"/>
              <w:jc w:val="right"/>
              <w:rPr>
                <w:rFonts w:ascii="Arial Narrow" w:hAnsi="Arial Narrow" w:cs="Arabic Typesetting"/>
                <w:sz w:val="20"/>
                <w:szCs w:val="20"/>
              </w:rPr>
            </w:pPr>
            <w:r w:rsidRPr="004F6C55">
              <w:rPr>
                <w:rFonts w:ascii="Arial Narrow" w:hAnsi="Arial Narrow" w:cs="Arabic Typesetting"/>
                <w:sz w:val="20"/>
                <w:szCs w:val="20"/>
              </w:rPr>
              <w:t>(6,727.50)</w:t>
            </w:r>
          </w:p>
        </w:tc>
        <w:tc>
          <w:tcPr>
            <w:tcW w:w="173" w:type="pct"/>
            <w:tcBorders>
              <w:top w:val="nil"/>
              <w:left w:val="nil"/>
              <w:bottom w:val="nil"/>
              <w:right w:val="nil"/>
            </w:tcBorders>
          </w:tcPr>
          <w:p w:rsidR="0015264F" w:rsidRPr="004F6C55" w:rsidRDefault="0015264F" w:rsidP="004C39E3">
            <w:pPr>
              <w:spacing w:after="0" w:line="240" w:lineRule="auto"/>
              <w:jc w:val="right"/>
              <w:rPr>
                <w:rFonts w:ascii="Arial Narrow" w:hAnsi="Arial Narrow" w:cs="Arabic Typesetting"/>
                <w:sz w:val="20"/>
                <w:szCs w:val="20"/>
                <w:lang w:eastAsia="en-PH"/>
              </w:rPr>
            </w:pPr>
          </w:p>
        </w:tc>
        <w:tc>
          <w:tcPr>
            <w:tcW w:w="974" w:type="pct"/>
            <w:tcBorders>
              <w:top w:val="nil"/>
              <w:left w:val="nil"/>
              <w:bottom w:val="nil"/>
              <w:right w:val="nil"/>
            </w:tcBorders>
            <w:shd w:val="clear" w:color="auto" w:fill="auto"/>
            <w:noWrap/>
            <w:vAlign w:val="bottom"/>
            <w:hideMark/>
          </w:tcPr>
          <w:p w:rsidR="0015264F" w:rsidRPr="004F6C55" w:rsidRDefault="0015264F" w:rsidP="004C39E3">
            <w:pPr>
              <w:spacing w:after="0" w:line="240" w:lineRule="auto"/>
              <w:jc w:val="right"/>
              <w:rPr>
                <w:rFonts w:ascii="Arial Narrow" w:hAnsi="Arial Narrow" w:cs="Arabic Typesetting"/>
                <w:sz w:val="20"/>
                <w:szCs w:val="20"/>
              </w:rPr>
            </w:pPr>
            <w:r w:rsidRPr="004F6C55">
              <w:rPr>
                <w:rFonts w:ascii="Arial Narrow" w:hAnsi="Arial Narrow" w:cs="Arabic Typesetting"/>
                <w:sz w:val="20"/>
                <w:szCs w:val="20"/>
              </w:rPr>
              <w:t>(6,727.50)</w:t>
            </w:r>
          </w:p>
        </w:tc>
      </w:tr>
      <w:tr w:rsidR="00F578DA" w:rsidRPr="004573F8" w:rsidTr="00972DD8">
        <w:trPr>
          <w:trHeight w:val="234"/>
        </w:trPr>
        <w:tc>
          <w:tcPr>
            <w:tcW w:w="632" w:type="pct"/>
            <w:tcBorders>
              <w:top w:val="nil"/>
              <w:left w:val="nil"/>
              <w:bottom w:val="nil"/>
              <w:right w:val="nil"/>
            </w:tcBorders>
            <w:shd w:val="clear" w:color="auto" w:fill="auto"/>
            <w:noWrap/>
            <w:hideMark/>
          </w:tcPr>
          <w:p w:rsidR="0015264F" w:rsidRPr="004F6C55" w:rsidRDefault="0015264F" w:rsidP="004C39E3">
            <w:pPr>
              <w:spacing w:after="0" w:line="240" w:lineRule="auto"/>
              <w:jc w:val="center"/>
              <w:rPr>
                <w:rFonts w:ascii="Arial Narrow" w:hAnsi="Arial Narrow" w:cs="Arabic Typesetting"/>
                <w:sz w:val="20"/>
                <w:szCs w:val="20"/>
                <w:lang w:eastAsia="en-PH"/>
              </w:rPr>
            </w:pPr>
            <w:r w:rsidRPr="004F6C55">
              <w:rPr>
                <w:rFonts w:ascii="Arial Narrow" w:hAnsi="Arial Narrow" w:cs="Arabic Typesetting"/>
                <w:sz w:val="20"/>
                <w:szCs w:val="20"/>
                <w:lang w:eastAsia="en-PH"/>
              </w:rPr>
              <w:t>2012</w:t>
            </w:r>
          </w:p>
        </w:tc>
        <w:tc>
          <w:tcPr>
            <w:tcW w:w="164" w:type="pct"/>
            <w:tcBorders>
              <w:top w:val="nil"/>
              <w:left w:val="nil"/>
              <w:bottom w:val="nil"/>
              <w:right w:val="nil"/>
            </w:tcBorders>
          </w:tcPr>
          <w:p w:rsidR="0015264F" w:rsidRPr="004F6C55" w:rsidRDefault="0015264F" w:rsidP="004C39E3">
            <w:pPr>
              <w:spacing w:after="0" w:line="240" w:lineRule="auto"/>
              <w:jc w:val="right"/>
              <w:rPr>
                <w:rFonts w:ascii="Arial Narrow" w:hAnsi="Arial Narrow" w:cs="Arabic Typesetting"/>
                <w:sz w:val="20"/>
                <w:szCs w:val="20"/>
                <w:lang w:eastAsia="en-PH"/>
              </w:rPr>
            </w:pPr>
          </w:p>
        </w:tc>
        <w:tc>
          <w:tcPr>
            <w:tcW w:w="864" w:type="pct"/>
            <w:tcBorders>
              <w:top w:val="nil"/>
              <w:left w:val="nil"/>
              <w:bottom w:val="nil"/>
              <w:right w:val="nil"/>
            </w:tcBorders>
          </w:tcPr>
          <w:p w:rsidR="0015264F" w:rsidRPr="004F6C55" w:rsidRDefault="0015264F" w:rsidP="004C39E3">
            <w:pPr>
              <w:spacing w:after="0" w:line="240" w:lineRule="auto"/>
              <w:jc w:val="right"/>
              <w:rPr>
                <w:rFonts w:ascii="Arial Narrow" w:hAnsi="Arial Narrow" w:cs="Arabic Typesetting"/>
                <w:sz w:val="20"/>
                <w:szCs w:val="20"/>
              </w:rPr>
            </w:pPr>
            <w:r w:rsidRPr="004F6C55">
              <w:rPr>
                <w:rFonts w:ascii="Arial Narrow" w:hAnsi="Arial Narrow" w:cs="Arabic Typesetting"/>
                <w:sz w:val="20"/>
                <w:szCs w:val="20"/>
                <w:lang w:eastAsia="en-PH"/>
              </w:rPr>
              <w:t>-</w:t>
            </w:r>
          </w:p>
        </w:tc>
        <w:tc>
          <w:tcPr>
            <w:tcW w:w="172" w:type="pct"/>
            <w:tcBorders>
              <w:top w:val="nil"/>
              <w:left w:val="nil"/>
              <w:bottom w:val="nil"/>
              <w:right w:val="nil"/>
            </w:tcBorders>
          </w:tcPr>
          <w:p w:rsidR="0015264F" w:rsidRPr="004F6C55" w:rsidRDefault="0015264F" w:rsidP="004C39E3">
            <w:pPr>
              <w:spacing w:after="0" w:line="240" w:lineRule="auto"/>
              <w:jc w:val="right"/>
              <w:rPr>
                <w:rFonts w:ascii="Arial Narrow" w:hAnsi="Arial Narrow" w:cs="Arabic Typesetting"/>
                <w:sz w:val="20"/>
                <w:szCs w:val="20"/>
                <w:lang w:eastAsia="en-PH"/>
              </w:rPr>
            </w:pPr>
          </w:p>
        </w:tc>
        <w:tc>
          <w:tcPr>
            <w:tcW w:w="1040" w:type="pct"/>
            <w:tcBorders>
              <w:top w:val="nil"/>
              <w:left w:val="nil"/>
              <w:bottom w:val="nil"/>
              <w:right w:val="nil"/>
            </w:tcBorders>
            <w:shd w:val="clear" w:color="auto" w:fill="auto"/>
            <w:noWrap/>
            <w:vAlign w:val="bottom"/>
            <w:hideMark/>
          </w:tcPr>
          <w:p w:rsidR="0015264F" w:rsidRPr="004F6C55" w:rsidRDefault="0015264F" w:rsidP="004C39E3">
            <w:pPr>
              <w:spacing w:after="0" w:line="240" w:lineRule="auto"/>
              <w:jc w:val="right"/>
              <w:rPr>
                <w:rFonts w:ascii="Arial Narrow" w:hAnsi="Arial Narrow" w:cs="Arabic Typesetting"/>
                <w:sz w:val="20"/>
                <w:szCs w:val="20"/>
              </w:rPr>
            </w:pPr>
            <w:r w:rsidRPr="004F6C55">
              <w:rPr>
                <w:rFonts w:ascii="Arial Narrow" w:hAnsi="Arial Narrow" w:cs="Arabic Typesetting"/>
                <w:sz w:val="20"/>
                <w:szCs w:val="20"/>
              </w:rPr>
              <w:t>527,918.00</w:t>
            </w:r>
          </w:p>
        </w:tc>
        <w:tc>
          <w:tcPr>
            <w:tcW w:w="173" w:type="pct"/>
            <w:tcBorders>
              <w:top w:val="nil"/>
              <w:left w:val="nil"/>
              <w:bottom w:val="nil"/>
              <w:right w:val="nil"/>
            </w:tcBorders>
          </w:tcPr>
          <w:p w:rsidR="0015264F" w:rsidRPr="004F6C55" w:rsidRDefault="0015264F" w:rsidP="004C39E3">
            <w:pPr>
              <w:spacing w:after="0" w:line="240" w:lineRule="auto"/>
              <w:jc w:val="right"/>
              <w:rPr>
                <w:rFonts w:ascii="Arial Narrow" w:hAnsi="Arial Narrow" w:cs="Arabic Typesetting"/>
                <w:sz w:val="20"/>
                <w:szCs w:val="20"/>
                <w:lang w:eastAsia="en-PH"/>
              </w:rPr>
            </w:pPr>
          </w:p>
        </w:tc>
        <w:tc>
          <w:tcPr>
            <w:tcW w:w="808" w:type="pct"/>
            <w:tcBorders>
              <w:top w:val="nil"/>
              <w:left w:val="nil"/>
              <w:bottom w:val="nil"/>
              <w:right w:val="nil"/>
            </w:tcBorders>
            <w:shd w:val="clear" w:color="auto" w:fill="auto"/>
            <w:noWrap/>
            <w:vAlign w:val="bottom"/>
            <w:hideMark/>
          </w:tcPr>
          <w:p w:rsidR="0015264F" w:rsidRPr="004F6C55" w:rsidRDefault="0015264F" w:rsidP="004C39E3">
            <w:pPr>
              <w:spacing w:after="0" w:line="240" w:lineRule="auto"/>
              <w:jc w:val="right"/>
              <w:rPr>
                <w:rFonts w:ascii="Arial Narrow" w:hAnsi="Arial Narrow" w:cs="Arabic Typesetting"/>
                <w:sz w:val="20"/>
                <w:szCs w:val="20"/>
              </w:rPr>
            </w:pPr>
            <w:r w:rsidRPr="004F6C55">
              <w:rPr>
                <w:rFonts w:ascii="Arial Narrow" w:hAnsi="Arial Narrow" w:cs="Arabic Typesetting"/>
                <w:sz w:val="20"/>
                <w:szCs w:val="20"/>
              </w:rPr>
              <w:t>(4,702.22)</w:t>
            </w:r>
          </w:p>
        </w:tc>
        <w:tc>
          <w:tcPr>
            <w:tcW w:w="173" w:type="pct"/>
            <w:tcBorders>
              <w:top w:val="nil"/>
              <w:left w:val="nil"/>
              <w:bottom w:val="nil"/>
              <w:right w:val="nil"/>
            </w:tcBorders>
          </w:tcPr>
          <w:p w:rsidR="0015264F" w:rsidRPr="004F6C55" w:rsidRDefault="0015264F" w:rsidP="004C39E3">
            <w:pPr>
              <w:spacing w:after="0" w:line="240" w:lineRule="auto"/>
              <w:jc w:val="right"/>
              <w:rPr>
                <w:rFonts w:ascii="Arial Narrow" w:hAnsi="Arial Narrow" w:cs="Arabic Typesetting"/>
                <w:sz w:val="20"/>
                <w:szCs w:val="20"/>
                <w:lang w:eastAsia="en-PH"/>
              </w:rPr>
            </w:pPr>
          </w:p>
        </w:tc>
        <w:tc>
          <w:tcPr>
            <w:tcW w:w="974" w:type="pct"/>
            <w:tcBorders>
              <w:top w:val="nil"/>
              <w:left w:val="nil"/>
              <w:bottom w:val="nil"/>
              <w:right w:val="nil"/>
            </w:tcBorders>
            <w:shd w:val="clear" w:color="auto" w:fill="auto"/>
            <w:noWrap/>
            <w:vAlign w:val="bottom"/>
            <w:hideMark/>
          </w:tcPr>
          <w:p w:rsidR="0015264F" w:rsidRPr="004F6C55" w:rsidRDefault="0015264F" w:rsidP="004C39E3">
            <w:pPr>
              <w:spacing w:after="0" w:line="240" w:lineRule="auto"/>
              <w:jc w:val="right"/>
              <w:rPr>
                <w:rFonts w:ascii="Arial Narrow" w:hAnsi="Arial Narrow" w:cs="Arabic Typesetting"/>
                <w:sz w:val="20"/>
                <w:szCs w:val="20"/>
              </w:rPr>
            </w:pPr>
            <w:r w:rsidRPr="004F6C55">
              <w:rPr>
                <w:rFonts w:ascii="Arial Narrow" w:hAnsi="Arial Narrow" w:cs="Arabic Typesetting"/>
                <w:sz w:val="20"/>
                <w:szCs w:val="20"/>
              </w:rPr>
              <w:t>523,215.78</w:t>
            </w:r>
          </w:p>
        </w:tc>
      </w:tr>
      <w:tr w:rsidR="00F578DA" w:rsidRPr="004573F8" w:rsidTr="00972DD8">
        <w:trPr>
          <w:trHeight w:val="180"/>
        </w:trPr>
        <w:tc>
          <w:tcPr>
            <w:tcW w:w="632" w:type="pct"/>
            <w:tcBorders>
              <w:top w:val="nil"/>
              <w:left w:val="nil"/>
              <w:bottom w:val="nil"/>
              <w:right w:val="nil"/>
            </w:tcBorders>
            <w:shd w:val="clear" w:color="auto" w:fill="auto"/>
            <w:noWrap/>
            <w:hideMark/>
          </w:tcPr>
          <w:p w:rsidR="0015264F" w:rsidRPr="004F6C55" w:rsidRDefault="0015264F" w:rsidP="004C39E3">
            <w:pPr>
              <w:spacing w:after="0" w:line="240" w:lineRule="auto"/>
              <w:jc w:val="center"/>
              <w:rPr>
                <w:rFonts w:ascii="Arial Narrow" w:hAnsi="Arial Narrow" w:cs="Arabic Typesetting"/>
                <w:sz w:val="20"/>
                <w:szCs w:val="20"/>
                <w:lang w:eastAsia="en-PH"/>
              </w:rPr>
            </w:pPr>
            <w:r w:rsidRPr="004F6C55">
              <w:rPr>
                <w:rFonts w:ascii="Arial Narrow" w:hAnsi="Arial Narrow" w:cs="Arabic Typesetting"/>
                <w:sz w:val="20"/>
                <w:szCs w:val="20"/>
                <w:lang w:eastAsia="en-PH"/>
              </w:rPr>
              <w:t>2013</w:t>
            </w:r>
          </w:p>
        </w:tc>
        <w:tc>
          <w:tcPr>
            <w:tcW w:w="164" w:type="pct"/>
            <w:tcBorders>
              <w:top w:val="nil"/>
              <w:left w:val="nil"/>
              <w:bottom w:val="nil"/>
              <w:right w:val="nil"/>
            </w:tcBorders>
          </w:tcPr>
          <w:p w:rsidR="0015264F" w:rsidRPr="004F6C55" w:rsidRDefault="0015264F" w:rsidP="004C39E3">
            <w:pPr>
              <w:spacing w:after="0" w:line="240" w:lineRule="auto"/>
              <w:jc w:val="right"/>
              <w:rPr>
                <w:rFonts w:ascii="Arial Narrow" w:hAnsi="Arial Narrow" w:cs="Arabic Typesetting"/>
                <w:sz w:val="20"/>
                <w:szCs w:val="20"/>
                <w:lang w:eastAsia="en-PH"/>
              </w:rPr>
            </w:pPr>
          </w:p>
        </w:tc>
        <w:tc>
          <w:tcPr>
            <w:tcW w:w="864" w:type="pct"/>
            <w:tcBorders>
              <w:top w:val="nil"/>
              <w:left w:val="nil"/>
              <w:bottom w:val="nil"/>
              <w:right w:val="nil"/>
            </w:tcBorders>
          </w:tcPr>
          <w:p w:rsidR="0015264F" w:rsidRPr="004F6C55" w:rsidRDefault="0015264F" w:rsidP="004C39E3">
            <w:pPr>
              <w:spacing w:after="0" w:line="240" w:lineRule="auto"/>
              <w:jc w:val="right"/>
              <w:rPr>
                <w:rFonts w:ascii="Arial Narrow" w:hAnsi="Arial Narrow" w:cs="Arabic Typesetting"/>
                <w:sz w:val="20"/>
                <w:szCs w:val="20"/>
              </w:rPr>
            </w:pPr>
            <w:r w:rsidRPr="004F6C55">
              <w:rPr>
                <w:rFonts w:ascii="Arial Narrow" w:hAnsi="Arial Narrow" w:cs="Arabic Typesetting"/>
                <w:sz w:val="20"/>
                <w:szCs w:val="20"/>
                <w:lang w:eastAsia="en-PH"/>
              </w:rPr>
              <w:t>-</w:t>
            </w:r>
          </w:p>
        </w:tc>
        <w:tc>
          <w:tcPr>
            <w:tcW w:w="172" w:type="pct"/>
            <w:tcBorders>
              <w:top w:val="nil"/>
              <w:left w:val="nil"/>
              <w:bottom w:val="nil"/>
              <w:right w:val="nil"/>
            </w:tcBorders>
          </w:tcPr>
          <w:p w:rsidR="0015264F" w:rsidRPr="004F6C55" w:rsidRDefault="0015264F" w:rsidP="004C39E3">
            <w:pPr>
              <w:spacing w:after="0" w:line="240" w:lineRule="auto"/>
              <w:jc w:val="right"/>
              <w:rPr>
                <w:rFonts w:ascii="Arial Narrow" w:hAnsi="Arial Narrow" w:cs="Arabic Typesetting"/>
                <w:sz w:val="20"/>
                <w:szCs w:val="20"/>
                <w:lang w:eastAsia="en-PH"/>
              </w:rPr>
            </w:pPr>
          </w:p>
        </w:tc>
        <w:tc>
          <w:tcPr>
            <w:tcW w:w="1040" w:type="pct"/>
            <w:tcBorders>
              <w:top w:val="nil"/>
              <w:left w:val="nil"/>
              <w:bottom w:val="nil"/>
              <w:right w:val="nil"/>
            </w:tcBorders>
            <w:shd w:val="clear" w:color="auto" w:fill="auto"/>
            <w:noWrap/>
            <w:vAlign w:val="bottom"/>
            <w:hideMark/>
          </w:tcPr>
          <w:p w:rsidR="0015264F" w:rsidRPr="004F6C55" w:rsidRDefault="0015264F" w:rsidP="004C39E3">
            <w:pPr>
              <w:spacing w:after="0" w:line="240" w:lineRule="auto"/>
              <w:jc w:val="right"/>
              <w:rPr>
                <w:rFonts w:ascii="Arial Narrow" w:hAnsi="Arial Narrow" w:cs="Arabic Typesetting"/>
                <w:sz w:val="20"/>
                <w:szCs w:val="20"/>
              </w:rPr>
            </w:pPr>
            <w:r w:rsidRPr="004F6C55">
              <w:rPr>
                <w:rFonts w:ascii="Arial Narrow" w:hAnsi="Arial Narrow" w:cs="Arabic Typesetting"/>
                <w:sz w:val="20"/>
                <w:szCs w:val="20"/>
              </w:rPr>
              <w:t>4,612.50</w:t>
            </w:r>
          </w:p>
        </w:tc>
        <w:tc>
          <w:tcPr>
            <w:tcW w:w="173" w:type="pct"/>
            <w:tcBorders>
              <w:top w:val="nil"/>
              <w:left w:val="nil"/>
              <w:bottom w:val="nil"/>
              <w:right w:val="nil"/>
            </w:tcBorders>
          </w:tcPr>
          <w:p w:rsidR="0015264F" w:rsidRPr="004F6C55" w:rsidRDefault="0015264F" w:rsidP="004C39E3">
            <w:pPr>
              <w:spacing w:after="0" w:line="240" w:lineRule="auto"/>
              <w:jc w:val="right"/>
              <w:rPr>
                <w:rFonts w:ascii="Arial Narrow" w:hAnsi="Arial Narrow" w:cs="Arabic Typesetting"/>
                <w:sz w:val="20"/>
                <w:szCs w:val="20"/>
                <w:lang w:eastAsia="en-PH"/>
              </w:rPr>
            </w:pPr>
          </w:p>
        </w:tc>
        <w:tc>
          <w:tcPr>
            <w:tcW w:w="808" w:type="pct"/>
            <w:tcBorders>
              <w:top w:val="nil"/>
              <w:left w:val="nil"/>
              <w:bottom w:val="nil"/>
              <w:right w:val="nil"/>
            </w:tcBorders>
            <w:shd w:val="clear" w:color="auto" w:fill="auto"/>
            <w:noWrap/>
            <w:vAlign w:val="bottom"/>
            <w:hideMark/>
          </w:tcPr>
          <w:p w:rsidR="0015264F" w:rsidRPr="004F6C55" w:rsidRDefault="0015264F" w:rsidP="004C39E3">
            <w:pPr>
              <w:spacing w:after="0" w:line="240" w:lineRule="auto"/>
              <w:jc w:val="right"/>
              <w:rPr>
                <w:rFonts w:ascii="Arial Narrow" w:hAnsi="Arial Narrow" w:cs="Arabic Typesetting"/>
                <w:sz w:val="20"/>
                <w:szCs w:val="20"/>
              </w:rPr>
            </w:pPr>
            <w:r w:rsidRPr="004F6C55">
              <w:rPr>
                <w:rFonts w:ascii="Arial Narrow" w:hAnsi="Arial Narrow" w:cs="Arabic Typesetting"/>
                <w:sz w:val="20"/>
                <w:szCs w:val="20"/>
              </w:rPr>
              <w:t>(1.00)</w:t>
            </w:r>
          </w:p>
        </w:tc>
        <w:tc>
          <w:tcPr>
            <w:tcW w:w="173" w:type="pct"/>
            <w:tcBorders>
              <w:top w:val="nil"/>
              <w:left w:val="nil"/>
              <w:bottom w:val="nil"/>
              <w:right w:val="nil"/>
            </w:tcBorders>
          </w:tcPr>
          <w:p w:rsidR="0015264F" w:rsidRPr="004F6C55" w:rsidRDefault="0015264F" w:rsidP="004C39E3">
            <w:pPr>
              <w:spacing w:after="0" w:line="240" w:lineRule="auto"/>
              <w:jc w:val="right"/>
              <w:rPr>
                <w:rFonts w:ascii="Arial Narrow" w:hAnsi="Arial Narrow" w:cs="Arabic Typesetting"/>
                <w:sz w:val="20"/>
                <w:szCs w:val="20"/>
                <w:lang w:eastAsia="en-PH"/>
              </w:rPr>
            </w:pPr>
          </w:p>
        </w:tc>
        <w:tc>
          <w:tcPr>
            <w:tcW w:w="974" w:type="pct"/>
            <w:tcBorders>
              <w:top w:val="nil"/>
              <w:left w:val="nil"/>
              <w:bottom w:val="nil"/>
              <w:right w:val="nil"/>
            </w:tcBorders>
            <w:shd w:val="clear" w:color="auto" w:fill="auto"/>
            <w:noWrap/>
            <w:vAlign w:val="bottom"/>
            <w:hideMark/>
          </w:tcPr>
          <w:p w:rsidR="0015264F" w:rsidRPr="004F6C55" w:rsidRDefault="0015264F" w:rsidP="004C39E3">
            <w:pPr>
              <w:spacing w:after="0" w:line="240" w:lineRule="auto"/>
              <w:jc w:val="right"/>
              <w:rPr>
                <w:rFonts w:ascii="Arial Narrow" w:hAnsi="Arial Narrow" w:cs="Arabic Typesetting"/>
                <w:sz w:val="20"/>
                <w:szCs w:val="20"/>
              </w:rPr>
            </w:pPr>
            <w:r w:rsidRPr="004F6C55">
              <w:rPr>
                <w:rFonts w:ascii="Arial Narrow" w:hAnsi="Arial Narrow" w:cs="Arabic Typesetting"/>
                <w:sz w:val="20"/>
                <w:szCs w:val="20"/>
              </w:rPr>
              <w:t>4,611.50</w:t>
            </w:r>
          </w:p>
        </w:tc>
      </w:tr>
      <w:tr w:rsidR="00F578DA" w:rsidRPr="004573F8" w:rsidTr="00972DD8">
        <w:trPr>
          <w:trHeight w:val="207"/>
        </w:trPr>
        <w:tc>
          <w:tcPr>
            <w:tcW w:w="632" w:type="pct"/>
            <w:tcBorders>
              <w:top w:val="nil"/>
              <w:left w:val="nil"/>
              <w:bottom w:val="nil"/>
              <w:right w:val="nil"/>
            </w:tcBorders>
            <w:shd w:val="clear" w:color="auto" w:fill="auto"/>
            <w:noWrap/>
            <w:hideMark/>
          </w:tcPr>
          <w:p w:rsidR="0015264F" w:rsidRPr="004F6C55" w:rsidRDefault="0015264F" w:rsidP="004C39E3">
            <w:pPr>
              <w:spacing w:after="0" w:line="240" w:lineRule="auto"/>
              <w:jc w:val="center"/>
              <w:rPr>
                <w:rFonts w:ascii="Arial Narrow" w:hAnsi="Arial Narrow" w:cs="Arabic Typesetting"/>
                <w:sz w:val="20"/>
                <w:szCs w:val="20"/>
                <w:lang w:eastAsia="en-PH"/>
              </w:rPr>
            </w:pPr>
            <w:r w:rsidRPr="004F6C55">
              <w:rPr>
                <w:rFonts w:ascii="Arial Narrow" w:hAnsi="Arial Narrow" w:cs="Arabic Typesetting"/>
                <w:sz w:val="20"/>
                <w:szCs w:val="20"/>
                <w:lang w:eastAsia="en-PH"/>
              </w:rPr>
              <w:t>2014</w:t>
            </w:r>
          </w:p>
        </w:tc>
        <w:tc>
          <w:tcPr>
            <w:tcW w:w="164" w:type="pct"/>
            <w:tcBorders>
              <w:top w:val="nil"/>
              <w:left w:val="nil"/>
              <w:bottom w:val="nil"/>
              <w:right w:val="nil"/>
            </w:tcBorders>
          </w:tcPr>
          <w:p w:rsidR="0015264F" w:rsidRPr="004F6C55" w:rsidRDefault="0015264F" w:rsidP="004C39E3">
            <w:pPr>
              <w:spacing w:after="0" w:line="240" w:lineRule="auto"/>
              <w:jc w:val="right"/>
              <w:rPr>
                <w:rFonts w:ascii="Arial Narrow" w:hAnsi="Arial Narrow" w:cs="Arabic Typesetting"/>
                <w:sz w:val="20"/>
                <w:szCs w:val="20"/>
                <w:lang w:eastAsia="en-PH"/>
              </w:rPr>
            </w:pPr>
          </w:p>
        </w:tc>
        <w:tc>
          <w:tcPr>
            <w:tcW w:w="864" w:type="pct"/>
            <w:tcBorders>
              <w:top w:val="nil"/>
              <w:left w:val="nil"/>
              <w:bottom w:val="nil"/>
              <w:right w:val="nil"/>
            </w:tcBorders>
          </w:tcPr>
          <w:p w:rsidR="0015264F" w:rsidRPr="004F6C55" w:rsidRDefault="0015264F" w:rsidP="004C39E3">
            <w:pPr>
              <w:spacing w:after="0" w:line="240" w:lineRule="auto"/>
              <w:jc w:val="right"/>
              <w:rPr>
                <w:rFonts w:ascii="Arial Narrow" w:hAnsi="Arial Narrow" w:cs="Arabic Typesetting"/>
                <w:sz w:val="20"/>
                <w:szCs w:val="20"/>
              </w:rPr>
            </w:pPr>
          </w:p>
        </w:tc>
        <w:tc>
          <w:tcPr>
            <w:tcW w:w="172" w:type="pct"/>
            <w:tcBorders>
              <w:top w:val="nil"/>
              <w:left w:val="nil"/>
              <w:bottom w:val="nil"/>
              <w:right w:val="nil"/>
            </w:tcBorders>
          </w:tcPr>
          <w:p w:rsidR="0015264F" w:rsidRPr="004F6C55" w:rsidRDefault="0015264F" w:rsidP="004C39E3">
            <w:pPr>
              <w:spacing w:after="0" w:line="240" w:lineRule="auto"/>
              <w:jc w:val="right"/>
              <w:rPr>
                <w:rFonts w:ascii="Arial Narrow" w:hAnsi="Arial Narrow" w:cs="Arabic Typesetting"/>
                <w:sz w:val="20"/>
                <w:szCs w:val="20"/>
                <w:lang w:eastAsia="en-PH"/>
              </w:rPr>
            </w:pPr>
          </w:p>
        </w:tc>
        <w:tc>
          <w:tcPr>
            <w:tcW w:w="1040" w:type="pct"/>
            <w:tcBorders>
              <w:top w:val="nil"/>
              <w:left w:val="nil"/>
              <w:bottom w:val="nil"/>
              <w:right w:val="nil"/>
            </w:tcBorders>
            <w:shd w:val="clear" w:color="auto" w:fill="auto"/>
            <w:noWrap/>
            <w:vAlign w:val="bottom"/>
            <w:hideMark/>
          </w:tcPr>
          <w:p w:rsidR="0015264F" w:rsidRPr="004F6C55" w:rsidRDefault="0015264F" w:rsidP="004C39E3">
            <w:pPr>
              <w:spacing w:after="0" w:line="240" w:lineRule="auto"/>
              <w:jc w:val="right"/>
              <w:rPr>
                <w:rFonts w:ascii="Arial Narrow" w:hAnsi="Arial Narrow" w:cs="Arabic Typesetting"/>
                <w:sz w:val="20"/>
                <w:szCs w:val="20"/>
              </w:rPr>
            </w:pPr>
            <w:r w:rsidRPr="004F6C55">
              <w:rPr>
                <w:rFonts w:ascii="Arial Narrow" w:hAnsi="Arial Narrow" w:cs="Arabic Typesetting"/>
                <w:sz w:val="20"/>
                <w:szCs w:val="20"/>
              </w:rPr>
              <w:t>19,784.20</w:t>
            </w:r>
          </w:p>
        </w:tc>
        <w:tc>
          <w:tcPr>
            <w:tcW w:w="173" w:type="pct"/>
            <w:tcBorders>
              <w:top w:val="nil"/>
              <w:left w:val="nil"/>
              <w:bottom w:val="nil"/>
              <w:right w:val="nil"/>
            </w:tcBorders>
          </w:tcPr>
          <w:p w:rsidR="0015264F" w:rsidRPr="004F6C55" w:rsidRDefault="0015264F" w:rsidP="004C39E3">
            <w:pPr>
              <w:spacing w:after="0" w:line="240" w:lineRule="auto"/>
              <w:jc w:val="right"/>
              <w:rPr>
                <w:rFonts w:ascii="Arial Narrow" w:hAnsi="Arial Narrow" w:cs="Arabic Typesetting"/>
                <w:sz w:val="20"/>
                <w:szCs w:val="20"/>
                <w:lang w:eastAsia="en-PH"/>
              </w:rPr>
            </w:pPr>
          </w:p>
        </w:tc>
        <w:tc>
          <w:tcPr>
            <w:tcW w:w="808" w:type="pct"/>
            <w:tcBorders>
              <w:top w:val="nil"/>
              <w:left w:val="nil"/>
              <w:bottom w:val="nil"/>
              <w:right w:val="nil"/>
            </w:tcBorders>
            <w:shd w:val="clear" w:color="auto" w:fill="auto"/>
            <w:noWrap/>
            <w:vAlign w:val="bottom"/>
            <w:hideMark/>
          </w:tcPr>
          <w:p w:rsidR="0015264F" w:rsidRPr="004F6C55" w:rsidRDefault="0015264F" w:rsidP="004C39E3">
            <w:pPr>
              <w:spacing w:after="0" w:line="240" w:lineRule="auto"/>
              <w:rPr>
                <w:rFonts w:ascii="Arial Narrow" w:hAnsi="Arial Narrow" w:cs="Arabic Typesetting"/>
                <w:sz w:val="20"/>
                <w:szCs w:val="20"/>
              </w:rPr>
            </w:pPr>
          </w:p>
        </w:tc>
        <w:tc>
          <w:tcPr>
            <w:tcW w:w="173" w:type="pct"/>
            <w:tcBorders>
              <w:top w:val="nil"/>
              <w:left w:val="nil"/>
              <w:bottom w:val="nil"/>
              <w:right w:val="nil"/>
            </w:tcBorders>
          </w:tcPr>
          <w:p w:rsidR="0015264F" w:rsidRPr="004F6C55" w:rsidRDefault="0015264F" w:rsidP="004C39E3">
            <w:pPr>
              <w:spacing w:after="0" w:line="240" w:lineRule="auto"/>
              <w:jc w:val="right"/>
              <w:rPr>
                <w:rFonts w:ascii="Arial Narrow" w:hAnsi="Arial Narrow" w:cs="Arabic Typesetting"/>
                <w:sz w:val="20"/>
                <w:szCs w:val="20"/>
                <w:lang w:eastAsia="en-PH"/>
              </w:rPr>
            </w:pPr>
          </w:p>
        </w:tc>
        <w:tc>
          <w:tcPr>
            <w:tcW w:w="974" w:type="pct"/>
            <w:tcBorders>
              <w:top w:val="nil"/>
              <w:left w:val="nil"/>
              <w:bottom w:val="nil"/>
              <w:right w:val="nil"/>
            </w:tcBorders>
            <w:shd w:val="clear" w:color="auto" w:fill="auto"/>
            <w:noWrap/>
            <w:vAlign w:val="bottom"/>
            <w:hideMark/>
          </w:tcPr>
          <w:p w:rsidR="0015264F" w:rsidRPr="004F6C55" w:rsidRDefault="0015264F" w:rsidP="004C39E3">
            <w:pPr>
              <w:spacing w:after="0" w:line="240" w:lineRule="auto"/>
              <w:jc w:val="right"/>
              <w:rPr>
                <w:rFonts w:ascii="Arial Narrow" w:hAnsi="Arial Narrow" w:cs="Arabic Typesetting"/>
                <w:sz w:val="20"/>
                <w:szCs w:val="20"/>
              </w:rPr>
            </w:pPr>
            <w:r w:rsidRPr="004F6C55">
              <w:rPr>
                <w:rFonts w:ascii="Arial Narrow" w:hAnsi="Arial Narrow" w:cs="Arabic Typesetting"/>
                <w:sz w:val="20"/>
                <w:szCs w:val="20"/>
              </w:rPr>
              <w:t>19,784.20</w:t>
            </w:r>
          </w:p>
        </w:tc>
      </w:tr>
      <w:tr w:rsidR="00F578DA" w:rsidRPr="004573F8" w:rsidTr="00972DD8">
        <w:trPr>
          <w:trHeight w:val="144"/>
        </w:trPr>
        <w:tc>
          <w:tcPr>
            <w:tcW w:w="632" w:type="pct"/>
            <w:tcBorders>
              <w:top w:val="nil"/>
              <w:left w:val="nil"/>
              <w:right w:val="nil"/>
            </w:tcBorders>
            <w:shd w:val="clear" w:color="auto" w:fill="auto"/>
            <w:noWrap/>
            <w:hideMark/>
          </w:tcPr>
          <w:p w:rsidR="0015264F" w:rsidRPr="004F6C55" w:rsidRDefault="0015264F" w:rsidP="004C39E3">
            <w:pPr>
              <w:spacing w:after="0" w:line="240" w:lineRule="auto"/>
              <w:jc w:val="center"/>
              <w:rPr>
                <w:rFonts w:ascii="Arial Narrow" w:hAnsi="Arial Narrow" w:cs="Arabic Typesetting"/>
                <w:sz w:val="20"/>
                <w:szCs w:val="20"/>
                <w:lang w:eastAsia="en-PH"/>
              </w:rPr>
            </w:pPr>
            <w:r w:rsidRPr="004F6C55">
              <w:rPr>
                <w:rFonts w:ascii="Arial Narrow" w:hAnsi="Arial Narrow" w:cs="Arabic Typesetting"/>
                <w:sz w:val="20"/>
                <w:szCs w:val="20"/>
                <w:lang w:eastAsia="en-PH"/>
              </w:rPr>
              <w:t>2015</w:t>
            </w:r>
          </w:p>
        </w:tc>
        <w:tc>
          <w:tcPr>
            <w:tcW w:w="164" w:type="pct"/>
            <w:tcBorders>
              <w:top w:val="nil"/>
              <w:left w:val="nil"/>
              <w:right w:val="nil"/>
            </w:tcBorders>
          </w:tcPr>
          <w:p w:rsidR="0015264F" w:rsidRPr="004F6C55" w:rsidRDefault="0015264F" w:rsidP="004C39E3">
            <w:pPr>
              <w:spacing w:after="0" w:line="240" w:lineRule="auto"/>
              <w:jc w:val="right"/>
              <w:rPr>
                <w:rFonts w:ascii="Arial Narrow" w:hAnsi="Arial Narrow" w:cs="Arabic Typesetting"/>
                <w:sz w:val="20"/>
                <w:szCs w:val="20"/>
                <w:lang w:eastAsia="en-PH"/>
              </w:rPr>
            </w:pPr>
          </w:p>
        </w:tc>
        <w:tc>
          <w:tcPr>
            <w:tcW w:w="864" w:type="pct"/>
            <w:tcBorders>
              <w:top w:val="nil"/>
              <w:left w:val="nil"/>
              <w:right w:val="nil"/>
            </w:tcBorders>
          </w:tcPr>
          <w:p w:rsidR="0015264F" w:rsidRPr="004F6C55" w:rsidRDefault="0015264F" w:rsidP="004C39E3">
            <w:pPr>
              <w:spacing w:after="0" w:line="240" w:lineRule="auto"/>
              <w:jc w:val="right"/>
              <w:rPr>
                <w:rFonts w:ascii="Arial Narrow" w:hAnsi="Arial Narrow" w:cs="Arabic Typesetting"/>
                <w:sz w:val="20"/>
                <w:szCs w:val="20"/>
              </w:rPr>
            </w:pPr>
          </w:p>
        </w:tc>
        <w:tc>
          <w:tcPr>
            <w:tcW w:w="172" w:type="pct"/>
            <w:tcBorders>
              <w:top w:val="nil"/>
              <w:left w:val="nil"/>
              <w:right w:val="nil"/>
            </w:tcBorders>
          </w:tcPr>
          <w:p w:rsidR="0015264F" w:rsidRPr="004F6C55" w:rsidRDefault="0015264F" w:rsidP="004C39E3">
            <w:pPr>
              <w:spacing w:after="0" w:line="240" w:lineRule="auto"/>
              <w:jc w:val="right"/>
              <w:rPr>
                <w:rFonts w:ascii="Arial Narrow" w:hAnsi="Arial Narrow" w:cs="Arabic Typesetting"/>
                <w:sz w:val="20"/>
                <w:szCs w:val="20"/>
                <w:lang w:eastAsia="en-PH"/>
              </w:rPr>
            </w:pPr>
          </w:p>
        </w:tc>
        <w:tc>
          <w:tcPr>
            <w:tcW w:w="1040" w:type="pct"/>
            <w:tcBorders>
              <w:top w:val="nil"/>
              <w:left w:val="nil"/>
              <w:right w:val="nil"/>
            </w:tcBorders>
            <w:shd w:val="clear" w:color="auto" w:fill="auto"/>
            <w:noWrap/>
            <w:vAlign w:val="bottom"/>
            <w:hideMark/>
          </w:tcPr>
          <w:p w:rsidR="0015264F" w:rsidRPr="004F6C55" w:rsidRDefault="0015264F" w:rsidP="004C39E3">
            <w:pPr>
              <w:spacing w:after="0" w:line="240" w:lineRule="auto"/>
              <w:jc w:val="right"/>
              <w:rPr>
                <w:rFonts w:ascii="Arial Narrow" w:hAnsi="Arial Narrow" w:cs="Arabic Typesetting"/>
                <w:sz w:val="20"/>
                <w:szCs w:val="20"/>
              </w:rPr>
            </w:pPr>
            <w:r w:rsidRPr="004F6C55">
              <w:rPr>
                <w:rFonts w:ascii="Arial Narrow" w:hAnsi="Arial Narrow" w:cs="Arabic Typesetting"/>
                <w:sz w:val="20"/>
                <w:szCs w:val="20"/>
              </w:rPr>
              <w:t>284,187.10</w:t>
            </w:r>
          </w:p>
        </w:tc>
        <w:tc>
          <w:tcPr>
            <w:tcW w:w="173" w:type="pct"/>
            <w:tcBorders>
              <w:top w:val="nil"/>
              <w:left w:val="nil"/>
              <w:right w:val="nil"/>
            </w:tcBorders>
          </w:tcPr>
          <w:p w:rsidR="0015264F" w:rsidRPr="004F6C55" w:rsidRDefault="0015264F" w:rsidP="004C39E3">
            <w:pPr>
              <w:spacing w:after="0" w:line="240" w:lineRule="auto"/>
              <w:jc w:val="right"/>
              <w:rPr>
                <w:rFonts w:ascii="Arial Narrow" w:hAnsi="Arial Narrow" w:cs="Arabic Typesetting"/>
                <w:sz w:val="20"/>
                <w:szCs w:val="20"/>
                <w:lang w:eastAsia="en-PH"/>
              </w:rPr>
            </w:pPr>
          </w:p>
        </w:tc>
        <w:tc>
          <w:tcPr>
            <w:tcW w:w="808" w:type="pct"/>
            <w:tcBorders>
              <w:top w:val="nil"/>
              <w:left w:val="nil"/>
              <w:right w:val="nil"/>
            </w:tcBorders>
            <w:shd w:val="clear" w:color="auto" w:fill="auto"/>
            <w:noWrap/>
            <w:vAlign w:val="bottom"/>
            <w:hideMark/>
          </w:tcPr>
          <w:p w:rsidR="0015264F" w:rsidRPr="004F6C55" w:rsidRDefault="0015264F" w:rsidP="004C39E3">
            <w:pPr>
              <w:spacing w:after="0" w:line="240" w:lineRule="auto"/>
              <w:jc w:val="right"/>
              <w:rPr>
                <w:rFonts w:ascii="Arial Narrow" w:hAnsi="Arial Narrow" w:cs="Arabic Typesetting"/>
                <w:sz w:val="20"/>
                <w:szCs w:val="20"/>
              </w:rPr>
            </w:pPr>
            <w:r w:rsidRPr="004F6C55">
              <w:rPr>
                <w:rFonts w:ascii="Arial Narrow" w:hAnsi="Arial Narrow" w:cs="Arabic Typesetting"/>
                <w:sz w:val="20"/>
                <w:szCs w:val="20"/>
              </w:rPr>
              <w:t>(1,400.00)</w:t>
            </w:r>
          </w:p>
        </w:tc>
        <w:tc>
          <w:tcPr>
            <w:tcW w:w="173" w:type="pct"/>
            <w:tcBorders>
              <w:top w:val="nil"/>
              <w:left w:val="nil"/>
              <w:right w:val="nil"/>
            </w:tcBorders>
          </w:tcPr>
          <w:p w:rsidR="0015264F" w:rsidRPr="004F6C55" w:rsidRDefault="0015264F" w:rsidP="004C39E3">
            <w:pPr>
              <w:spacing w:after="0" w:line="240" w:lineRule="auto"/>
              <w:jc w:val="right"/>
              <w:rPr>
                <w:rFonts w:ascii="Arial Narrow" w:hAnsi="Arial Narrow" w:cs="Arabic Typesetting"/>
                <w:sz w:val="20"/>
                <w:szCs w:val="20"/>
                <w:lang w:eastAsia="en-PH"/>
              </w:rPr>
            </w:pPr>
          </w:p>
        </w:tc>
        <w:tc>
          <w:tcPr>
            <w:tcW w:w="974" w:type="pct"/>
            <w:tcBorders>
              <w:top w:val="nil"/>
              <w:left w:val="nil"/>
              <w:right w:val="nil"/>
            </w:tcBorders>
            <w:shd w:val="clear" w:color="auto" w:fill="auto"/>
            <w:noWrap/>
            <w:vAlign w:val="bottom"/>
            <w:hideMark/>
          </w:tcPr>
          <w:p w:rsidR="0015264F" w:rsidRPr="004F6C55" w:rsidRDefault="0015264F" w:rsidP="004C39E3">
            <w:pPr>
              <w:spacing w:after="0" w:line="240" w:lineRule="auto"/>
              <w:jc w:val="right"/>
              <w:rPr>
                <w:rFonts w:ascii="Arial Narrow" w:hAnsi="Arial Narrow" w:cs="Arabic Typesetting"/>
                <w:sz w:val="20"/>
                <w:szCs w:val="20"/>
              </w:rPr>
            </w:pPr>
            <w:r w:rsidRPr="004F6C55">
              <w:rPr>
                <w:rFonts w:ascii="Arial Narrow" w:hAnsi="Arial Narrow" w:cs="Arabic Typesetting"/>
                <w:sz w:val="20"/>
                <w:szCs w:val="20"/>
              </w:rPr>
              <w:t>282,787.10</w:t>
            </w:r>
          </w:p>
        </w:tc>
      </w:tr>
      <w:tr w:rsidR="00F578DA" w:rsidRPr="004573F8" w:rsidTr="00972DD8">
        <w:trPr>
          <w:trHeight w:val="171"/>
        </w:trPr>
        <w:tc>
          <w:tcPr>
            <w:tcW w:w="632" w:type="pct"/>
            <w:tcBorders>
              <w:top w:val="nil"/>
              <w:left w:val="nil"/>
              <w:right w:val="nil"/>
            </w:tcBorders>
            <w:shd w:val="clear" w:color="auto" w:fill="auto"/>
            <w:noWrap/>
            <w:hideMark/>
          </w:tcPr>
          <w:p w:rsidR="0015264F" w:rsidRPr="004F6C55" w:rsidRDefault="0015264F" w:rsidP="004C39E3">
            <w:pPr>
              <w:spacing w:after="0" w:line="240" w:lineRule="auto"/>
              <w:jc w:val="center"/>
              <w:rPr>
                <w:rFonts w:ascii="Arial Narrow" w:hAnsi="Arial Narrow" w:cs="Arabic Typesetting"/>
                <w:sz w:val="20"/>
                <w:szCs w:val="20"/>
                <w:lang w:eastAsia="en-PH"/>
              </w:rPr>
            </w:pPr>
            <w:r w:rsidRPr="004F6C55">
              <w:rPr>
                <w:rFonts w:ascii="Arial Narrow" w:hAnsi="Arial Narrow" w:cs="Arabic Typesetting"/>
                <w:sz w:val="20"/>
                <w:szCs w:val="20"/>
                <w:lang w:eastAsia="en-PH"/>
              </w:rPr>
              <w:t>2016</w:t>
            </w:r>
          </w:p>
        </w:tc>
        <w:tc>
          <w:tcPr>
            <w:tcW w:w="164" w:type="pct"/>
            <w:tcBorders>
              <w:top w:val="nil"/>
              <w:left w:val="nil"/>
              <w:right w:val="nil"/>
            </w:tcBorders>
          </w:tcPr>
          <w:p w:rsidR="0015264F" w:rsidRPr="004F6C55" w:rsidRDefault="0015264F" w:rsidP="004C39E3">
            <w:pPr>
              <w:spacing w:after="0" w:line="240" w:lineRule="auto"/>
              <w:jc w:val="right"/>
              <w:rPr>
                <w:rFonts w:ascii="Arial Narrow" w:hAnsi="Arial Narrow" w:cs="Arabic Typesetting"/>
                <w:sz w:val="20"/>
                <w:szCs w:val="20"/>
              </w:rPr>
            </w:pPr>
          </w:p>
        </w:tc>
        <w:tc>
          <w:tcPr>
            <w:tcW w:w="864" w:type="pct"/>
            <w:tcBorders>
              <w:top w:val="nil"/>
              <w:left w:val="nil"/>
              <w:right w:val="nil"/>
            </w:tcBorders>
          </w:tcPr>
          <w:p w:rsidR="0015264F" w:rsidRPr="004F6C55" w:rsidRDefault="0015264F" w:rsidP="004C39E3">
            <w:pPr>
              <w:spacing w:after="0" w:line="240" w:lineRule="auto"/>
              <w:jc w:val="right"/>
              <w:rPr>
                <w:rFonts w:ascii="Arial Narrow" w:hAnsi="Arial Narrow" w:cs="Arabic Typesetting"/>
                <w:sz w:val="20"/>
                <w:szCs w:val="20"/>
              </w:rPr>
            </w:pPr>
          </w:p>
        </w:tc>
        <w:tc>
          <w:tcPr>
            <w:tcW w:w="172" w:type="pct"/>
            <w:tcBorders>
              <w:top w:val="nil"/>
              <w:left w:val="nil"/>
              <w:right w:val="nil"/>
            </w:tcBorders>
          </w:tcPr>
          <w:p w:rsidR="0015264F" w:rsidRPr="004F6C55" w:rsidRDefault="0015264F" w:rsidP="004C39E3">
            <w:pPr>
              <w:spacing w:after="0" w:line="240" w:lineRule="auto"/>
              <w:jc w:val="right"/>
              <w:rPr>
                <w:rFonts w:ascii="Arial Narrow" w:hAnsi="Arial Narrow" w:cs="Arabic Typesetting"/>
                <w:sz w:val="20"/>
                <w:szCs w:val="20"/>
                <w:lang w:eastAsia="en-PH"/>
              </w:rPr>
            </w:pPr>
          </w:p>
        </w:tc>
        <w:tc>
          <w:tcPr>
            <w:tcW w:w="1040" w:type="pct"/>
            <w:tcBorders>
              <w:top w:val="nil"/>
              <w:left w:val="nil"/>
              <w:right w:val="nil"/>
            </w:tcBorders>
            <w:shd w:val="clear" w:color="auto" w:fill="auto"/>
            <w:noWrap/>
            <w:vAlign w:val="bottom"/>
            <w:hideMark/>
          </w:tcPr>
          <w:p w:rsidR="0015264F" w:rsidRPr="004F6C55" w:rsidRDefault="0015264F" w:rsidP="004C39E3">
            <w:pPr>
              <w:spacing w:after="0" w:line="240" w:lineRule="auto"/>
              <w:jc w:val="right"/>
              <w:rPr>
                <w:rFonts w:ascii="Arial Narrow" w:hAnsi="Arial Narrow" w:cs="Arabic Typesetting"/>
                <w:sz w:val="20"/>
                <w:szCs w:val="20"/>
              </w:rPr>
            </w:pPr>
            <w:r w:rsidRPr="004F6C55">
              <w:rPr>
                <w:rFonts w:ascii="Arial Narrow" w:hAnsi="Arial Narrow" w:cs="Arabic Typesetting"/>
                <w:sz w:val="20"/>
                <w:szCs w:val="20"/>
              </w:rPr>
              <w:t>134,881.50</w:t>
            </w:r>
          </w:p>
        </w:tc>
        <w:tc>
          <w:tcPr>
            <w:tcW w:w="173" w:type="pct"/>
            <w:tcBorders>
              <w:top w:val="nil"/>
              <w:left w:val="nil"/>
              <w:right w:val="nil"/>
            </w:tcBorders>
          </w:tcPr>
          <w:p w:rsidR="0015264F" w:rsidRPr="004F6C55" w:rsidRDefault="0015264F" w:rsidP="004C39E3">
            <w:pPr>
              <w:spacing w:after="0" w:line="240" w:lineRule="auto"/>
              <w:jc w:val="right"/>
              <w:rPr>
                <w:rFonts w:ascii="Arial Narrow" w:hAnsi="Arial Narrow" w:cs="Arabic Typesetting"/>
                <w:sz w:val="20"/>
                <w:szCs w:val="20"/>
                <w:lang w:eastAsia="en-PH"/>
              </w:rPr>
            </w:pPr>
          </w:p>
        </w:tc>
        <w:tc>
          <w:tcPr>
            <w:tcW w:w="808" w:type="pct"/>
            <w:tcBorders>
              <w:top w:val="nil"/>
              <w:left w:val="nil"/>
              <w:right w:val="nil"/>
            </w:tcBorders>
            <w:shd w:val="clear" w:color="auto" w:fill="auto"/>
            <w:noWrap/>
            <w:vAlign w:val="bottom"/>
            <w:hideMark/>
          </w:tcPr>
          <w:p w:rsidR="0015264F" w:rsidRPr="004F6C55" w:rsidRDefault="0015264F" w:rsidP="004C39E3">
            <w:pPr>
              <w:spacing w:after="0" w:line="240" w:lineRule="auto"/>
              <w:rPr>
                <w:rFonts w:ascii="Arial Narrow" w:hAnsi="Arial Narrow" w:cs="Arabic Typesetting"/>
                <w:sz w:val="20"/>
                <w:szCs w:val="20"/>
              </w:rPr>
            </w:pPr>
          </w:p>
        </w:tc>
        <w:tc>
          <w:tcPr>
            <w:tcW w:w="173" w:type="pct"/>
            <w:tcBorders>
              <w:top w:val="nil"/>
              <w:left w:val="nil"/>
              <w:right w:val="nil"/>
            </w:tcBorders>
          </w:tcPr>
          <w:p w:rsidR="0015264F" w:rsidRPr="004F6C55" w:rsidRDefault="0015264F" w:rsidP="004C39E3">
            <w:pPr>
              <w:spacing w:after="0" w:line="240" w:lineRule="auto"/>
              <w:jc w:val="right"/>
              <w:rPr>
                <w:rFonts w:ascii="Arial Narrow" w:hAnsi="Arial Narrow" w:cs="Arabic Typesetting"/>
                <w:sz w:val="20"/>
                <w:szCs w:val="20"/>
                <w:lang w:eastAsia="en-PH"/>
              </w:rPr>
            </w:pPr>
          </w:p>
        </w:tc>
        <w:tc>
          <w:tcPr>
            <w:tcW w:w="974" w:type="pct"/>
            <w:tcBorders>
              <w:top w:val="nil"/>
              <w:left w:val="nil"/>
              <w:right w:val="nil"/>
            </w:tcBorders>
            <w:shd w:val="clear" w:color="auto" w:fill="auto"/>
            <w:noWrap/>
            <w:vAlign w:val="bottom"/>
            <w:hideMark/>
          </w:tcPr>
          <w:p w:rsidR="0015264F" w:rsidRPr="004F6C55" w:rsidRDefault="0015264F" w:rsidP="004C39E3">
            <w:pPr>
              <w:spacing w:after="0" w:line="240" w:lineRule="auto"/>
              <w:jc w:val="right"/>
              <w:rPr>
                <w:rFonts w:ascii="Arial Narrow" w:hAnsi="Arial Narrow" w:cs="Arabic Typesetting"/>
                <w:sz w:val="20"/>
                <w:szCs w:val="20"/>
              </w:rPr>
            </w:pPr>
            <w:r w:rsidRPr="004F6C55">
              <w:rPr>
                <w:rFonts w:ascii="Arial Narrow" w:hAnsi="Arial Narrow" w:cs="Arabic Typesetting"/>
                <w:sz w:val="20"/>
                <w:szCs w:val="20"/>
              </w:rPr>
              <w:t>134,881.50</w:t>
            </w:r>
          </w:p>
        </w:tc>
      </w:tr>
      <w:tr w:rsidR="00F578DA" w:rsidRPr="004573F8" w:rsidTr="00972DD8">
        <w:trPr>
          <w:trHeight w:val="134"/>
        </w:trPr>
        <w:tc>
          <w:tcPr>
            <w:tcW w:w="632" w:type="pct"/>
            <w:tcBorders>
              <w:left w:val="nil"/>
              <w:right w:val="nil"/>
            </w:tcBorders>
            <w:shd w:val="clear" w:color="auto" w:fill="auto"/>
            <w:noWrap/>
          </w:tcPr>
          <w:p w:rsidR="0015264F" w:rsidRPr="004F6C55" w:rsidRDefault="0015264F" w:rsidP="004C39E3">
            <w:pPr>
              <w:spacing w:after="0" w:line="240" w:lineRule="auto"/>
              <w:jc w:val="center"/>
              <w:rPr>
                <w:rFonts w:ascii="Arial Narrow" w:hAnsi="Arial Narrow" w:cs="Arabic Typesetting"/>
                <w:bCs/>
                <w:sz w:val="20"/>
                <w:szCs w:val="20"/>
                <w:lang w:eastAsia="en-PH"/>
              </w:rPr>
            </w:pPr>
            <w:r w:rsidRPr="004F6C55">
              <w:rPr>
                <w:rFonts w:ascii="Arial Narrow" w:hAnsi="Arial Narrow" w:cs="Arabic Typesetting"/>
                <w:bCs/>
                <w:sz w:val="20"/>
                <w:szCs w:val="20"/>
                <w:lang w:eastAsia="en-PH"/>
              </w:rPr>
              <w:t>2017</w:t>
            </w:r>
          </w:p>
        </w:tc>
        <w:tc>
          <w:tcPr>
            <w:tcW w:w="164" w:type="pct"/>
            <w:tcBorders>
              <w:left w:val="nil"/>
              <w:right w:val="nil"/>
            </w:tcBorders>
          </w:tcPr>
          <w:p w:rsidR="0015264F" w:rsidRPr="004F6C55" w:rsidRDefault="0015264F" w:rsidP="004C39E3">
            <w:pPr>
              <w:spacing w:after="0" w:line="240" w:lineRule="auto"/>
              <w:ind w:hanging="112"/>
              <w:jc w:val="right"/>
              <w:rPr>
                <w:rFonts w:ascii="Arial Narrow" w:hAnsi="Arial Narrow" w:cs="Arabic Typesetting"/>
                <w:sz w:val="20"/>
                <w:szCs w:val="20"/>
              </w:rPr>
            </w:pPr>
          </w:p>
        </w:tc>
        <w:tc>
          <w:tcPr>
            <w:tcW w:w="864" w:type="pct"/>
            <w:tcBorders>
              <w:left w:val="nil"/>
              <w:right w:val="nil"/>
            </w:tcBorders>
          </w:tcPr>
          <w:p w:rsidR="0015264F" w:rsidRPr="004F6C55" w:rsidRDefault="0015264F" w:rsidP="004C39E3">
            <w:pPr>
              <w:spacing w:after="0" w:line="240" w:lineRule="auto"/>
              <w:ind w:hanging="112"/>
              <w:jc w:val="right"/>
              <w:rPr>
                <w:rFonts w:ascii="Arial Narrow" w:hAnsi="Arial Narrow" w:cs="Arabic Typesetting"/>
                <w:sz w:val="20"/>
                <w:szCs w:val="20"/>
              </w:rPr>
            </w:pPr>
          </w:p>
        </w:tc>
        <w:tc>
          <w:tcPr>
            <w:tcW w:w="172" w:type="pct"/>
            <w:tcBorders>
              <w:left w:val="nil"/>
              <w:right w:val="nil"/>
            </w:tcBorders>
          </w:tcPr>
          <w:p w:rsidR="0015264F" w:rsidRPr="004F6C55" w:rsidRDefault="0015264F" w:rsidP="004C39E3">
            <w:pPr>
              <w:spacing w:after="0" w:line="240" w:lineRule="auto"/>
              <w:jc w:val="right"/>
              <w:rPr>
                <w:rFonts w:ascii="Arial Narrow" w:hAnsi="Arial Narrow" w:cs="Arabic Typesetting"/>
                <w:bCs/>
                <w:sz w:val="20"/>
                <w:szCs w:val="20"/>
                <w:lang w:eastAsia="en-PH"/>
              </w:rPr>
            </w:pPr>
          </w:p>
        </w:tc>
        <w:tc>
          <w:tcPr>
            <w:tcW w:w="1040" w:type="pct"/>
            <w:tcBorders>
              <w:left w:val="nil"/>
              <w:right w:val="nil"/>
            </w:tcBorders>
            <w:shd w:val="clear" w:color="auto" w:fill="auto"/>
            <w:noWrap/>
            <w:vAlign w:val="bottom"/>
          </w:tcPr>
          <w:p w:rsidR="0015264F" w:rsidRPr="004F6C55" w:rsidRDefault="0015264F" w:rsidP="004C39E3">
            <w:pPr>
              <w:spacing w:after="0" w:line="240" w:lineRule="auto"/>
              <w:jc w:val="right"/>
              <w:rPr>
                <w:rFonts w:ascii="Arial Narrow" w:hAnsi="Arial Narrow" w:cs="Arabic Typesetting"/>
                <w:sz w:val="20"/>
                <w:szCs w:val="20"/>
              </w:rPr>
            </w:pPr>
            <w:r w:rsidRPr="004F6C55">
              <w:rPr>
                <w:rFonts w:ascii="Arial Narrow" w:hAnsi="Arial Narrow" w:cs="Arabic Typesetting"/>
                <w:sz w:val="20"/>
                <w:szCs w:val="20"/>
              </w:rPr>
              <w:t>950,277.14</w:t>
            </w:r>
          </w:p>
        </w:tc>
        <w:tc>
          <w:tcPr>
            <w:tcW w:w="173" w:type="pct"/>
            <w:tcBorders>
              <w:left w:val="nil"/>
              <w:right w:val="nil"/>
            </w:tcBorders>
          </w:tcPr>
          <w:p w:rsidR="0015264F" w:rsidRPr="004F6C55" w:rsidRDefault="0015264F" w:rsidP="004C39E3">
            <w:pPr>
              <w:spacing w:after="0" w:line="240" w:lineRule="auto"/>
              <w:jc w:val="right"/>
              <w:rPr>
                <w:rFonts w:ascii="Arial Narrow" w:hAnsi="Arial Narrow" w:cs="Arabic Typesetting"/>
                <w:bCs/>
                <w:sz w:val="20"/>
                <w:szCs w:val="20"/>
                <w:lang w:eastAsia="en-PH"/>
              </w:rPr>
            </w:pPr>
          </w:p>
        </w:tc>
        <w:tc>
          <w:tcPr>
            <w:tcW w:w="808" w:type="pct"/>
            <w:tcBorders>
              <w:left w:val="nil"/>
              <w:right w:val="nil"/>
            </w:tcBorders>
            <w:shd w:val="clear" w:color="auto" w:fill="auto"/>
            <w:noWrap/>
            <w:vAlign w:val="bottom"/>
          </w:tcPr>
          <w:p w:rsidR="0015264F" w:rsidRPr="004F6C55" w:rsidRDefault="0015264F" w:rsidP="004C39E3">
            <w:pPr>
              <w:spacing w:after="0" w:line="240" w:lineRule="auto"/>
              <w:jc w:val="right"/>
              <w:rPr>
                <w:rFonts w:ascii="Arial Narrow" w:hAnsi="Arial Narrow" w:cs="Arabic Typesetting"/>
                <w:sz w:val="20"/>
                <w:szCs w:val="20"/>
              </w:rPr>
            </w:pPr>
            <w:r w:rsidRPr="004F6C55">
              <w:rPr>
                <w:rFonts w:ascii="Arial Narrow" w:hAnsi="Arial Narrow" w:cs="Arabic Typesetting"/>
                <w:sz w:val="20"/>
                <w:szCs w:val="20"/>
              </w:rPr>
              <w:t>(97,832.32)</w:t>
            </w:r>
          </w:p>
        </w:tc>
        <w:tc>
          <w:tcPr>
            <w:tcW w:w="173" w:type="pct"/>
            <w:tcBorders>
              <w:left w:val="nil"/>
              <w:right w:val="nil"/>
            </w:tcBorders>
          </w:tcPr>
          <w:p w:rsidR="0015264F" w:rsidRPr="004F6C55" w:rsidRDefault="0015264F" w:rsidP="004C39E3">
            <w:pPr>
              <w:spacing w:after="0" w:line="240" w:lineRule="auto"/>
              <w:jc w:val="right"/>
              <w:rPr>
                <w:rFonts w:ascii="Arial Narrow" w:hAnsi="Arial Narrow" w:cs="Arabic Typesetting"/>
                <w:bCs/>
                <w:sz w:val="20"/>
                <w:szCs w:val="20"/>
                <w:lang w:eastAsia="en-PH"/>
              </w:rPr>
            </w:pPr>
          </w:p>
        </w:tc>
        <w:tc>
          <w:tcPr>
            <w:tcW w:w="974" w:type="pct"/>
            <w:tcBorders>
              <w:left w:val="nil"/>
              <w:right w:val="nil"/>
            </w:tcBorders>
            <w:shd w:val="clear" w:color="auto" w:fill="auto"/>
            <w:noWrap/>
            <w:vAlign w:val="bottom"/>
          </w:tcPr>
          <w:p w:rsidR="0015264F" w:rsidRPr="004F6C55" w:rsidRDefault="0015264F" w:rsidP="004C39E3">
            <w:pPr>
              <w:spacing w:after="0" w:line="240" w:lineRule="auto"/>
              <w:jc w:val="right"/>
              <w:rPr>
                <w:rFonts w:ascii="Arial Narrow" w:hAnsi="Arial Narrow" w:cs="Arabic Typesetting"/>
                <w:sz w:val="20"/>
                <w:szCs w:val="20"/>
              </w:rPr>
            </w:pPr>
            <w:r w:rsidRPr="004F6C55">
              <w:rPr>
                <w:rFonts w:ascii="Arial Narrow" w:hAnsi="Arial Narrow" w:cs="Arabic Typesetting"/>
                <w:sz w:val="20"/>
                <w:szCs w:val="20"/>
              </w:rPr>
              <w:t>852,444.82</w:t>
            </w:r>
          </w:p>
        </w:tc>
      </w:tr>
      <w:tr w:rsidR="00F578DA" w:rsidRPr="004573F8" w:rsidTr="00972DD8">
        <w:trPr>
          <w:trHeight w:val="134"/>
        </w:trPr>
        <w:tc>
          <w:tcPr>
            <w:tcW w:w="632" w:type="pct"/>
            <w:tcBorders>
              <w:left w:val="nil"/>
              <w:bottom w:val="single" w:sz="4" w:space="0" w:color="auto"/>
              <w:right w:val="nil"/>
            </w:tcBorders>
            <w:shd w:val="clear" w:color="auto" w:fill="auto"/>
            <w:noWrap/>
          </w:tcPr>
          <w:p w:rsidR="0015264F" w:rsidRPr="004F6C55" w:rsidRDefault="0015264F" w:rsidP="004C39E3">
            <w:pPr>
              <w:spacing w:after="0" w:line="240" w:lineRule="auto"/>
              <w:jc w:val="center"/>
              <w:rPr>
                <w:rFonts w:ascii="Arial Narrow" w:hAnsi="Arial Narrow" w:cs="Arabic Typesetting"/>
                <w:bCs/>
                <w:sz w:val="20"/>
                <w:szCs w:val="20"/>
                <w:lang w:eastAsia="en-PH"/>
              </w:rPr>
            </w:pPr>
            <w:r w:rsidRPr="004F6C55">
              <w:rPr>
                <w:rFonts w:ascii="Arial Narrow" w:hAnsi="Arial Narrow" w:cs="Arabic Typesetting"/>
                <w:bCs/>
                <w:sz w:val="20"/>
                <w:szCs w:val="20"/>
                <w:lang w:eastAsia="en-PH"/>
              </w:rPr>
              <w:t>2018</w:t>
            </w:r>
          </w:p>
        </w:tc>
        <w:tc>
          <w:tcPr>
            <w:tcW w:w="164" w:type="pct"/>
            <w:tcBorders>
              <w:left w:val="nil"/>
              <w:bottom w:val="single" w:sz="4" w:space="0" w:color="auto"/>
              <w:right w:val="nil"/>
            </w:tcBorders>
          </w:tcPr>
          <w:p w:rsidR="0015264F" w:rsidRPr="004F6C55" w:rsidRDefault="0015264F" w:rsidP="004C39E3">
            <w:pPr>
              <w:spacing w:after="0" w:line="240" w:lineRule="auto"/>
              <w:ind w:hanging="112"/>
              <w:jc w:val="right"/>
              <w:rPr>
                <w:rFonts w:ascii="Arial Narrow" w:hAnsi="Arial Narrow" w:cs="Arabic Typesetting"/>
                <w:sz w:val="20"/>
                <w:szCs w:val="20"/>
              </w:rPr>
            </w:pPr>
          </w:p>
        </w:tc>
        <w:tc>
          <w:tcPr>
            <w:tcW w:w="864" w:type="pct"/>
            <w:tcBorders>
              <w:left w:val="nil"/>
              <w:bottom w:val="single" w:sz="4" w:space="0" w:color="auto"/>
              <w:right w:val="nil"/>
            </w:tcBorders>
          </w:tcPr>
          <w:p w:rsidR="0015264F" w:rsidRPr="004F6C55" w:rsidRDefault="0015264F" w:rsidP="004C39E3">
            <w:pPr>
              <w:spacing w:after="0" w:line="240" w:lineRule="auto"/>
              <w:ind w:hanging="112"/>
              <w:jc w:val="right"/>
              <w:rPr>
                <w:rFonts w:ascii="Arial Narrow" w:hAnsi="Arial Narrow" w:cs="Arabic Typesetting"/>
                <w:sz w:val="20"/>
                <w:szCs w:val="20"/>
              </w:rPr>
            </w:pPr>
            <w:r w:rsidRPr="004F6C55">
              <w:rPr>
                <w:rFonts w:ascii="Arial Narrow" w:hAnsi="Arial Narrow" w:cs="Arabic Typesetting"/>
                <w:sz w:val="20"/>
                <w:szCs w:val="20"/>
              </w:rPr>
              <w:t>4,605,103.21</w:t>
            </w:r>
          </w:p>
        </w:tc>
        <w:tc>
          <w:tcPr>
            <w:tcW w:w="172" w:type="pct"/>
            <w:tcBorders>
              <w:left w:val="nil"/>
              <w:bottom w:val="single" w:sz="4" w:space="0" w:color="auto"/>
              <w:right w:val="nil"/>
            </w:tcBorders>
          </w:tcPr>
          <w:p w:rsidR="0015264F" w:rsidRPr="004F6C55" w:rsidRDefault="0015264F" w:rsidP="004C39E3">
            <w:pPr>
              <w:spacing w:after="0" w:line="240" w:lineRule="auto"/>
              <w:jc w:val="right"/>
              <w:rPr>
                <w:rFonts w:ascii="Arial Narrow" w:hAnsi="Arial Narrow" w:cs="Arabic Typesetting"/>
                <w:bCs/>
                <w:sz w:val="20"/>
                <w:szCs w:val="20"/>
                <w:lang w:eastAsia="en-PH"/>
              </w:rPr>
            </w:pPr>
          </w:p>
        </w:tc>
        <w:tc>
          <w:tcPr>
            <w:tcW w:w="1040" w:type="pct"/>
            <w:tcBorders>
              <w:left w:val="nil"/>
              <w:bottom w:val="single" w:sz="4" w:space="0" w:color="auto"/>
              <w:right w:val="nil"/>
            </w:tcBorders>
            <w:shd w:val="clear" w:color="auto" w:fill="auto"/>
            <w:noWrap/>
            <w:vAlign w:val="bottom"/>
          </w:tcPr>
          <w:p w:rsidR="0015264F" w:rsidRPr="004F6C55" w:rsidRDefault="0015264F" w:rsidP="004C39E3">
            <w:pPr>
              <w:spacing w:after="0" w:line="240" w:lineRule="auto"/>
              <w:jc w:val="right"/>
              <w:rPr>
                <w:rFonts w:ascii="Arial Narrow" w:hAnsi="Arial Narrow" w:cs="Arabic Typesetting"/>
                <w:sz w:val="20"/>
                <w:szCs w:val="20"/>
              </w:rPr>
            </w:pPr>
            <w:r w:rsidRPr="004F6C55">
              <w:rPr>
                <w:rFonts w:ascii="Arial Narrow" w:hAnsi="Arial Narrow" w:cs="Arabic Typesetting"/>
                <w:sz w:val="20"/>
                <w:szCs w:val="20"/>
              </w:rPr>
              <w:t>8,652,094.96</w:t>
            </w:r>
          </w:p>
        </w:tc>
        <w:tc>
          <w:tcPr>
            <w:tcW w:w="173" w:type="pct"/>
            <w:tcBorders>
              <w:left w:val="nil"/>
              <w:bottom w:val="single" w:sz="4" w:space="0" w:color="auto"/>
              <w:right w:val="nil"/>
            </w:tcBorders>
          </w:tcPr>
          <w:p w:rsidR="0015264F" w:rsidRPr="004F6C55" w:rsidRDefault="0015264F" w:rsidP="004C39E3">
            <w:pPr>
              <w:spacing w:after="0" w:line="240" w:lineRule="auto"/>
              <w:jc w:val="right"/>
              <w:rPr>
                <w:rFonts w:ascii="Arial Narrow" w:hAnsi="Arial Narrow" w:cs="Arabic Typesetting"/>
                <w:bCs/>
                <w:sz w:val="20"/>
                <w:szCs w:val="20"/>
                <w:lang w:eastAsia="en-PH"/>
              </w:rPr>
            </w:pPr>
          </w:p>
        </w:tc>
        <w:tc>
          <w:tcPr>
            <w:tcW w:w="808" w:type="pct"/>
            <w:tcBorders>
              <w:left w:val="nil"/>
              <w:bottom w:val="single" w:sz="4" w:space="0" w:color="auto"/>
              <w:right w:val="nil"/>
            </w:tcBorders>
            <w:shd w:val="clear" w:color="auto" w:fill="auto"/>
            <w:noWrap/>
            <w:vAlign w:val="bottom"/>
          </w:tcPr>
          <w:p w:rsidR="0015264F" w:rsidRPr="004F6C55" w:rsidRDefault="0015264F" w:rsidP="004C39E3">
            <w:pPr>
              <w:spacing w:after="0" w:line="240" w:lineRule="auto"/>
              <w:jc w:val="right"/>
              <w:rPr>
                <w:rFonts w:ascii="Arial Narrow" w:hAnsi="Arial Narrow" w:cs="Arabic Typesetting"/>
                <w:sz w:val="20"/>
                <w:szCs w:val="20"/>
              </w:rPr>
            </w:pPr>
            <w:r w:rsidRPr="004F6C55">
              <w:rPr>
                <w:rFonts w:ascii="Arial Narrow" w:hAnsi="Arial Narrow" w:cs="Arabic Typesetting"/>
                <w:sz w:val="20"/>
                <w:szCs w:val="20"/>
              </w:rPr>
              <w:t>(3,315.18)</w:t>
            </w:r>
          </w:p>
        </w:tc>
        <w:tc>
          <w:tcPr>
            <w:tcW w:w="173" w:type="pct"/>
            <w:tcBorders>
              <w:left w:val="nil"/>
              <w:bottom w:val="single" w:sz="4" w:space="0" w:color="auto"/>
              <w:right w:val="nil"/>
            </w:tcBorders>
          </w:tcPr>
          <w:p w:rsidR="0015264F" w:rsidRPr="004F6C55" w:rsidRDefault="0015264F" w:rsidP="004C39E3">
            <w:pPr>
              <w:spacing w:after="0" w:line="240" w:lineRule="auto"/>
              <w:jc w:val="right"/>
              <w:rPr>
                <w:rFonts w:ascii="Arial Narrow" w:hAnsi="Arial Narrow" w:cs="Arabic Typesetting"/>
                <w:bCs/>
                <w:sz w:val="20"/>
                <w:szCs w:val="20"/>
                <w:lang w:eastAsia="en-PH"/>
              </w:rPr>
            </w:pPr>
          </w:p>
        </w:tc>
        <w:tc>
          <w:tcPr>
            <w:tcW w:w="974" w:type="pct"/>
            <w:tcBorders>
              <w:left w:val="nil"/>
              <w:bottom w:val="single" w:sz="4" w:space="0" w:color="auto"/>
              <w:right w:val="nil"/>
            </w:tcBorders>
            <w:shd w:val="clear" w:color="auto" w:fill="auto"/>
            <w:noWrap/>
            <w:vAlign w:val="bottom"/>
          </w:tcPr>
          <w:p w:rsidR="0015264F" w:rsidRPr="004F6C55" w:rsidRDefault="0015264F" w:rsidP="004C39E3">
            <w:pPr>
              <w:spacing w:after="0" w:line="240" w:lineRule="auto"/>
              <w:jc w:val="right"/>
              <w:rPr>
                <w:rFonts w:ascii="Arial Narrow" w:hAnsi="Arial Narrow" w:cs="Arabic Typesetting"/>
                <w:sz w:val="20"/>
                <w:szCs w:val="20"/>
              </w:rPr>
            </w:pPr>
            <w:r w:rsidRPr="004F6C55">
              <w:rPr>
                <w:rFonts w:ascii="Arial Narrow" w:hAnsi="Arial Narrow" w:cs="Arabic Typesetting"/>
                <w:sz w:val="20"/>
                <w:szCs w:val="20"/>
              </w:rPr>
              <w:t>13,253,882.99</w:t>
            </w:r>
          </w:p>
        </w:tc>
      </w:tr>
      <w:tr w:rsidR="00F578DA" w:rsidRPr="004573F8" w:rsidTr="00972DD8">
        <w:trPr>
          <w:trHeight w:val="134"/>
        </w:trPr>
        <w:tc>
          <w:tcPr>
            <w:tcW w:w="632" w:type="pct"/>
            <w:tcBorders>
              <w:top w:val="single" w:sz="4" w:space="0" w:color="auto"/>
              <w:left w:val="nil"/>
              <w:bottom w:val="double" w:sz="6" w:space="0" w:color="auto"/>
              <w:right w:val="nil"/>
            </w:tcBorders>
            <w:shd w:val="clear" w:color="auto" w:fill="auto"/>
            <w:noWrap/>
            <w:hideMark/>
          </w:tcPr>
          <w:p w:rsidR="0015264F" w:rsidRPr="004F6C55" w:rsidRDefault="0015264F" w:rsidP="004C39E3">
            <w:pPr>
              <w:spacing w:after="0" w:line="240" w:lineRule="auto"/>
              <w:jc w:val="center"/>
              <w:rPr>
                <w:rFonts w:ascii="Arial Narrow" w:hAnsi="Arial Narrow" w:cs="Arabic Typesetting"/>
                <w:b/>
                <w:bCs/>
                <w:sz w:val="20"/>
                <w:szCs w:val="20"/>
                <w:lang w:eastAsia="en-PH"/>
              </w:rPr>
            </w:pPr>
            <w:r w:rsidRPr="004F6C55">
              <w:rPr>
                <w:rFonts w:ascii="Arial Narrow" w:hAnsi="Arial Narrow" w:cs="Arabic Typesetting"/>
                <w:b/>
                <w:bCs/>
                <w:sz w:val="20"/>
                <w:szCs w:val="20"/>
                <w:lang w:eastAsia="en-PH"/>
              </w:rPr>
              <w:t>Total</w:t>
            </w:r>
          </w:p>
        </w:tc>
        <w:tc>
          <w:tcPr>
            <w:tcW w:w="164" w:type="pct"/>
            <w:tcBorders>
              <w:top w:val="single" w:sz="4" w:space="0" w:color="auto"/>
              <w:left w:val="nil"/>
              <w:bottom w:val="double" w:sz="6" w:space="0" w:color="auto"/>
              <w:right w:val="nil"/>
            </w:tcBorders>
          </w:tcPr>
          <w:p w:rsidR="0015264F" w:rsidRPr="004F6C55" w:rsidRDefault="0015264F" w:rsidP="004C39E3">
            <w:pPr>
              <w:spacing w:after="0" w:line="240" w:lineRule="auto"/>
              <w:ind w:hanging="1098"/>
              <w:jc w:val="right"/>
              <w:rPr>
                <w:rFonts w:ascii="Arial Narrow" w:hAnsi="Arial Narrow" w:cs="Arabic Typesetting"/>
                <w:b/>
                <w:sz w:val="20"/>
                <w:szCs w:val="20"/>
              </w:rPr>
            </w:pPr>
            <w:r w:rsidRPr="004F6C55">
              <w:rPr>
                <w:rFonts w:ascii="Arial Narrow" w:hAnsi="Arial Narrow" w:cs="Arabic Typesetting"/>
                <w:b/>
                <w:sz w:val="20"/>
                <w:szCs w:val="20"/>
              </w:rPr>
              <w:t>P</w:t>
            </w:r>
          </w:p>
        </w:tc>
        <w:tc>
          <w:tcPr>
            <w:tcW w:w="864" w:type="pct"/>
            <w:tcBorders>
              <w:top w:val="single" w:sz="4" w:space="0" w:color="auto"/>
              <w:left w:val="nil"/>
              <w:bottom w:val="double" w:sz="6" w:space="0" w:color="auto"/>
              <w:right w:val="nil"/>
            </w:tcBorders>
          </w:tcPr>
          <w:p w:rsidR="0015264F" w:rsidRPr="004F6C55" w:rsidRDefault="0015264F" w:rsidP="004C39E3">
            <w:pPr>
              <w:spacing w:after="0" w:line="240" w:lineRule="auto"/>
              <w:ind w:hanging="112"/>
              <w:jc w:val="right"/>
              <w:rPr>
                <w:rFonts w:ascii="Arial Narrow" w:hAnsi="Arial Narrow" w:cs="Arabic Typesetting"/>
                <w:b/>
                <w:sz w:val="20"/>
                <w:szCs w:val="20"/>
              </w:rPr>
            </w:pPr>
            <w:r w:rsidRPr="004F6C55">
              <w:rPr>
                <w:rFonts w:ascii="Arial Narrow" w:hAnsi="Arial Narrow" w:cs="Arabic Typesetting"/>
                <w:b/>
                <w:sz w:val="20"/>
                <w:szCs w:val="20"/>
              </w:rPr>
              <w:t>4,605,103.21</w:t>
            </w:r>
          </w:p>
        </w:tc>
        <w:tc>
          <w:tcPr>
            <w:tcW w:w="172" w:type="pct"/>
            <w:tcBorders>
              <w:top w:val="single" w:sz="4" w:space="0" w:color="auto"/>
              <w:left w:val="nil"/>
              <w:bottom w:val="double" w:sz="6" w:space="0" w:color="auto"/>
              <w:right w:val="nil"/>
            </w:tcBorders>
          </w:tcPr>
          <w:p w:rsidR="0015264F" w:rsidRPr="004F6C55" w:rsidRDefault="0015264F" w:rsidP="004C39E3">
            <w:pPr>
              <w:spacing w:after="0" w:line="240" w:lineRule="auto"/>
              <w:jc w:val="right"/>
              <w:rPr>
                <w:rFonts w:ascii="Arial Narrow" w:hAnsi="Arial Narrow" w:cs="Arabic Typesetting"/>
                <w:b/>
                <w:bCs/>
                <w:sz w:val="20"/>
                <w:szCs w:val="20"/>
                <w:lang w:eastAsia="en-PH"/>
              </w:rPr>
            </w:pPr>
            <w:r w:rsidRPr="004F6C55">
              <w:rPr>
                <w:rFonts w:ascii="Arial Narrow" w:hAnsi="Arial Narrow" w:cs="Arabic Typesetting"/>
                <w:b/>
                <w:bCs/>
                <w:sz w:val="20"/>
                <w:szCs w:val="20"/>
                <w:lang w:eastAsia="en-PH"/>
              </w:rPr>
              <w:t>P</w:t>
            </w:r>
          </w:p>
        </w:tc>
        <w:tc>
          <w:tcPr>
            <w:tcW w:w="1040" w:type="pct"/>
            <w:tcBorders>
              <w:top w:val="single" w:sz="4" w:space="0" w:color="auto"/>
              <w:left w:val="nil"/>
              <w:bottom w:val="double" w:sz="6" w:space="0" w:color="auto"/>
              <w:right w:val="nil"/>
            </w:tcBorders>
            <w:shd w:val="clear" w:color="auto" w:fill="auto"/>
            <w:noWrap/>
            <w:vAlign w:val="bottom"/>
            <w:hideMark/>
          </w:tcPr>
          <w:p w:rsidR="0015264F" w:rsidRPr="004F6C55" w:rsidRDefault="0015264F" w:rsidP="004C39E3">
            <w:pPr>
              <w:spacing w:after="0" w:line="240" w:lineRule="auto"/>
              <w:jc w:val="right"/>
              <w:rPr>
                <w:rFonts w:ascii="Arial Narrow" w:hAnsi="Arial Narrow" w:cs="Arabic Typesetting"/>
                <w:b/>
                <w:sz w:val="20"/>
                <w:szCs w:val="20"/>
              </w:rPr>
            </w:pPr>
            <w:r w:rsidRPr="004F6C55">
              <w:rPr>
                <w:rFonts w:ascii="Arial Narrow" w:hAnsi="Arial Narrow" w:cs="Arabic Typesetting"/>
                <w:b/>
                <w:sz w:val="20"/>
                <w:szCs w:val="20"/>
              </w:rPr>
              <w:t>10,573,755.40</w:t>
            </w:r>
          </w:p>
        </w:tc>
        <w:tc>
          <w:tcPr>
            <w:tcW w:w="173" w:type="pct"/>
            <w:tcBorders>
              <w:top w:val="single" w:sz="4" w:space="0" w:color="auto"/>
              <w:left w:val="nil"/>
              <w:bottom w:val="double" w:sz="6" w:space="0" w:color="auto"/>
              <w:right w:val="nil"/>
            </w:tcBorders>
          </w:tcPr>
          <w:p w:rsidR="0015264F" w:rsidRPr="004F6C55" w:rsidRDefault="0015264F" w:rsidP="004C39E3">
            <w:pPr>
              <w:spacing w:after="0" w:line="240" w:lineRule="auto"/>
              <w:jc w:val="right"/>
              <w:rPr>
                <w:rFonts w:ascii="Arial Narrow" w:hAnsi="Arial Narrow" w:cs="Arabic Typesetting"/>
                <w:b/>
                <w:bCs/>
                <w:sz w:val="20"/>
                <w:szCs w:val="20"/>
                <w:lang w:eastAsia="en-PH"/>
              </w:rPr>
            </w:pPr>
            <w:r w:rsidRPr="004F6C55">
              <w:rPr>
                <w:rFonts w:ascii="Arial Narrow" w:hAnsi="Arial Narrow" w:cs="Arabic Typesetting"/>
                <w:b/>
                <w:bCs/>
                <w:sz w:val="20"/>
                <w:szCs w:val="20"/>
                <w:lang w:eastAsia="en-PH"/>
              </w:rPr>
              <w:t>P</w:t>
            </w:r>
          </w:p>
        </w:tc>
        <w:tc>
          <w:tcPr>
            <w:tcW w:w="808" w:type="pct"/>
            <w:tcBorders>
              <w:top w:val="single" w:sz="4" w:space="0" w:color="auto"/>
              <w:left w:val="nil"/>
              <w:bottom w:val="double" w:sz="6" w:space="0" w:color="auto"/>
              <w:right w:val="nil"/>
            </w:tcBorders>
            <w:shd w:val="clear" w:color="auto" w:fill="auto"/>
            <w:noWrap/>
            <w:vAlign w:val="bottom"/>
            <w:hideMark/>
          </w:tcPr>
          <w:p w:rsidR="0015264F" w:rsidRPr="004F6C55" w:rsidRDefault="0015264F" w:rsidP="00517962">
            <w:pPr>
              <w:spacing w:after="0" w:line="240" w:lineRule="auto"/>
              <w:jc w:val="right"/>
              <w:rPr>
                <w:rFonts w:ascii="Arial Narrow" w:hAnsi="Arial Narrow" w:cs="Arabic Typesetting"/>
                <w:b/>
                <w:sz w:val="20"/>
                <w:szCs w:val="20"/>
              </w:rPr>
            </w:pPr>
            <w:r w:rsidRPr="004F6C55">
              <w:rPr>
                <w:rFonts w:ascii="Arial Narrow" w:hAnsi="Arial Narrow" w:cs="Arabic Typesetting"/>
                <w:b/>
                <w:sz w:val="20"/>
                <w:szCs w:val="20"/>
              </w:rPr>
              <w:t>231,467.30</w:t>
            </w:r>
          </w:p>
        </w:tc>
        <w:tc>
          <w:tcPr>
            <w:tcW w:w="173" w:type="pct"/>
            <w:tcBorders>
              <w:top w:val="single" w:sz="4" w:space="0" w:color="auto"/>
              <w:left w:val="nil"/>
              <w:bottom w:val="double" w:sz="6" w:space="0" w:color="auto"/>
              <w:right w:val="nil"/>
            </w:tcBorders>
          </w:tcPr>
          <w:p w:rsidR="0015264F" w:rsidRPr="004F6C55" w:rsidRDefault="0015264F" w:rsidP="004C39E3">
            <w:pPr>
              <w:spacing w:after="0" w:line="240" w:lineRule="auto"/>
              <w:jc w:val="right"/>
              <w:rPr>
                <w:rFonts w:ascii="Arial Narrow" w:hAnsi="Arial Narrow" w:cs="Arabic Typesetting"/>
                <w:b/>
                <w:bCs/>
                <w:sz w:val="20"/>
                <w:szCs w:val="20"/>
                <w:lang w:eastAsia="en-PH"/>
              </w:rPr>
            </w:pPr>
            <w:r w:rsidRPr="004F6C55">
              <w:rPr>
                <w:rFonts w:ascii="Arial Narrow" w:hAnsi="Arial Narrow" w:cs="Arabic Typesetting"/>
                <w:b/>
                <w:bCs/>
                <w:sz w:val="20"/>
                <w:szCs w:val="20"/>
                <w:lang w:eastAsia="en-PH"/>
              </w:rPr>
              <w:t>P</w:t>
            </w:r>
          </w:p>
        </w:tc>
        <w:tc>
          <w:tcPr>
            <w:tcW w:w="974" w:type="pct"/>
            <w:tcBorders>
              <w:top w:val="single" w:sz="4" w:space="0" w:color="auto"/>
              <w:left w:val="nil"/>
              <w:bottom w:val="double" w:sz="6" w:space="0" w:color="auto"/>
              <w:right w:val="nil"/>
            </w:tcBorders>
            <w:shd w:val="clear" w:color="auto" w:fill="auto"/>
            <w:noWrap/>
            <w:vAlign w:val="bottom"/>
            <w:hideMark/>
          </w:tcPr>
          <w:p w:rsidR="0015264F" w:rsidRPr="00CE1519" w:rsidRDefault="0015264F" w:rsidP="004C39E3">
            <w:pPr>
              <w:spacing w:after="0" w:line="240" w:lineRule="auto"/>
              <w:jc w:val="right"/>
              <w:rPr>
                <w:rFonts w:ascii="Arial Narrow" w:hAnsi="Arial Narrow" w:cs="Arabic Typesetting"/>
                <w:b/>
                <w:color w:val="000000" w:themeColor="text1"/>
                <w:sz w:val="20"/>
                <w:szCs w:val="20"/>
              </w:rPr>
            </w:pPr>
            <w:r w:rsidRPr="00CE1519">
              <w:rPr>
                <w:rFonts w:ascii="Arial Narrow" w:hAnsi="Arial Narrow" w:cs="Arabic Typesetting"/>
                <w:b/>
                <w:color w:val="000000" w:themeColor="text1"/>
                <w:sz w:val="20"/>
                <w:szCs w:val="20"/>
              </w:rPr>
              <w:t>15,410,325.</w:t>
            </w:r>
            <w:r w:rsidR="00CE1519" w:rsidRPr="00CE1519">
              <w:rPr>
                <w:rFonts w:ascii="Arial Narrow" w:hAnsi="Arial Narrow" w:cs="Arabic Typesetting"/>
                <w:b/>
                <w:color w:val="000000" w:themeColor="text1"/>
                <w:sz w:val="20"/>
                <w:szCs w:val="20"/>
              </w:rPr>
              <w:t>9</w:t>
            </w:r>
            <w:r w:rsidRPr="00CE1519">
              <w:rPr>
                <w:rFonts w:ascii="Arial Narrow" w:hAnsi="Arial Narrow" w:cs="Arabic Typesetting"/>
                <w:b/>
                <w:color w:val="000000" w:themeColor="text1"/>
                <w:sz w:val="20"/>
                <w:szCs w:val="20"/>
              </w:rPr>
              <w:t>1</w:t>
            </w:r>
          </w:p>
        </w:tc>
      </w:tr>
    </w:tbl>
    <w:p w:rsidR="009F7AA7" w:rsidRPr="00EF4855" w:rsidRDefault="009F7AA7" w:rsidP="004C39E3">
      <w:pPr>
        <w:spacing w:after="0" w:line="240" w:lineRule="auto"/>
        <w:jc w:val="both"/>
        <w:rPr>
          <w:rFonts w:ascii="Arial" w:hAnsi="Arial" w:cs="Arial"/>
        </w:rPr>
      </w:pPr>
    </w:p>
    <w:p w:rsidR="00A84DDE" w:rsidRDefault="00A84DDE" w:rsidP="00DA78B4">
      <w:pPr>
        <w:pStyle w:val="ListParagraph"/>
        <w:numPr>
          <w:ilvl w:val="1"/>
          <w:numId w:val="1"/>
        </w:numPr>
        <w:ind w:left="1440"/>
        <w:contextualSpacing/>
        <w:jc w:val="both"/>
        <w:rPr>
          <w:rFonts w:ascii="Arial" w:hAnsi="Arial" w:cs="Arial"/>
          <w:sz w:val="22"/>
          <w:szCs w:val="22"/>
        </w:rPr>
      </w:pPr>
      <w:r w:rsidRPr="00997013">
        <w:rPr>
          <w:rFonts w:ascii="Arial" w:hAnsi="Arial" w:cs="Arial"/>
          <w:color w:val="000000" w:themeColor="text1"/>
          <w:sz w:val="22"/>
          <w:szCs w:val="22"/>
        </w:rPr>
        <w:t>The</w:t>
      </w:r>
      <w:r w:rsidR="004A04DF" w:rsidRPr="00997013">
        <w:rPr>
          <w:rFonts w:ascii="Arial" w:hAnsi="Arial" w:cs="Arial"/>
          <w:color w:val="000000" w:themeColor="text1"/>
          <w:sz w:val="22"/>
          <w:szCs w:val="22"/>
        </w:rPr>
        <w:t>se</w:t>
      </w:r>
      <w:r w:rsidRPr="00997013">
        <w:rPr>
          <w:rFonts w:ascii="Arial" w:hAnsi="Arial" w:cs="Arial"/>
          <w:color w:val="000000" w:themeColor="text1"/>
          <w:sz w:val="22"/>
          <w:szCs w:val="22"/>
        </w:rPr>
        <w:t xml:space="preserve"> audit observations were already brought to the attention of Management through our prior years’ Audit Observation Memoranda</w:t>
      </w:r>
      <w:r w:rsidR="00997013">
        <w:rPr>
          <w:rFonts w:ascii="Arial" w:hAnsi="Arial" w:cs="Arial"/>
          <w:color w:val="000000" w:themeColor="text1"/>
          <w:sz w:val="22"/>
          <w:szCs w:val="22"/>
        </w:rPr>
        <w:t xml:space="preserve"> (AOMs)</w:t>
      </w:r>
      <w:r w:rsidRPr="00997013">
        <w:rPr>
          <w:rFonts w:ascii="Arial" w:hAnsi="Arial" w:cs="Arial"/>
          <w:color w:val="000000" w:themeColor="text1"/>
          <w:sz w:val="22"/>
          <w:szCs w:val="22"/>
        </w:rPr>
        <w:t xml:space="preserve"> and</w:t>
      </w:r>
      <w:r w:rsidRPr="00EF4855">
        <w:rPr>
          <w:rFonts w:ascii="Arial" w:hAnsi="Arial" w:cs="Arial"/>
          <w:sz w:val="22"/>
          <w:szCs w:val="22"/>
        </w:rPr>
        <w:t xml:space="preserve"> were contained in the respective Annual Audit Reports</w:t>
      </w:r>
      <w:r w:rsidR="00997013">
        <w:rPr>
          <w:rFonts w:ascii="Arial" w:hAnsi="Arial" w:cs="Arial"/>
          <w:sz w:val="22"/>
          <w:szCs w:val="22"/>
        </w:rPr>
        <w:t xml:space="preserve"> (AARs)</w:t>
      </w:r>
      <w:r w:rsidRPr="00EF4855">
        <w:rPr>
          <w:rFonts w:ascii="Arial" w:hAnsi="Arial" w:cs="Arial"/>
          <w:sz w:val="22"/>
          <w:szCs w:val="22"/>
        </w:rPr>
        <w:t>.  However, book and bank reconciling items pertaining to CY</w:t>
      </w:r>
      <w:r w:rsidR="00997013">
        <w:rPr>
          <w:rFonts w:ascii="Arial" w:hAnsi="Arial" w:cs="Arial"/>
          <w:sz w:val="22"/>
          <w:szCs w:val="22"/>
        </w:rPr>
        <w:t>s</w:t>
      </w:r>
      <w:r w:rsidRPr="00EF4855">
        <w:rPr>
          <w:rFonts w:ascii="Arial" w:hAnsi="Arial" w:cs="Arial"/>
          <w:sz w:val="22"/>
          <w:szCs w:val="22"/>
        </w:rPr>
        <w:t xml:space="preserve"> 2006 to 2017 transactions in the total amount of P45.558 million and P2.156 million, respectively, remained unadjusted as of December 31, 2018.</w:t>
      </w:r>
    </w:p>
    <w:p w:rsidR="004A04DF" w:rsidRPr="00EF4855" w:rsidRDefault="004A04DF" w:rsidP="004A04DF">
      <w:pPr>
        <w:pStyle w:val="ListParagraph"/>
        <w:ind w:left="1080"/>
        <w:contextualSpacing/>
        <w:jc w:val="both"/>
        <w:rPr>
          <w:rFonts w:ascii="Arial" w:hAnsi="Arial" w:cs="Arial"/>
          <w:sz w:val="22"/>
          <w:szCs w:val="22"/>
        </w:rPr>
      </w:pPr>
    </w:p>
    <w:p w:rsidR="008A230C" w:rsidRPr="00EF4855" w:rsidRDefault="008A230C" w:rsidP="00AE304C">
      <w:pPr>
        <w:pStyle w:val="NoSpacing"/>
        <w:ind w:left="720" w:right="3600"/>
        <w:jc w:val="both"/>
        <w:rPr>
          <w:rFonts w:ascii="Arial" w:hAnsi="Arial" w:cs="Arial"/>
          <w:i/>
        </w:rPr>
      </w:pPr>
      <w:r w:rsidRPr="00EF4855">
        <w:rPr>
          <w:rFonts w:ascii="Arial" w:hAnsi="Arial" w:cs="Arial"/>
          <w:i/>
        </w:rPr>
        <w:t>Variance of P497</w:t>
      </w:r>
      <w:r w:rsidR="00C40836" w:rsidRPr="00EF4855">
        <w:rPr>
          <w:rFonts w:ascii="Arial" w:hAnsi="Arial" w:cs="Arial"/>
          <w:i/>
        </w:rPr>
        <w:t>.</w:t>
      </w:r>
      <w:r w:rsidRPr="00EF4855">
        <w:rPr>
          <w:rFonts w:ascii="Arial" w:hAnsi="Arial" w:cs="Arial"/>
          <w:i/>
        </w:rPr>
        <w:t>338</w:t>
      </w:r>
      <w:r w:rsidR="00C40836" w:rsidRPr="00EF4855">
        <w:rPr>
          <w:rFonts w:ascii="Arial" w:hAnsi="Arial" w:cs="Arial"/>
          <w:i/>
        </w:rPr>
        <w:t xml:space="preserve"> </w:t>
      </w:r>
      <w:r w:rsidR="00617DD8">
        <w:rPr>
          <w:rFonts w:ascii="Arial" w:hAnsi="Arial" w:cs="Arial"/>
          <w:i/>
        </w:rPr>
        <w:t>m</w:t>
      </w:r>
      <w:r w:rsidR="00C40836" w:rsidRPr="00EF4855">
        <w:rPr>
          <w:rFonts w:ascii="Arial" w:hAnsi="Arial" w:cs="Arial"/>
          <w:i/>
        </w:rPr>
        <w:t>illion</w:t>
      </w:r>
      <w:r w:rsidRPr="00EF4855">
        <w:rPr>
          <w:rFonts w:ascii="Arial" w:hAnsi="Arial" w:cs="Arial"/>
          <w:i/>
        </w:rPr>
        <w:t xml:space="preserve"> between the balance per books and the confirmed bank balances of the Charity Fund</w:t>
      </w:r>
      <w:r w:rsidR="00297A1B" w:rsidRPr="00EF4855">
        <w:rPr>
          <w:rFonts w:ascii="Arial" w:hAnsi="Arial" w:cs="Arial"/>
          <w:i/>
        </w:rPr>
        <w:t xml:space="preserve"> (CF)</w:t>
      </w:r>
      <w:r w:rsidRPr="00EF4855">
        <w:rPr>
          <w:rFonts w:ascii="Arial" w:hAnsi="Arial" w:cs="Arial"/>
          <w:i/>
        </w:rPr>
        <w:t xml:space="preserve"> and Prize Fund</w:t>
      </w:r>
      <w:r w:rsidR="00297A1B" w:rsidRPr="00EF4855">
        <w:rPr>
          <w:rFonts w:ascii="Arial" w:hAnsi="Arial" w:cs="Arial"/>
          <w:i/>
        </w:rPr>
        <w:t xml:space="preserve"> (PF)</w:t>
      </w:r>
      <w:r w:rsidR="00AE304C">
        <w:rPr>
          <w:rFonts w:ascii="Arial" w:hAnsi="Arial" w:cs="Arial"/>
          <w:i/>
        </w:rPr>
        <w:t xml:space="preserve"> accounts</w:t>
      </w:r>
    </w:p>
    <w:p w:rsidR="00AC2553" w:rsidRPr="00EF4855" w:rsidRDefault="00AC2553" w:rsidP="004C39E3">
      <w:pPr>
        <w:pStyle w:val="ListParagraph"/>
        <w:ind w:left="1080"/>
        <w:rPr>
          <w:rFonts w:ascii="Arial" w:hAnsi="Arial" w:cs="Arial"/>
          <w:b/>
          <w:sz w:val="22"/>
          <w:szCs w:val="22"/>
        </w:rPr>
      </w:pPr>
    </w:p>
    <w:p w:rsidR="00A84DDE" w:rsidRPr="00997013" w:rsidRDefault="00A84DDE" w:rsidP="00DA78B4">
      <w:pPr>
        <w:pStyle w:val="ListParagraph"/>
        <w:numPr>
          <w:ilvl w:val="1"/>
          <w:numId w:val="1"/>
        </w:numPr>
        <w:ind w:left="1440"/>
        <w:contextualSpacing/>
        <w:jc w:val="both"/>
        <w:rPr>
          <w:rFonts w:ascii="Arial" w:hAnsi="Arial" w:cs="Arial"/>
          <w:color w:val="000000" w:themeColor="text1"/>
          <w:sz w:val="22"/>
          <w:szCs w:val="22"/>
        </w:rPr>
      </w:pPr>
      <w:r w:rsidRPr="00997013">
        <w:rPr>
          <w:rFonts w:ascii="Arial" w:hAnsi="Arial" w:cs="Arial"/>
          <w:color w:val="000000" w:themeColor="text1"/>
          <w:sz w:val="22"/>
          <w:szCs w:val="22"/>
        </w:rPr>
        <w:t>Examination of the balance</w:t>
      </w:r>
      <w:r w:rsidR="004A04DF" w:rsidRPr="00997013">
        <w:rPr>
          <w:rFonts w:ascii="Arial" w:hAnsi="Arial" w:cs="Arial"/>
          <w:color w:val="000000" w:themeColor="text1"/>
          <w:sz w:val="22"/>
          <w:szCs w:val="22"/>
        </w:rPr>
        <w:t>s</w:t>
      </w:r>
      <w:r w:rsidRPr="00997013">
        <w:rPr>
          <w:rFonts w:ascii="Arial" w:hAnsi="Arial" w:cs="Arial"/>
          <w:color w:val="000000" w:themeColor="text1"/>
          <w:sz w:val="22"/>
          <w:szCs w:val="22"/>
        </w:rPr>
        <w:t xml:space="preserve"> per books of the C</w:t>
      </w:r>
      <w:r w:rsidR="00297A1B" w:rsidRPr="00997013">
        <w:rPr>
          <w:rFonts w:ascii="Arial" w:hAnsi="Arial" w:cs="Arial"/>
          <w:color w:val="000000" w:themeColor="text1"/>
          <w:sz w:val="22"/>
          <w:szCs w:val="22"/>
        </w:rPr>
        <w:t xml:space="preserve">ash in </w:t>
      </w:r>
      <w:r w:rsidRPr="00997013">
        <w:rPr>
          <w:rFonts w:ascii="Arial" w:hAnsi="Arial" w:cs="Arial"/>
          <w:color w:val="000000" w:themeColor="text1"/>
          <w:sz w:val="22"/>
          <w:szCs w:val="22"/>
        </w:rPr>
        <w:t>B</w:t>
      </w:r>
      <w:r w:rsidR="00297A1B" w:rsidRPr="00997013">
        <w:rPr>
          <w:rFonts w:ascii="Arial" w:hAnsi="Arial" w:cs="Arial"/>
          <w:color w:val="000000" w:themeColor="text1"/>
          <w:sz w:val="22"/>
          <w:szCs w:val="22"/>
        </w:rPr>
        <w:t>ank</w:t>
      </w:r>
      <w:r w:rsidRPr="00997013">
        <w:rPr>
          <w:rFonts w:ascii="Arial" w:hAnsi="Arial" w:cs="Arial"/>
          <w:color w:val="000000" w:themeColor="text1"/>
          <w:sz w:val="22"/>
          <w:szCs w:val="22"/>
        </w:rPr>
        <w:t xml:space="preserve"> account of </w:t>
      </w:r>
      <w:r w:rsidR="001B5C73" w:rsidRPr="00997013">
        <w:rPr>
          <w:rFonts w:ascii="Arial" w:hAnsi="Arial" w:cs="Arial"/>
          <w:color w:val="000000" w:themeColor="text1"/>
          <w:sz w:val="22"/>
          <w:szCs w:val="22"/>
        </w:rPr>
        <w:t xml:space="preserve">PF </w:t>
      </w:r>
      <w:r w:rsidRPr="00997013">
        <w:rPr>
          <w:rFonts w:ascii="Arial" w:hAnsi="Arial" w:cs="Arial"/>
          <w:color w:val="000000" w:themeColor="text1"/>
          <w:sz w:val="22"/>
          <w:szCs w:val="22"/>
        </w:rPr>
        <w:t xml:space="preserve">and </w:t>
      </w:r>
      <w:r w:rsidR="001B5C73" w:rsidRPr="00997013">
        <w:rPr>
          <w:rFonts w:ascii="Arial" w:hAnsi="Arial" w:cs="Arial"/>
          <w:color w:val="000000" w:themeColor="text1"/>
          <w:sz w:val="22"/>
          <w:szCs w:val="22"/>
        </w:rPr>
        <w:t>CF</w:t>
      </w:r>
      <w:r w:rsidRPr="00997013">
        <w:rPr>
          <w:rFonts w:ascii="Arial" w:hAnsi="Arial" w:cs="Arial"/>
          <w:color w:val="000000" w:themeColor="text1"/>
          <w:sz w:val="22"/>
          <w:szCs w:val="22"/>
        </w:rPr>
        <w:t xml:space="preserve"> and the balances confirmed by the corresponding depository banks of the said accounts disclosed a total discrepancy of P497</w:t>
      </w:r>
      <w:r w:rsidR="00C40836" w:rsidRPr="00997013">
        <w:rPr>
          <w:rFonts w:ascii="Arial" w:hAnsi="Arial" w:cs="Arial"/>
          <w:color w:val="000000" w:themeColor="text1"/>
          <w:sz w:val="22"/>
          <w:szCs w:val="22"/>
        </w:rPr>
        <w:t>.</w:t>
      </w:r>
      <w:r w:rsidRPr="00997013">
        <w:rPr>
          <w:rFonts w:ascii="Arial" w:hAnsi="Arial" w:cs="Arial"/>
          <w:color w:val="000000" w:themeColor="text1"/>
          <w:sz w:val="22"/>
          <w:szCs w:val="22"/>
        </w:rPr>
        <w:t>338</w:t>
      </w:r>
      <w:r w:rsidR="00C40836" w:rsidRPr="00997013">
        <w:rPr>
          <w:rFonts w:ascii="Arial" w:hAnsi="Arial" w:cs="Arial"/>
          <w:color w:val="000000" w:themeColor="text1"/>
          <w:sz w:val="22"/>
          <w:szCs w:val="22"/>
        </w:rPr>
        <w:t xml:space="preserve"> billion</w:t>
      </w:r>
      <w:r w:rsidRPr="00997013">
        <w:rPr>
          <w:rFonts w:ascii="Arial" w:hAnsi="Arial" w:cs="Arial"/>
          <w:color w:val="000000" w:themeColor="text1"/>
          <w:sz w:val="22"/>
          <w:szCs w:val="22"/>
        </w:rPr>
        <w:t xml:space="preserve">, as </w:t>
      </w:r>
      <w:r w:rsidR="00EA35C2" w:rsidRPr="00997013">
        <w:rPr>
          <w:rFonts w:ascii="Arial" w:hAnsi="Arial" w:cs="Arial"/>
          <w:color w:val="000000" w:themeColor="text1"/>
          <w:sz w:val="22"/>
          <w:szCs w:val="22"/>
        </w:rPr>
        <w:t>shown in Table</w:t>
      </w:r>
      <w:r w:rsidR="00297A1B" w:rsidRPr="00997013">
        <w:rPr>
          <w:rFonts w:ascii="Arial" w:hAnsi="Arial" w:cs="Arial"/>
          <w:color w:val="000000" w:themeColor="text1"/>
          <w:sz w:val="22"/>
          <w:szCs w:val="22"/>
        </w:rPr>
        <w:t xml:space="preserve"> </w:t>
      </w:r>
      <w:r w:rsidR="000B3DC2">
        <w:rPr>
          <w:rFonts w:ascii="Arial" w:hAnsi="Arial" w:cs="Arial"/>
          <w:color w:val="000000" w:themeColor="text1"/>
          <w:sz w:val="22"/>
          <w:szCs w:val="22"/>
        </w:rPr>
        <w:t>4</w:t>
      </w:r>
      <w:r w:rsidR="00EA35C2" w:rsidRPr="00997013">
        <w:rPr>
          <w:rFonts w:ascii="Arial" w:hAnsi="Arial" w:cs="Arial"/>
          <w:color w:val="000000" w:themeColor="text1"/>
          <w:sz w:val="22"/>
          <w:szCs w:val="22"/>
        </w:rPr>
        <w:t>.</w:t>
      </w:r>
      <w:r w:rsidRPr="00997013" w:rsidDel="00361D8A">
        <w:rPr>
          <w:rFonts w:ascii="Arial" w:hAnsi="Arial" w:cs="Arial"/>
          <w:color w:val="000000" w:themeColor="text1"/>
          <w:sz w:val="22"/>
          <w:szCs w:val="22"/>
        </w:rPr>
        <w:t xml:space="preserve"> </w:t>
      </w:r>
    </w:p>
    <w:p w:rsidR="00671F1B" w:rsidRPr="00EF4855" w:rsidRDefault="00671F1B" w:rsidP="00517962">
      <w:pPr>
        <w:pStyle w:val="NoSpacing"/>
        <w:ind w:left="2160"/>
        <w:jc w:val="both"/>
        <w:rPr>
          <w:rFonts w:ascii="Arial" w:hAnsi="Arial" w:cs="Arial"/>
        </w:rPr>
      </w:pPr>
    </w:p>
    <w:p w:rsidR="00517962" w:rsidRDefault="00544C57" w:rsidP="00517962">
      <w:pPr>
        <w:spacing w:after="0" w:line="240" w:lineRule="auto"/>
        <w:jc w:val="center"/>
        <w:rPr>
          <w:rFonts w:ascii="Arial" w:hAnsi="Arial" w:cs="Arial"/>
          <w:b/>
          <w:sz w:val="20"/>
          <w:szCs w:val="20"/>
        </w:rPr>
      </w:pPr>
      <w:r w:rsidRPr="004F6C55">
        <w:rPr>
          <w:rFonts w:ascii="Arial" w:hAnsi="Arial" w:cs="Arial"/>
          <w:b/>
          <w:sz w:val="20"/>
          <w:szCs w:val="20"/>
        </w:rPr>
        <w:t>T</w:t>
      </w:r>
      <w:r w:rsidR="00671F1B" w:rsidRPr="004F6C55">
        <w:rPr>
          <w:rFonts w:ascii="Arial" w:hAnsi="Arial" w:cs="Arial"/>
          <w:b/>
          <w:sz w:val="20"/>
          <w:szCs w:val="20"/>
        </w:rPr>
        <w:t>able</w:t>
      </w:r>
      <w:r w:rsidRPr="004F6C55">
        <w:rPr>
          <w:rFonts w:ascii="Arial" w:hAnsi="Arial" w:cs="Arial"/>
          <w:b/>
          <w:sz w:val="20"/>
          <w:szCs w:val="20"/>
        </w:rPr>
        <w:t xml:space="preserve"> </w:t>
      </w:r>
      <w:r w:rsidR="000B3DC2">
        <w:rPr>
          <w:rFonts w:ascii="Arial" w:hAnsi="Arial" w:cs="Arial"/>
          <w:b/>
          <w:sz w:val="20"/>
          <w:szCs w:val="20"/>
        </w:rPr>
        <w:t>4</w:t>
      </w:r>
      <w:r w:rsidR="00297A1B" w:rsidRPr="004F6C55">
        <w:rPr>
          <w:rFonts w:ascii="Arial" w:hAnsi="Arial" w:cs="Arial"/>
          <w:b/>
          <w:sz w:val="20"/>
          <w:szCs w:val="20"/>
        </w:rPr>
        <w:t xml:space="preserve"> – Comparison of book and confirmed bank balances</w:t>
      </w:r>
    </w:p>
    <w:p w:rsidR="00517962" w:rsidRDefault="00517962" w:rsidP="00517962">
      <w:pPr>
        <w:spacing w:after="0" w:line="240" w:lineRule="auto"/>
        <w:jc w:val="center"/>
        <w:rPr>
          <w:rFonts w:ascii="Arial" w:hAnsi="Arial" w:cs="Arial"/>
          <w:b/>
          <w:sz w:val="20"/>
          <w:szCs w:val="20"/>
        </w:rPr>
      </w:pPr>
      <w:r>
        <w:rPr>
          <w:rFonts w:ascii="Arial" w:hAnsi="Arial" w:cs="Arial"/>
          <w:b/>
          <w:sz w:val="20"/>
          <w:szCs w:val="20"/>
        </w:rPr>
        <w:t>as of December 31, 2018</w:t>
      </w:r>
    </w:p>
    <w:p w:rsidR="00972DD8" w:rsidRPr="00581CD0" w:rsidRDefault="00972DD8" w:rsidP="00517962">
      <w:pPr>
        <w:spacing w:after="0" w:line="240" w:lineRule="auto"/>
        <w:jc w:val="center"/>
        <w:rPr>
          <w:rFonts w:ascii="Arial" w:hAnsi="Arial" w:cs="Arial"/>
          <w:b/>
          <w:sz w:val="12"/>
          <w:szCs w:val="20"/>
        </w:rPr>
      </w:pPr>
    </w:p>
    <w:tbl>
      <w:tblPr>
        <w:tblW w:w="8715" w:type="dxa"/>
        <w:tblInd w:w="279" w:type="dxa"/>
        <w:tblLook w:val="04A0" w:firstRow="1" w:lastRow="0" w:firstColumn="1" w:lastColumn="0" w:noHBand="0" w:noVBand="1"/>
      </w:tblPr>
      <w:tblGrid>
        <w:gridCol w:w="4059"/>
        <w:gridCol w:w="774"/>
        <w:gridCol w:w="1386"/>
        <w:gridCol w:w="1306"/>
        <w:gridCol w:w="1190"/>
      </w:tblGrid>
      <w:tr w:rsidR="00683461" w:rsidRPr="008D4F39" w:rsidTr="00581CD0">
        <w:trPr>
          <w:trHeight w:val="404"/>
        </w:trPr>
        <w:tc>
          <w:tcPr>
            <w:tcW w:w="4059" w:type="dxa"/>
            <w:tcBorders>
              <w:top w:val="single" w:sz="4" w:space="0" w:color="auto"/>
              <w:bottom w:val="single" w:sz="4" w:space="0" w:color="auto"/>
            </w:tcBorders>
            <w:shd w:val="clear" w:color="auto" w:fill="auto"/>
            <w:noWrap/>
            <w:vAlign w:val="center"/>
            <w:hideMark/>
          </w:tcPr>
          <w:p w:rsidR="00683461" w:rsidRPr="004F6C55" w:rsidRDefault="00683461" w:rsidP="00CE1519">
            <w:pPr>
              <w:spacing w:after="0" w:line="240" w:lineRule="auto"/>
              <w:ind w:hanging="99"/>
              <w:rPr>
                <w:rFonts w:ascii="Arial Narrow" w:eastAsia="Times New Roman" w:hAnsi="Arial Narrow" w:cs="Arial"/>
                <w:b/>
                <w:bCs/>
                <w:sz w:val="17"/>
                <w:szCs w:val="17"/>
                <w:lang w:eastAsia="en-PH"/>
              </w:rPr>
            </w:pPr>
            <w:r w:rsidRPr="004F6C55">
              <w:rPr>
                <w:rFonts w:ascii="Arial Narrow" w:eastAsia="Times New Roman" w:hAnsi="Arial Narrow" w:cs="Arial"/>
                <w:b/>
                <w:bCs/>
                <w:sz w:val="17"/>
                <w:szCs w:val="17"/>
                <w:lang w:val="en-US" w:eastAsia="en-PH"/>
              </w:rPr>
              <w:t>Account Title</w:t>
            </w:r>
          </w:p>
        </w:tc>
        <w:tc>
          <w:tcPr>
            <w:tcW w:w="774" w:type="dxa"/>
            <w:tcBorders>
              <w:top w:val="single" w:sz="4" w:space="0" w:color="auto"/>
              <w:bottom w:val="single" w:sz="4" w:space="0" w:color="auto"/>
            </w:tcBorders>
            <w:shd w:val="clear" w:color="auto" w:fill="auto"/>
            <w:noWrap/>
            <w:vAlign w:val="center"/>
            <w:hideMark/>
          </w:tcPr>
          <w:p w:rsidR="00683461" w:rsidRPr="004F6C55" w:rsidRDefault="00683461" w:rsidP="00517962">
            <w:pPr>
              <w:spacing w:after="0" w:line="240" w:lineRule="auto"/>
              <w:jc w:val="center"/>
              <w:rPr>
                <w:rFonts w:ascii="Arial Narrow" w:eastAsia="Times New Roman" w:hAnsi="Arial Narrow" w:cs="Arial"/>
                <w:b/>
                <w:bCs/>
                <w:sz w:val="17"/>
                <w:szCs w:val="17"/>
                <w:lang w:eastAsia="en-PH"/>
              </w:rPr>
            </w:pPr>
            <w:r w:rsidRPr="004F6C55">
              <w:rPr>
                <w:rFonts w:ascii="Arial Narrow" w:eastAsia="Times New Roman" w:hAnsi="Arial Narrow" w:cs="Arial"/>
                <w:b/>
                <w:bCs/>
                <w:sz w:val="17"/>
                <w:szCs w:val="17"/>
                <w:lang w:eastAsia="en-PH"/>
              </w:rPr>
              <w:t>Account Code</w:t>
            </w:r>
          </w:p>
        </w:tc>
        <w:tc>
          <w:tcPr>
            <w:tcW w:w="1386" w:type="dxa"/>
            <w:tcBorders>
              <w:top w:val="single" w:sz="4" w:space="0" w:color="auto"/>
              <w:bottom w:val="single" w:sz="4" w:space="0" w:color="auto"/>
            </w:tcBorders>
            <w:shd w:val="clear" w:color="auto" w:fill="auto"/>
            <w:vAlign w:val="center"/>
            <w:hideMark/>
          </w:tcPr>
          <w:p w:rsidR="00683461" w:rsidRPr="004F6C55" w:rsidRDefault="00683461" w:rsidP="00517962">
            <w:pPr>
              <w:spacing w:after="0" w:line="240" w:lineRule="auto"/>
              <w:jc w:val="center"/>
              <w:rPr>
                <w:rFonts w:ascii="Arial Narrow" w:eastAsia="Times New Roman" w:hAnsi="Arial Narrow" w:cs="Arial"/>
                <w:b/>
                <w:bCs/>
                <w:sz w:val="17"/>
                <w:szCs w:val="17"/>
                <w:lang w:eastAsia="en-PH"/>
              </w:rPr>
            </w:pPr>
            <w:r w:rsidRPr="004F6C55">
              <w:rPr>
                <w:rFonts w:ascii="Arial Narrow" w:eastAsia="Times New Roman" w:hAnsi="Arial Narrow" w:cs="Arial"/>
                <w:b/>
                <w:bCs/>
                <w:sz w:val="17"/>
                <w:szCs w:val="17"/>
                <w:lang w:eastAsia="en-PH"/>
              </w:rPr>
              <w:t>Balance per Bank Confirmation</w:t>
            </w:r>
          </w:p>
        </w:tc>
        <w:tc>
          <w:tcPr>
            <w:tcW w:w="1306" w:type="dxa"/>
            <w:tcBorders>
              <w:top w:val="single" w:sz="4" w:space="0" w:color="auto"/>
              <w:bottom w:val="single" w:sz="4" w:space="0" w:color="auto"/>
            </w:tcBorders>
            <w:shd w:val="clear" w:color="auto" w:fill="auto"/>
            <w:vAlign w:val="center"/>
            <w:hideMark/>
          </w:tcPr>
          <w:p w:rsidR="00683461" w:rsidRPr="004F6C55" w:rsidRDefault="00683461" w:rsidP="00517962">
            <w:pPr>
              <w:spacing w:after="0" w:line="240" w:lineRule="auto"/>
              <w:jc w:val="center"/>
              <w:rPr>
                <w:rFonts w:ascii="Arial Narrow" w:eastAsia="Times New Roman" w:hAnsi="Arial Narrow" w:cs="Arial"/>
                <w:b/>
                <w:bCs/>
                <w:sz w:val="17"/>
                <w:szCs w:val="17"/>
                <w:lang w:eastAsia="en-PH"/>
              </w:rPr>
            </w:pPr>
            <w:r w:rsidRPr="004F6C55">
              <w:rPr>
                <w:rFonts w:ascii="Arial Narrow" w:eastAsia="Times New Roman" w:hAnsi="Arial Narrow" w:cs="Arial"/>
                <w:b/>
                <w:bCs/>
                <w:sz w:val="17"/>
                <w:szCs w:val="17"/>
                <w:lang w:eastAsia="en-PH"/>
              </w:rPr>
              <w:t>Balance Per Book</w:t>
            </w:r>
          </w:p>
        </w:tc>
        <w:tc>
          <w:tcPr>
            <w:tcW w:w="1190" w:type="dxa"/>
            <w:tcBorders>
              <w:top w:val="single" w:sz="4" w:space="0" w:color="auto"/>
              <w:bottom w:val="single" w:sz="4" w:space="0" w:color="auto"/>
            </w:tcBorders>
            <w:shd w:val="clear" w:color="auto" w:fill="auto"/>
            <w:vAlign w:val="center"/>
            <w:hideMark/>
          </w:tcPr>
          <w:p w:rsidR="00683461" w:rsidRPr="004F6C55" w:rsidRDefault="00683461" w:rsidP="00CE1519">
            <w:pPr>
              <w:spacing w:after="0" w:line="240" w:lineRule="auto"/>
              <w:ind w:right="-42"/>
              <w:jc w:val="right"/>
              <w:rPr>
                <w:rFonts w:ascii="Arial Narrow" w:eastAsia="Times New Roman" w:hAnsi="Arial Narrow" w:cs="Arial"/>
                <w:b/>
                <w:bCs/>
                <w:sz w:val="17"/>
                <w:szCs w:val="17"/>
                <w:lang w:eastAsia="en-PH"/>
              </w:rPr>
            </w:pPr>
            <w:r w:rsidRPr="004F6C55">
              <w:rPr>
                <w:rFonts w:ascii="Arial Narrow" w:eastAsia="Times New Roman" w:hAnsi="Arial Narrow" w:cs="Arial"/>
                <w:b/>
                <w:bCs/>
                <w:sz w:val="17"/>
                <w:szCs w:val="17"/>
                <w:lang w:eastAsia="en-PH"/>
              </w:rPr>
              <w:t>Difference</w:t>
            </w:r>
          </w:p>
        </w:tc>
      </w:tr>
      <w:tr w:rsidR="00683461" w:rsidRPr="008D4F39" w:rsidTr="00581CD0">
        <w:trPr>
          <w:trHeight w:val="143"/>
        </w:trPr>
        <w:tc>
          <w:tcPr>
            <w:tcW w:w="4059" w:type="dxa"/>
            <w:tcBorders>
              <w:top w:val="single" w:sz="4" w:space="0" w:color="auto"/>
            </w:tcBorders>
            <w:shd w:val="clear" w:color="auto" w:fill="auto"/>
            <w:noWrap/>
            <w:vAlign w:val="center"/>
            <w:hideMark/>
          </w:tcPr>
          <w:p w:rsidR="00683461" w:rsidRPr="004F6C55" w:rsidRDefault="00683461" w:rsidP="00CE1519">
            <w:pPr>
              <w:spacing w:after="0" w:line="240" w:lineRule="auto"/>
              <w:ind w:hanging="99"/>
              <w:rPr>
                <w:rFonts w:ascii="Arial Narrow" w:eastAsia="Times New Roman" w:hAnsi="Arial Narrow" w:cs="Arial"/>
                <w:sz w:val="17"/>
                <w:szCs w:val="17"/>
                <w:lang w:eastAsia="en-PH"/>
              </w:rPr>
            </w:pPr>
            <w:r w:rsidRPr="004F6C55">
              <w:rPr>
                <w:rFonts w:ascii="Arial Narrow" w:eastAsia="Times New Roman" w:hAnsi="Arial Narrow" w:cs="Arial"/>
                <w:sz w:val="17"/>
                <w:szCs w:val="17"/>
                <w:lang w:eastAsia="en-PH"/>
              </w:rPr>
              <w:t>CIB-LC-CA- PRIZE FUND-LBP Account No. 3102-1000-17</w:t>
            </w:r>
          </w:p>
        </w:tc>
        <w:tc>
          <w:tcPr>
            <w:tcW w:w="774" w:type="dxa"/>
            <w:tcBorders>
              <w:top w:val="single" w:sz="4" w:space="0" w:color="auto"/>
            </w:tcBorders>
            <w:shd w:val="clear" w:color="auto" w:fill="auto"/>
            <w:noWrap/>
            <w:vAlign w:val="center"/>
            <w:hideMark/>
          </w:tcPr>
          <w:p w:rsidR="00683461" w:rsidRPr="004F6C55" w:rsidRDefault="00683461" w:rsidP="00683461">
            <w:pPr>
              <w:spacing w:after="0" w:line="240" w:lineRule="auto"/>
              <w:jc w:val="center"/>
              <w:rPr>
                <w:rFonts w:ascii="Arial Narrow" w:eastAsia="Times New Roman" w:hAnsi="Arial Narrow" w:cs="Arial"/>
                <w:sz w:val="17"/>
                <w:szCs w:val="17"/>
                <w:lang w:eastAsia="en-PH"/>
              </w:rPr>
            </w:pPr>
            <w:r w:rsidRPr="004F6C55">
              <w:rPr>
                <w:rFonts w:ascii="Arial Narrow" w:eastAsia="Times New Roman" w:hAnsi="Arial Narrow" w:cs="Arial"/>
                <w:sz w:val="17"/>
                <w:szCs w:val="17"/>
                <w:lang w:eastAsia="en-PH"/>
              </w:rPr>
              <w:t>111-J</w:t>
            </w:r>
          </w:p>
        </w:tc>
        <w:tc>
          <w:tcPr>
            <w:tcW w:w="1386" w:type="dxa"/>
            <w:tcBorders>
              <w:top w:val="single" w:sz="4" w:space="0" w:color="auto"/>
            </w:tcBorders>
            <w:shd w:val="clear" w:color="auto" w:fill="auto"/>
            <w:noWrap/>
            <w:vAlign w:val="center"/>
            <w:hideMark/>
          </w:tcPr>
          <w:p w:rsidR="00683461" w:rsidRPr="004F6C55" w:rsidRDefault="00683461" w:rsidP="00683461">
            <w:pPr>
              <w:spacing w:after="0" w:line="240" w:lineRule="auto"/>
              <w:jc w:val="right"/>
              <w:rPr>
                <w:rFonts w:ascii="Arial Narrow" w:eastAsia="Times New Roman" w:hAnsi="Arial Narrow" w:cs="Arial"/>
                <w:sz w:val="17"/>
                <w:szCs w:val="17"/>
                <w:lang w:eastAsia="en-PH"/>
              </w:rPr>
            </w:pPr>
            <w:r w:rsidRPr="004F6C55">
              <w:rPr>
                <w:rFonts w:ascii="Arial Narrow" w:eastAsia="Times New Roman" w:hAnsi="Arial Narrow" w:cs="Arial"/>
                <w:sz w:val="17"/>
                <w:szCs w:val="17"/>
                <w:lang w:eastAsia="en-PH"/>
              </w:rPr>
              <w:t>5,593,476,101.41</w:t>
            </w:r>
          </w:p>
        </w:tc>
        <w:tc>
          <w:tcPr>
            <w:tcW w:w="1306" w:type="dxa"/>
            <w:tcBorders>
              <w:top w:val="single" w:sz="4" w:space="0" w:color="auto"/>
            </w:tcBorders>
            <w:shd w:val="clear" w:color="auto" w:fill="auto"/>
            <w:noWrap/>
            <w:vAlign w:val="center"/>
            <w:hideMark/>
          </w:tcPr>
          <w:p w:rsidR="00683461" w:rsidRPr="004F6C55" w:rsidRDefault="00683461" w:rsidP="00683461">
            <w:pPr>
              <w:spacing w:after="0" w:line="240" w:lineRule="auto"/>
              <w:jc w:val="right"/>
              <w:rPr>
                <w:rFonts w:ascii="Arial Narrow" w:eastAsia="Times New Roman" w:hAnsi="Arial Narrow" w:cs="Arial"/>
                <w:color w:val="000000"/>
                <w:sz w:val="17"/>
                <w:szCs w:val="17"/>
                <w:lang w:eastAsia="en-PH"/>
              </w:rPr>
            </w:pPr>
            <w:r w:rsidRPr="004F6C55">
              <w:rPr>
                <w:rFonts w:ascii="Arial Narrow" w:eastAsia="Times New Roman" w:hAnsi="Arial Narrow" w:cs="Arial"/>
                <w:color w:val="000000"/>
                <w:sz w:val="17"/>
                <w:szCs w:val="17"/>
                <w:lang w:eastAsia="en-PH"/>
              </w:rPr>
              <w:t>5,577,780,666.82</w:t>
            </w:r>
          </w:p>
        </w:tc>
        <w:tc>
          <w:tcPr>
            <w:tcW w:w="1190" w:type="dxa"/>
            <w:tcBorders>
              <w:top w:val="single" w:sz="4" w:space="0" w:color="auto"/>
            </w:tcBorders>
            <w:shd w:val="clear" w:color="auto" w:fill="auto"/>
            <w:noWrap/>
            <w:vAlign w:val="center"/>
            <w:hideMark/>
          </w:tcPr>
          <w:p w:rsidR="00683461" w:rsidRPr="004F6C55" w:rsidRDefault="00683461" w:rsidP="00CE1519">
            <w:pPr>
              <w:spacing w:after="0" w:line="240" w:lineRule="auto"/>
              <w:ind w:right="-42"/>
              <w:jc w:val="right"/>
              <w:rPr>
                <w:rFonts w:ascii="Arial Narrow" w:eastAsia="Times New Roman" w:hAnsi="Arial Narrow" w:cs="Arial"/>
                <w:color w:val="000000"/>
                <w:sz w:val="17"/>
                <w:szCs w:val="17"/>
                <w:lang w:eastAsia="en-PH"/>
              </w:rPr>
            </w:pPr>
            <w:r w:rsidRPr="004F6C55">
              <w:rPr>
                <w:rFonts w:ascii="Arial Narrow" w:eastAsia="Times New Roman" w:hAnsi="Arial Narrow" w:cs="Arial"/>
                <w:color w:val="000000"/>
                <w:sz w:val="17"/>
                <w:szCs w:val="17"/>
                <w:lang w:eastAsia="en-PH"/>
              </w:rPr>
              <w:t>15,695,434.59</w:t>
            </w:r>
          </w:p>
        </w:tc>
      </w:tr>
      <w:tr w:rsidR="00683461" w:rsidRPr="008D4F39" w:rsidTr="00581CD0">
        <w:trPr>
          <w:trHeight w:val="170"/>
        </w:trPr>
        <w:tc>
          <w:tcPr>
            <w:tcW w:w="4059" w:type="dxa"/>
            <w:shd w:val="clear" w:color="auto" w:fill="auto"/>
            <w:noWrap/>
            <w:vAlign w:val="center"/>
            <w:hideMark/>
          </w:tcPr>
          <w:p w:rsidR="00683461" w:rsidRPr="004F6C55" w:rsidRDefault="00683461" w:rsidP="00CE1519">
            <w:pPr>
              <w:spacing w:after="0" w:line="240" w:lineRule="auto"/>
              <w:ind w:hanging="99"/>
              <w:rPr>
                <w:rFonts w:ascii="Arial Narrow" w:eastAsia="Times New Roman" w:hAnsi="Arial Narrow" w:cs="Arial"/>
                <w:sz w:val="17"/>
                <w:szCs w:val="17"/>
                <w:lang w:eastAsia="en-PH"/>
              </w:rPr>
            </w:pPr>
            <w:r w:rsidRPr="004F6C55">
              <w:rPr>
                <w:rFonts w:ascii="Arial Narrow" w:eastAsia="Times New Roman" w:hAnsi="Arial Narrow" w:cs="Arial"/>
                <w:sz w:val="17"/>
                <w:szCs w:val="17"/>
                <w:lang w:eastAsia="en-PH"/>
              </w:rPr>
              <w:t>CIB-LC-CA- CHARITY FUND-LBP Account No.3102-1000-25</w:t>
            </w:r>
          </w:p>
        </w:tc>
        <w:tc>
          <w:tcPr>
            <w:tcW w:w="774" w:type="dxa"/>
            <w:shd w:val="clear" w:color="auto" w:fill="auto"/>
            <w:noWrap/>
            <w:vAlign w:val="center"/>
            <w:hideMark/>
          </w:tcPr>
          <w:p w:rsidR="00683461" w:rsidRPr="004F6C55" w:rsidRDefault="00683461" w:rsidP="00683461">
            <w:pPr>
              <w:spacing w:after="0" w:line="240" w:lineRule="auto"/>
              <w:jc w:val="center"/>
              <w:rPr>
                <w:rFonts w:ascii="Arial Narrow" w:eastAsia="Times New Roman" w:hAnsi="Arial Narrow" w:cs="Arial"/>
                <w:sz w:val="17"/>
                <w:szCs w:val="17"/>
                <w:lang w:eastAsia="en-PH"/>
              </w:rPr>
            </w:pPr>
            <w:r w:rsidRPr="004F6C55">
              <w:rPr>
                <w:rFonts w:ascii="Arial Narrow" w:eastAsia="Times New Roman" w:hAnsi="Arial Narrow" w:cs="Arial"/>
                <w:sz w:val="17"/>
                <w:szCs w:val="17"/>
                <w:lang w:eastAsia="en-PH"/>
              </w:rPr>
              <w:t>111-L</w:t>
            </w:r>
          </w:p>
        </w:tc>
        <w:tc>
          <w:tcPr>
            <w:tcW w:w="1386" w:type="dxa"/>
            <w:shd w:val="clear" w:color="auto" w:fill="auto"/>
            <w:noWrap/>
            <w:vAlign w:val="center"/>
            <w:hideMark/>
          </w:tcPr>
          <w:p w:rsidR="00683461" w:rsidRPr="004F6C55" w:rsidRDefault="00683461" w:rsidP="00683461">
            <w:pPr>
              <w:spacing w:after="0" w:line="240" w:lineRule="auto"/>
              <w:jc w:val="right"/>
              <w:rPr>
                <w:rFonts w:ascii="Arial Narrow" w:eastAsia="Times New Roman" w:hAnsi="Arial Narrow" w:cs="Arial"/>
                <w:sz w:val="17"/>
                <w:szCs w:val="17"/>
                <w:lang w:eastAsia="en-PH"/>
              </w:rPr>
            </w:pPr>
            <w:r w:rsidRPr="004F6C55">
              <w:rPr>
                <w:rFonts w:ascii="Arial Narrow" w:eastAsia="Times New Roman" w:hAnsi="Arial Narrow" w:cs="Arial"/>
                <w:sz w:val="17"/>
                <w:szCs w:val="17"/>
                <w:lang w:eastAsia="en-PH"/>
              </w:rPr>
              <w:t>788,351,660.28</w:t>
            </w:r>
          </w:p>
        </w:tc>
        <w:tc>
          <w:tcPr>
            <w:tcW w:w="1306" w:type="dxa"/>
            <w:shd w:val="clear" w:color="auto" w:fill="auto"/>
            <w:noWrap/>
            <w:vAlign w:val="center"/>
            <w:hideMark/>
          </w:tcPr>
          <w:p w:rsidR="00683461" w:rsidRPr="004F6C55" w:rsidRDefault="00683461" w:rsidP="00683461">
            <w:pPr>
              <w:spacing w:after="0" w:line="240" w:lineRule="auto"/>
              <w:jc w:val="right"/>
              <w:rPr>
                <w:rFonts w:ascii="Arial Narrow" w:eastAsia="Times New Roman" w:hAnsi="Arial Narrow" w:cs="Arial"/>
                <w:color w:val="000000"/>
                <w:sz w:val="17"/>
                <w:szCs w:val="17"/>
                <w:lang w:eastAsia="en-PH"/>
              </w:rPr>
            </w:pPr>
            <w:r w:rsidRPr="004F6C55">
              <w:rPr>
                <w:rFonts w:ascii="Arial Narrow" w:eastAsia="Times New Roman" w:hAnsi="Arial Narrow" w:cs="Arial"/>
                <w:color w:val="000000"/>
                <w:sz w:val="17"/>
                <w:szCs w:val="17"/>
                <w:lang w:eastAsia="en-PH"/>
              </w:rPr>
              <w:t>363,348,022.26</w:t>
            </w:r>
          </w:p>
        </w:tc>
        <w:tc>
          <w:tcPr>
            <w:tcW w:w="1190" w:type="dxa"/>
            <w:shd w:val="clear" w:color="auto" w:fill="auto"/>
            <w:noWrap/>
            <w:vAlign w:val="center"/>
            <w:hideMark/>
          </w:tcPr>
          <w:p w:rsidR="00683461" w:rsidRPr="004F6C55" w:rsidRDefault="00683461" w:rsidP="00CE1519">
            <w:pPr>
              <w:spacing w:after="0" w:line="240" w:lineRule="auto"/>
              <w:ind w:right="-42"/>
              <w:jc w:val="right"/>
              <w:rPr>
                <w:rFonts w:ascii="Arial Narrow" w:eastAsia="Times New Roman" w:hAnsi="Arial Narrow" w:cs="Arial"/>
                <w:color w:val="000000"/>
                <w:sz w:val="17"/>
                <w:szCs w:val="17"/>
                <w:lang w:eastAsia="en-PH"/>
              </w:rPr>
            </w:pPr>
            <w:r w:rsidRPr="004F6C55">
              <w:rPr>
                <w:rFonts w:ascii="Arial Narrow" w:eastAsia="Times New Roman" w:hAnsi="Arial Narrow" w:cs="Arial"/>
                <w:color w:val="000000"/>
                <w:sz w:val="17"/>
                <w:szCs w:val="17"/>
                <w:lang w:eastAsia="en-PH"/>
              </w:rPr>
              <w:t>425,003,638.02</w:t>
            </w:r>
          </w:p>
        </w:tc>
      </w:tr>
      <w:tr w:rsidR="00683461" w:rsidRPr="008D4F39" w:rsidTr="00581CD0">
        <w:trPr>
          <w:trHeight w:val="170"/>
        </w:trPr>
        <w:tc>
          <w:tcPr>
            <w:tcW w:w="4059" w:type="dxa"/>
            <w:shd w:val="clear" w:color="auto" w:fill="auto"/>
            <w:noWrap/>
            <w:vAlign w:val="center"/>
            <w:hideMark/>
          </w:tcPr>
          <w:p w:rsidR="00683461" w:rsidRPr="004F6C55" w:rsidRDefault="00683461" w:rsidP="00CE1519">
            <w:pPr>
              <w:spacing w:after="0" w:line="240" w:lineRule="auto"/>
              <w:ind w:hanging="99"/>
              <w:rPr>
                <w:rFonts w:ascii="Arial Narrow" w:eastAsia="Times New Roman" w:hAnsi="Arial Narrow" w:cs="Arial"/>
                <w:sz w:val="17"/>
                <w:szCs w:val="17"/>
                <w:lang w:eastAsia="en-PH"/>
              </w:rPr>
            </w:pPr>
            <w:r w:rsidRPr="004F6C55">
              <w:rPr>
                <w:rFonts w:ascii="Arial Narrow" w:eastAsia="Times New Roman" w:hAnsi="Arial Narrow" w:cs="Arial"/>
                <w:sz w:val="17"/>
                <w:szCs w:val="17"/>
                <w:lang w:eastAsia="en-PH"/>
              </w:rPr>
              <w:t>CIB-LC-CA-CHARITY FUND-LBP Account No.3102-1005-56</w:t>
            </w:r>
          </w:p>
        </w:tc>
        <w:tc>
          <w:tcPr>
            <w:tcW w:w="774" w:type="dxa"/>
            <w:shd w:val="clear" w:color="auto" w:fill="auto"/>
            <w:noWrap/>
            <w:vAlign w:val="center"/>
            <w:hideMark/>
          </w:tcPr>
          <w:p w:rsidR="00683461" w:rsidRPr="004F6C55" w:rsidRDefault="00683461" w:rsidP="00683461">
            <w:pPr>
              <w:spacing w:after="0" w:line="240" w:lineRule="auto"/>
              <w:jc w:val="center"/>
              <w:rPr>
                <w:rFonts w:ascii="Arial Narrow" w:eastAsia="Times New Roman" w:hAnsi="Arial Narrow" w:cs="Arial"/>
                <w:sz w:val="17"/>
                <w:szCs w:val="17"/>
                <w:lang w:eastAsia="en-PH"/>
              </w:rPr>
            </w:pPr>
            <w:r w:rsidRPr="004F6C55">
              <w:rPr>
                <w:rFonts w:ascii="Arial Narrow" w:eastAsia="Times New Roman" w:hAnsi="Arial Narrow" w:cs="Arial"/>
                <w:sz w:val="17"/>
                <w:szCs w:val="17"/>
                <w:lang w:eastAsia="en-PH"/>
              </w:rPr>
              <w:t>111-U</w:t>
            </w:r>
          </w:p>
        </w:tc>
        <w:tc>
          <w:tcPr>
            <w:tcW w:w="1386" w:type="dxa"/>
            <w:shd w:val="clear" w:color="auto" w:fill="auto"/>
            <w:noWrap/>
            <w:vAlign w:val="center"/>
            <w:hideMark/>
          </w:tcPr>
          <w:p w:rsidR="00683461" w:rsidRPr="004F6C55" w:rsidRDefault="00683461" w:rsidP="00683461">
            <w:pPr>
              <w:spacing w:after="0" w:line="240" w:lineRule="auto"/>
              <w:jc w:val="right"/>
              <w:rPr>
                <w:rFonts w:ascii="Arial Narrow" w:eastAsia="Times New Roman" w:hAnsi="Arial Narrow" w:cs="Arial"/>
                <w:sz w:val="17"/>
                <w:szCs w:val="17"/>
                <w:lang w:eastAsia="en-PH"/>
              </w:rPr>
            </w:pPr>
            <w:r w:rsidRPr="004F6C55">
              <w:rPr>
                <w:rFonts w:ascii="Arial Narrow" w:eastAsia="Times New Roman" w:hAnsi="Arial Narrow" w:cs="Arial"/>
                <w:sz w:val="17"/>
                <w:szCs w:val="17"/>
                <w:lang w:eastAsia="en-PH"/>
              </w:rPr>
              <w:t>745,385,996.19</w:t>
            </w:r>
          </w:p>
        </w:tc>
        <w:tc>
          <w:tcPr>
            <w:tcW w:w="1306" w:type="dxa"/>
            <w:shd w:val="clear" w:color="auto" w:fill="auto"/>
            <w:noWrap/>
            <w:vAlign w:val="center"/>
            <w:hideMark/>
          </w:tcPr>
          <w:p w:rsidR="00683461" w:rsidRPr="004F6C55" w:rsidRDefault="00683461" w:rsidP="00683461">
            <w:pPr>
              <w:spacing w:after="0" w:line="240" w:lineRule="auto"/>
              <w:jc w:val="right"/>
              <w:rPr>
                <w:rFonts w:ascii="Arial Narrow" w:eastAsia="Times New Roman" w:hAnsi="Arial Narrow" w:cs="Arial"/>
                <w:color w:val="000000"/>
                <w:sz w:val="17"/>
                <w:szCs w:val="17"/>
                <w:lang w:eastAsia="en-PH"/>
              </w:rPr>
            </w:pPr>
            <w:r w:rsidRPr="004F6C55">
              <w:rPr>
                <w:rFonts w:ascii="Arial Narrow" w:eastAsia="Times New Roman" w:hAnsi="Arial Narrow" w:cs="Arial"/>
                <w:color w:val="000000"/>
                <w:sz w:val="17"/>
                <w:szCs w:val="17"/>
                <w:lang w:eastAsia="en-PH"/>
              </w:rPr>
              <w:t>730,718,558.16</w:t>
            </w:r>
          </w:p>
        </w:tc>
        <w:tc>
          <w:tcPr>
            <w:tcW w:w="1190" w:type="dxa"/>
            <w:shd w:val="clear" w:color="auto" w:fill="auto"/>
            <w:noWrap/>
            <w:vAlign w:val="center"/>
            <w:hideMark/>
          </w:tcPr>
          <w:p w:rsidR="00683461" w:rsidRPr="004F6C55" w:rsidRDefault="00683461" w:rsidP="00CE1519">
            <w:pPr>
              <w:spacing w:after="0" w:line="240" w:lineRule="auto"/>
              <w:ind w:right="-42"/>
              <w:jc w:val="right"/>
              <w:rPr>
                <w:rFonts w:ascii="Arial Narrow" w:eastAsia="Times New Roman" w:hAnsi="Arial Narrow" w:cs="Arial"/>
                <w:color w:val="000000"/>
                <w:sz w:val="17"/>
                <w:szCs w:val="17"/>
                <w:lang w:eastAsia="en-PH"/>
              </w:rPr>
            </w:pPr>
            <w:r w:rsidRPr="004F6C55">
              <w:rPr>
                <w:rFonts w:ascii="Arial Narrow" w:eastAsia="Times New Roman" w:hAnsi="Arial Narrow" w:cs="Arial"/>
                <w:color w:val="000000"/>
                <w:sz w:val="17"/>
                <w:szCs w:val="17"/>
                <w:lang w:eastAsia="en-PH"/>
              </w:rPr>
              <w:t>14,667,438.03</w:t>
            </w:r>
          </w:p>
        </w:tc>
      </w:tr>
      <w:tr w:rsidR="00683461" w:rsidRPr="008D4F39" w:rsidTr="00581CD0">
        <w:trPr>
          <w:trHeight w:val="152"/>
        </w:trPr>
        <w:tc>
          <w:tcPr>
            <w:tcW w:w="4059" w:type="dxa"/>
            <w:shd w:val="clear" w:color="auto" w:fill="auto"/>
            <w:noWrap/>
            <w:vAlign w:val="center"/>
            <w:hideMark/>
          </w:tcPr>
          <w:p w:rsidR="00683461" w:rsidRPr="004F6C55" w:rsidRDefault="00683461" w:rsidP="00CE1519">
            <w:pPr>
              <w:spacing w:after="0" w:line="240" w:lineRule="auto"/>
              <w:ind w:hanging="99"/>
              <w:rPr>
                <w:rFonts w:ascii="Arial Narrow" w:eastAsia="Times New Roman" w:hAnsi="Arial Narrow" w:cs="Arial"/>
                <w:sz w:val="17"/>
                <w:szCs w:val="17"/>
                <w:lang w:eastAsia="en-PH"/>
              </w:rPr>
            </w:pPr>
            <w:r w:rsidRPr="004F6C55">
              <w:rPr>
                <w:rFonts w:ascii="Arial Narrow" w:eastAsia="Times New Roman" w:hAnsi="Arial Narrow" w:cs="Arial"/>
                <w:sz w:val="17"/>
                <w:szCs w:val="17"/>
                <w:lang w:eastAsia="en-PH"/>
              </w:rPr>
              <w:t>CIB-LC-CA-PRIZE FUND-LBP Account No.3102-1006-10</w:t>
            </w:r>
          </w:p>
        </w:tc>
        <w:tc>
          <w:tcPr>
            <w:tcW w:w="774" w:type="dxa"/>
            <w:shd w:val="clear" w:color="auto" w:fill="auto"/>
            <w:noWrap/>
            <w:vAlign w:val="center"/>
            <w:hideMark/>
          </w:tcPr>
          <w:p w:rsidR="00683461" w:rsidRPr="004F6C55" w:rsidRDefault="00683461" w:rsidP="00683461">
            <w:pPr>
              <w:spacing w:after="0" w:line="240" w:lineRule="auto"/>
              <w:jc w:val="center"/>
              <w:rPr>
                <w:rFonts w:ascii="Arial Narrow" w:eastAsia="Times New Roman" w:hAnsi="Arial Narrow" w:cs="Arial"/>
                <w:sz w:val="17"/>
                <w:szCs w:val="17"/>
                <w:lang w:eastAsia="en-PH"/>
              </w:rPr>
            </w:pPr>
            <w:r w:rsidRPr="004F6C55">
              <w:rPr>
                <w:rFonts w:ascii="Arial Narrow" w:eastAsia="Times New Roman" w:hAnsi="Arial Narrow" w:cs="Arial"/>
                <w:sz w:val="17"/>
                <w:szCs w:val="17"/>
                <w:lang w:eastAsia="en-PH"/>
              </w:rPr>
              <w:t>111-R1</w:t>
            </w:r>
          </w:p>
        </w:tc>
        <w:tc>
          <w:tcPr>
            <w:tcW w:w="1386" w:type="dxa"/>
            <w:shd w:val="clear" w:color="auto" w:fill="auto"/>
            <w:noWrap/>
            <w:vAlign w:val="center"/>
            <w:hideMark/>
          </w:tcPr>
          <w:p w:rsidR="00683461" w:rsidRPr="004F6C55" w:rsidRDefault="00683461" w:rsidP="00683461">
            <w:pPr>
              <w:spacing w:after="0" w:line="240" w:lineRule="auto"/>
              <w:jc w:val="right"/>
              <w:rPr>
                <w:rFonts w:ascii="Arial Narrow" w:eastAsia="Times New Roman" w:hAnsi="Arial Narrow" w:cs="Arial"/>
                <w:sz w:val="17"/>
                <w:szCs w:val="17"/>
                <w:lang w:eastAsia="en-PH"/>
              </w:rPr>
            </w:pPr>
            <w:r w:rsidRPr="004F6C55">
              <w:rPr>
                <w:rFonts w:ascii="Arial Narrow" w:eastAsia="Times New Roman" w:hAnsi="Arial Narrow" w:cs="Arial"/>
                <w:sz w:val="17"/>
                <w:szCs w:val="17"/>
                <w:lang w:eastAsia="en-PH"/>
              </w:rPr>
              <w:t>95,050,406.94</w:t>
            </w:r>
          </w:p>
        </w:tc>
        <w:tc>
          <w:tcPr>
            <w:tcW w:w="1306" w:type="dxa"/>
            <w:shd w:val="clear" w:color="auto" w:fill="auto"/>
            <w:noWrap/>
            <w:vAlign w:val="center"/>
            <w:hideMark/>
          </w:tcPr>
          <w:p w:rsidR="00683461" w:rsidRPr="004F6C55" w:rsidRDefault="00683461" w:rsidP="00683461">
            <w:pPr>
              <w:spacing w:after="0" w:line="240" w:lineRule="auto"/>
              <w:jc w:val="right"/>
              <w:rPr>
                <w:rFonts w:ascii="Arial Narrow" w:eastAsia="Times New Roman" w:hAnsi="Arial Narrow" w:cs="Arial"/>
                <w:color w:val="000000"/>
                <w:sz w:val="17"/>
                <w:szCs w:val="17"/>
                <w:lang w:eastAsia="en-PH"/>
              </w:rPr>
            </w:pPr>
            <w:r w:rsidRPr="004F6C55">
              <w:rPr>
                <w:rFonts w:ascii="Arial Narrow" w:eastAsia="Times New Roman" w:hAnsi="Arial Narrow" w:cs="Arial"/>
                <w:color w:val="000000"/>
                <w:sz w:val="17"/>
                <w:szCs w:val="17"/>
                <w:lang w:eastAsia="en-PH"/>
              </w:rPr>
              <w:t>90,687,035.16</w:t>
            </w:r>
          </w:p>
        </w:tc>
        <w:tc>
          <w:tcPr>
            <w:tcW w:w="1190" w:type="dxa"/>
            <w:shd w:val="clear" w:color="auto" w:fill="auto"/>
            <w:noWrap/>
            <w:vAlign w:val="center"/>
            <w:hideMark/>
          </w:tcPr>
          <w:p w:rsidR="00683461" w:rsidRPr="004F6C55" w:rsidRDefault="00683461" w:rsidP="00CE1519">
            <w:pPr>
              <w:spacing w:after="0" w:line="240" w:lineRule="auto"/>
              <w:ind w:right="-42"/>
              <w:jc w:val="right"/>
              <w:rPr>
                <w:rFonts w:ascii="Arial Narrow" w:eastAsia="Times New Roman" w:hAnsi="Arial Narrow" w:cs="Arial"/>
                <w:color w:val="000000"/>
                <w:sz w:val="17"/>
                <w:szCs w:val="17"/>
                <w:lang w:eastAsia="en-PH"/>
              </w:rPr>
            </w:pPr>
            <w:r w:rsidRPr="004F6C55">
              <w:rPr>
                <w:rFonts w:ascii="Arial Narrow" w:eastAsia="Times New Roman" w:hAnsi="Arial Narrow" w:cs="Arial"/>
                <w:color w:val="000000"/>
                <w:sz w:val="17"/>
                <w:szCs w:val="17"/>
                <w:lang w:eastAsia="en-PH"/>
              </w:rPr>
              <w:t>4,363,371.78</w:t>
            </w:r>
          </w:p>
        </w:tc>
      </w:tr>
      <w:tr w:rsidR="00683461" w:rsidRPr="008D4F39" w:rsidTr="00581CD0">
        <w:trPr>
          <w:trHeight w:val="161"/>
        </w:trPr>
        <w:tc>
          <w:tcPr>
            <w:tcW w:w="4059" w:type="dxa"/>
            <w:shd w:val="clear" w:color="auto" w:fill="auto"/>
            <w:noWrap/>
            <w:vAlign w:val="center"/>
            <w:hideMark/>
          </w:tcPr>
          <w:p w:rsidR="00683461" w:rsidRPr="004F6C55" w:rsidRDefault="00683461" w:rsidP="00CE1519">
            <w:pPr>
              <w:spacing w:after="0" w:line="240" w:lineRule="auto"/>
              <w:ind w:hanging="99"/>
              <w:rPr>
                <w:rFonts w:ascii="Arial Narrow" w:eastAsia="Times New Roman" w:hAnsi="Arial Narrow" w:cs="Arial"/>
                <w:sz w:val="17"/>
                <w:szCs w:val="17"/>
                <w:lang w:val="fr-CA" w:eastAsia="en-PH"/>
              </w:rPr>
            </w:pPr>
            <w:r w:rsidRPr="004F6C55">
              <w:rPr>
                <w:rFonts w:ascii="Arial Narrow" w:eastAsia="Times New Roman" w:hAnsi="Arial Narrow" w:cs="Arial"/>
                <w:sz w:val="17"/>
                <w:szCs w:val="17"/>
                <w:lang w:val="fr-CA" w:eastAsia="en-PH"/>
              </w:rPr>
              <w:t xml:space="preserve">CIB-LC-CA- AMBULANCE-LBP </w:t>
            </w:r>
            <w:r w:rsidRPr="004F6C55">
              <w:rPr>
                <w:rFonts w:ascii="Arial Narrow" w:eastAsia="Times New Roman" w:hAnsi="Arial Narrow" w:cs="Arial"/>
                <w:sz w:val="17"/>
                <w:szCs w:val="17"/>
                <w:lang w:eastAsia="en-PH"/>
              </w:rPr>
              <w:t>Account No.3101-0352-03</w:t>
            </w:r>
          </w:p>
        </w:tc>
        <w:tc>
          <w:tcPr>
            <w:tcW w:w="774" w:type="dxa"/>
            <w:shd w:val="clear" w:color="auto" w:fill="auto"/>
            <w:noWrap/>
            <w:vAlign w:val="center"/>
            <w:hideMark/>
          </w:tcPr>
          <w:p w:rsidR="00683461" w:rsidRPr="004F6C55" w:rsidRDefault="00683461" w:rsidP="00683461">
            <w:pPr>
              <w:spacing w:after="0" w:line="240" w:lineRule="auto"/>
              <w:jc w:val="center"/>
              <w:rPr>
                <w:rFonts w:ascii="Arial Narrow" w:eastAsia="Times New Roman" w:hAnsi="Arial Narrow" w:cs="Arial"/>
                <w:sz w:val="17"/>
                <w:szCs w:val="17"/>
                <w:lang w:eastAsia="en-PH"/>
              </w:rPr>
            </w:pPr>
            <w:r w:rsidRPr="004F6C55">
              <w:rPr>
                <w:rFonts w:ascii="Arial Narrow" w:eastAsia="Times New Roman" w:hAnsi="Arial Narrow" w:cs="Arial"/>
                <w:sz w:val="17"/>
                <w:szCs w:val="17"/>
                <w:lang w:eastAsia="en-PH"/>
              </w:rPr>
              <w:t>112-R</w:t>
            </w:r>
          </w:p>
        </w:tc>
        <w:tc>
          <w:tcPr>
            <w:tcW w:w="1386" w:type="dxa"/>
            <w:shd w:val="clear" w:color="auto" w:fill="auto"/>
            <w:noWrap/>
            <w:vAlign w:val="center"/>
            <w:hideMark/>
          </w:tcPr>
          <w:p w:rsidR="00683461" w:rsidRPr="004F6C55" w:rsidRDefault="00683461" w:rsidP="00683461">
            <w:pPr>
              <w:spacing w:after="0" w:line="240" w:lineRule="auto"/>
              <w:jc w:val="right"/>
              <w:rPr>
                <w:rFonts w:ascii="Arial Narrow" w:eastAsia="Times New Roman" w:hAnsi="Arial Narrow" w:cs="Arial"/>
                <w:sz w:val="17"/>
                <w:szCs w:val="17"/>
                <w:lang w:eastAsia="en-PH"/>
              </w:rPr>
            </w:pPr>
            <w:r w:rsidRPr="004F6C55">
              <w:rPr>
                <w:rFonts w:ascii="Arial Narrow" w:eastAsia="Times New Roman" w:hAnsi="Arial Narrow" w:cs="Arial"/>
                <w:sz w:val="17"/>
                <w:szCs w:val="17"/>
                <w:lang w:eastAsia="en-PH"/>
              </w:rPr>
              <w:t>152,233.85</w:t>
            </w:r>
          </w:p>
        </w:tc>
        <w:tc>
          <w:tcPr>
            <w:tcW w:w="1306" w:type="dxa"/>
            <w:shd w:val="clear" w:color="auto" w:fill="auto"/>
            <w:noWrap/>
            <w:vAlign w:val="center"/>
            <w:hideMark/>
          </w:tcPr>
          <w:p w:rsidR="00683461" w:rsidRPr="004F6C55" w:rsidRDefault="00683461" w:rsidP="00683461">
            <w:pPr>
              <w:spacing w:after="0" w:line="240" w:lineRule="auto"/>
              <w:jc w:val="right"/>
              <w:rPr>
                <w:rFonts w:ascii="Arial Narrow" w:eastAsia="Times New Roman" w:hAnsi="Arial Narrow" w:cs="Arial"/>
                <w:color w:val="000000"/>
                <w:sz w:val="17"/>
                <w:szCs w:val="17"/>
                <w:lang w:eastAsia="en-PH"/>
              </w:rPr>
            </w:pPr>
            <w:r w:rsidRPr="004F6C55">
              <w:rPr>
                <w:rFonts w:ascii="Arial Narrow" w:eastAsia="Times New Roman" w:hAnsi="Arial Narrow" w:cs="Arial"/>
                <w:color w:val="000000"/>
                <w:sz w:val="17"/>
                <w:szCs w:val="17"/>
                <w:lang w:eastAsia="en-PH"/>
              </w:rPr>
              <w:t>152,171.62</w:t>
            </w:r>
          </w:p>
        </w:tc>
        <w:tc>
          <w:tcPr>
            <w:tcW w:w="1190" w:type="dxa"/>
            <w:shd w:val="clear" w:color="auto" w:fill="auto"/>
            <w:noWrap/>
            <w:vAlign w:val="center"/>
            <w:hideMark/>
          </w:tcPr>
          <w:p w:rsidR="00683461" w:rsidRPr="004F6C55" w:rsidRDefault="00683461" w:rsidP="00CE1519">
            <w:pPr>
              <w:spacing w:after="0" w:line="240" w:lineRule="auto"/>
              <w:ind w:right="-42"/>
              <w:jc w:val="right"/>
              <w:rPr>
                <w:rFonts w:ascii="Arial Narrow" w:eastAsia="Times New Roman" w:hAnsi="Arial Narrow" w:cs="Arial"/>
                <w:color w:val="000000"/>
                <w:sz w:val="17"/>
                <w:szCs w:val="17"/>
                <w:lang w:eastAsia="en-PH"/>
              </w:rPr>
            </w:pPr>
            <w:r w:rsidRPr="004F6C55">
              <w:rPr>
                <w:rFonts w:ascii="Arial Narrow" w:eastAsia="Times New Roman" w:hAnsi="Arial Narrow" w:cs="Arial"/>
                <w:color w:val="000000"/>
                <w:sz w:val="17"/>
                <w:szCs w:val="17"/>
                <w:lang w:eastAsia="en-PH"/>
              </w:rPr>
              <w:t>62.23</w:t>
            </w:r>
          </w:p>
        </w:tc>
      </w:tr>
      <w:tr w:rsidR="00683461" w:rsidRPr="008D4F39" w:rsidTr="00581CD0">
        <w:trPr>
          <w:trHeight w:val="170"/>
        </w:trPr>
        <w:tc>
          <w:tcPr>
            <w:tcW w:w="4059" w:type="dxa"/>
            <w:tcBorders>
              <w:bottom w:val="single" w:sz="4" w:space="0" w:color="auto"/>
            </w:tcBorders>
            <w:shd w:val="clear" w:color="auto" w:fill="auto"/>
            <w:noWrap/>
            <w:vAlign w:val="center"/>
            <w:hideMark/>
          </w:tcPr>
          <w:p w:rsidR="00683461" w:rsidRPr="004F6C55" w:rsidRDefault="00683461" w:rsidP="00CE1519">
            <w:pPr>
              <w:spacing w:after="0" w:line="240" w:lineRule="auto"/>
              <w:ind w:hanging="99"/>
              <w:rPr>
                <w:rFonts w:ascii="Arial Narrow" w:eastAsia="Times New Roman" w:hAnsi="Arial Narrow" w:cs="Arial"/>
                <w:sz w:val="17"/>
                <w:szCs w:val="17"/>
                <w:lang w:eastAsia="en-PH"/>
              </w:rPr>
            </w:pPr>
            <w:r w:rsidRPr="004F6C55">
              <w:rPr>
                <w:rFonts w:ascii="Arial Narrow" w:eastAsia="Times New Roman" w:hAnsi="Arial Narrow" w:cs="Arial"/>
                <w:sz w:val="17"/>
                <w:szCs w:val="17"/>
                <w:lang w:eastAsia="en-PH"/>
              </w:rPr>
              <w:t xml:space="preserve">CIB-LC-CA- PRIZE FUND-PNB Account No.374394100016 </w:t>
            </w:r>
          </w:p>
        </w:tc>
        <w:tc>
          <w:tcPr>
            <w:tcW w:w="774" w:type="dxa"/>
            <w:tcBorders>
              <w:bottom w:val="single" w:sz="4" w:space="0" w:color="auto"/>
            </w:tcBorders>
            <w:shd w:val="clear" w:color="auto" w:fill="auto"/>
            <w:noWrap/>
            <w:vAlign w:val="center"/>
            <w:hideMark/>
          </w:tcPr>
          <w:p w:rsidR="00683461" w:rsidRPr="004F6C55" w:rsidRDefault="00683461" w:rsidP="00683461">
            <w:pPr>
              <w:spacing w:after="0" w:line="240" w:lineRule="auto"/>
              <w:jc w:val="center"/>
              <w:rPr>
                <w:rFonts w:ascii="Arial Narrow" w:eastAsia="Times New Roman" w:hAnsi="Arial Narrow" w:cs="Arial"/>
                <w:sz w:val="17"/>
                <w:szCs w:val="17"/>
                <w:lang w:eastAsia="en-PH"/>
              </w:rPr>
            </w:pPr>
            <w:r w:rsidRPr="004F6C55">
              <w:rPr>
                <w:rFonts w:ascii="Arial Narrow" w:eastAsia="Times New Roman" w:hAnsi="Arial Narrow" w:cs="Arial"/>
                <w:sz w:val="17"/>
                <w:szCs w:val="17"/>
                <w:lang w:eastAsia="en-PH"/>
              </w:rPr>
              <w:t>111-B</w:t>
            </w:r>
          </w:p>
        </w:tc>
        <w:tc>
          <w:tcPr>
            <w:tcW w:w="1386" w:type="dxa"/>
            <w:tcBorders>
              <w:bottom w:val="single" w:sz="4" w:space="0" w:color="auto"/>
            </w:tcBorders>
            <w:shd w:val="clear" w:color="auto" w:fill="auto"/>
            <w:noWrap/>
            <w:vAlign w:val="center"/>
            <w:hideMark/>
          </w:tcPr>
          <w:p w:rsidR="00683461" w:rsidRPr="004F6C55" w:rsidRDefault="00683461" w:rsidP="00683461">
            <w:pPr>
              <w:spacing w:after="0" w:line="240" w:lineRule="auto"/>
              <w:jc w:val="right"/>
              <w:rPr>
                <w:rFonts w:ascii="Arial Narrow" w:eastAsia="Times New Roman" w:hAnsi="Arial Narrow" w:cs="Arial"/>
                <w:sz w:val="17"/>
                <w:szCs w:val="17"/>
                <w:lang w:eastAsia="en-PH"/>
              </w:rPr>
            </w:pPr>
            <w:r w:rsidRPr="004F6C55">
              <w:rPr>
                <w:rFonts w:ascii="Arial Narrow" w:eastAsia="Times New Roman" w:hAnsi="Arial Narrow" w:cs="Arial"/>
                <w:sz w:val="17"/>
                <w:szCs w:val="17"/>
                <w:lang w:eastAsia="en-PH"/>
              </w:rPr>
              <w:t>150,120.95</w:t>
            </w:r>
          </w:p>
        </w:tc>
        <w:tc>
          <w:tcPr>
            <w:tcW w:w="1306" w:type="dxa"/>
            <w:tcBorders>
              <w:bottom w:val="single" w:sz="4" w:space="0" w:color="auto"/>
            </w:tcBorders>
            <w:shd w:val="clear" w:color="auto" w:fill="auto"/>
            <w:noWrap/>
            <w:vAlign w:val="center"/>
            <w:hideMark/>
          </w:tcPr>
          <w:p w:rsidR="00683461" w:rsidRPr="004F6C55" w:rsidRDefault="00683461" w:rsidP="00683461">
            <w:pPr>
              <w:spacing w:after="0" w:line="240" w:lineRule="auto"/>
              <w:jc w:val="right"/>
              <w:rPr>
                <w:rFonts w:ascii="Arial Narrow" w:eastAsia="Times New Roman" w:hAnsi="Arial Narrow" w:cs="Arial"/>
                <w:color w:val="000000"/>
                <w:sz w:val="17"/>
                <w:szCs w:val="17"/>
                <w:lang w:eastAsia="en-PH"/>
              </w:rPr>
            </w:pPr>
            <w:r w:rsidRPr="004F6C55">
              <w:rPr>
                <w:rFonts w:ascii="Arial Narrow" w:eastAsia="Times New Roman" w:hAnsi="Arial Narrow" w:cs="Arial"/>
                <w:color w:val="000000"/>
                <w:sz w:val="17"/>
                <w:szCs w:val="17"/>
                <w:lang w:eastAsia="en-PH"/>
              </w:rPr>
              <w:t>(19,271,905.12)</w:t>
            </w:r>
          </w:p>
        </w:tc>
        <w:tc>
          <w:tcPr>
            <w:tcW w:w="1190" w:type="dxa"/>
            <w:tcBorders>
              <w:bottom w:val="single" w:sz="4" w:space="0" w:color="auto"/>
            </w:tcBorders>
            <w:shd w:val="clear" w:color="auto" w:fill="auto"/>
            <w:noWrap/>
            <w:vAlign w:val="center"/>
            <w:hideMark/>
          </w:tcPr>
          <w:p w:rsidR="00683461" w:rsidRPr="004F6C55" w:rsidRDefault="00683461" w:rsidP="000B3DC2">
            <w:pPr>
              <w:spacing w:after="0" w:line="240" w:lineRule="auto"/>
              <w:ind w:right="-42"/>
              <w:jc w:val="right"/>
              <w:rPr>
                <w:rFonts w:ascii="Arial Narrow" w:eastAsia="Times New Roman" w:hAnsi="Arial Narrow" w:cs="Arial"/>
                <w:color w:val="000000"/>
                <w:sz w:val="17"/>
                <w:szCs w:val="17"/>
                <w:lang w:eastAsia="en-PH"/>
              </w:rPr>
            </w:pPr>
            <w:r w:rsidRPr="004F6C55">
              <w:rPr>
                <w:rFonts w:ascii="Arial Narrow" w:eastAsia="Times New Roman" w:hAnsi="Arial Narrow" w:cs="Arial"/>
                <w:color w:val="000000"/>
                <w:sz w:val="17"/>
                <w:szCs w:val="17"/>
                <w:lang w:eastAsia="en-PH"/>
              </w:rPr>
              <w:t>19,422,026.</w:t>
            </w:r>
            <w:r w:rsidR="000B3DC2">
              <w:rPr>
                <w:rFonts w:ascii="Arial Narrow" w:eastAsia="Times New Roman" w:hAnsi="Arial Narrow" w:cs="Arial"/>
                <w:color w:val="000000"/>
                <w:sz w:val="17"/>
                <w:szCs w:val="17"/>
                <w:lang w:eastAsia="en-PH"/>
              </w:rPr>
              <w:t>07</w:t>
            </w:r>
          </w:p>
        </w:tc>
      </w:tr>
      <w:tr w:rsidR="00683461" w:rsidRPr="008D4F39" w:rsidTr="00581CD0">
        <w:trPr>
          <w:trHeight w:val="170"/>
        </w:trPr>
        <w:tc>
          <w:tcPr>
            <w:tcW w:w="4059" w:type="dxa"/>
            <w:tcBorders>
              <w:top w:val="single" w:sz="4" w:space="0" w:color="auto"/>
              <w:bottom w:val="single" w:sz="4" w:space="0" w:color="auto"/>
            </w:tcBorders>
            <w:shd w:val="clear" w:color="auto" w:fill="auto"/>
            <w:noWrap/>
            <w:vAlign w:val="center"/>
          </w:tcPr>
          <w:p w:rsidR="00683461" w:rsidRPr="004F6C55" w:rsidRDefault="00683461" w:rsidP="00CE1519">
            <w:pPr>
              <w:spacing w:after="0" w:line="240" w:lineRule="auto"/>
              <w:ind w:hanging="99"/>
              <w:rPr>
                <w:rFonts w:ascii="Arial Narrow" w:eastAsia="Times New Roman" w:hAnsi="Arial Narrow" w:cs="Arial"/>
                <w:b/>
                <w:sz w:val="17"/>
                <w:szCs w:val="17"/>
                <w:lang w:eastAsia="en-PH"/>
              </w:rPr>
            </w:pPr>
            <w:r w:rsidRPr="004F6C55">
              <w:rPr>
                <w:rFonts w:ascii="Arial Narrow" w:eastAsia="Times New Roman" w:hAnsi="Arial Narrow" w:cs="Arial"/>
                <w:sz w:val="17"/>
                <w:szCs w:val="17"/>
                <w:lang w:eastAsia="en-PH"/>
              </w:rPr>
              <w:t xml:space="preserve"> </w:t>
            </w:r>
            <w:r w:rsidRPr="004F6C55">
              <w:rPr>
                <w:rFonts w:ascii="Arial Narrow" w:eastAsia="Times New Roman" w:hAnsi="Arial Narrow" w:cs="Arial"/>
                <w:b/>
                <w:sz w:val="17"/>
                <w:szCs w:val="17"/>
                <w:lang w:eastAsia="en-PH"/>
              </w:rPr>
              <w:t>Sub</w:t>
            </w:r>
            <w:r w:rsidR="00CE1519">
              <w:rPr>
                <w:rFonts w:ascii="Arial Narrow" w:eastAsia="Times New Roman" w:hAnsi="Arial Narrow" w:cs="Arial"/>
                <w:b/>
                <w:sz w:val="17"/>
                <w:szCs w:val="17"/>
                <w:lang w:eastAsia="en-PH"/>
              </w:rPr>
              <w:t>-</w:t>
            </w:r>
            <w:r w:rsidRPr="004F6C55">
              <w:rPr>
                <w:rFonts w:ascii="Arial Narrow" w:eastAsia="Times New Roman" w:hAnsi="Arial Narrow" w:cs="Arial"/>
                <w:b/>
                <w:sz w:val="17"/>
                <w:szCs w:val="17"/>
                <w:lang w:eastAsia="en-PH"/>
              </w:rPr>
              <w:t>total</w:t>
            </w:r>
          </w:p>
        </w:tc>
        <w:tc>
          <w:tcPr>
            <w:tcW w:w="774" w:type="dxa"/>
            <w:tcBorders>
              <w:top w:val="single" w:sz="4" w:space="0" w:color="auto"/>
              <w:bottom w:val="single" w:sz="4" w:space="0" w:color="auto"/>
            </w:tcBorders>
            <w:shd w:val="clear" w:color="auto" w:fill="auto"/>
            <w:noWrap/>
            <w:vAlign w:val="center"/>
          </w:tcPr>
          <w:p w:rsidR="00683461" w:rsidRPr="004F6C55" w:rsidRDefault="00683461" w:rsidP="00683461">
            <w:pPr>
              <w:spacing w:after="0" w:line="240" w:lineRule="auto"/>
              <w:jc w:val="center"/>
              <w:rPr>
                <w:rFonts w:ascii="Arial Narrow" w:eastAsia="Times New Roman" w:hAnsi="Arial Narrow" w:cs="Arial"/>
                <w:sz w:val="17"/>
                <w:szCs w:val="17"/>
                <w:lang w:eastAsia="en-PH"/>
              </w:rPr>
            </w:pPr>
          </w:p>
        </w:tc>
        <w:tc>
          <w:tcPr>
            <w:tcW w:w="1386" w:type="dxa"/>
            <w:tcBorders>
              <w:top w:val="single" w:sz="4" w:space="0" w:color="auto"/>
              <w:bottom w:val="single" w:sz="4" w:space="0" w:color="auto"/>
            </w:tcBorders>
            <w:shd w:val="clear" w:color="auto" w:fill="auto"/>
            <w:noWrap/>
            <w:vAlign w:val="center"/>
          </w:tcPr>
          <w:p w:rsidR="00683461" w:rsidRPr="004F6C55" w:rsidRDefault="00683461" w:rsidP="00683461">
            <w:pPr>
              <w:spacing w:after="0" w:line="240" w:lineRule="auto"/>
              <w:jc w:val="right"/>
              <w:rPr>
                <w:rFonts w:ascii="Arial Narrow" w:eastAsia="Times New Roman" w:hAnsi="Arial Narrow" w:cs="Arial"/>
                <w:sz w:val="17"/>
                <w:szCs w:val="17"/>
                <w:lang w:eastAsia="en-PH"/>
              </w:rPr>
            </w:pPr>
            <w:r w:rsidRPr="004F6C55">
              <w:rPr>
                <w:rFonts w:ascii="Arial Narrow" w:eastAsia="Times New Roman" w:hAnsi="Arial Narrow" w:cs="Arial"/>
                <w:sz w:val="17"/>
                <w:szCs w:val="17"/>
                <w:lang w:eastAsia="en-PH"/>
              </w:rPr>
              <w:t>7,222,566,519.62</w:t>
            </w:r>
          </w:p>
        </w:tc>
        <w:tc>
          <w:tcPr>
            <w:tcW w:w="1306" w:type="dxa"/>
            <w:tcBorders>
              <w:top w:val="single" w:sz="4" w:space="0" w:color="auto"/>
              <w:bottom w:val="single" w:sz="4" w:space="0" w:color="auto"/>
            </w:tcBorders>
            <w:shd w:val="clear" w:color="auto" w:fill="auto"/>
            <w:noWrap/>
            <w:vAlign w:val="center"/>
          </w:tcPr>
          <w:p w:rsidR="00683461" w:rsidRPr="004F6C55" w:rsidRDefault="00683461" w:rsidP="00683461">
            <w:pPr>
              <w:spacing w:after="0" w:line="240" w:lineRule="auto"/>
              <w:jc w:val="right"/>
              <w:rPr>
                <w:rFonts w:ascii="Arial Narrow" w:eastAsia="Times New Roman" w:hAnsi="Arial Narrow" w:cs="Arial"/>
                <w:color w:val="000000"/>
                <w:sz w:val="17"/>
                <w:szCs w:val="17"/>
                <w:lang w:eastAsia="en-PH"/>
              </w:rPr>
            </w:pPr>
            <w:r w:rsidRPr="004F6C55">
              <w:rPr>
                <w:rFonts w:ascii="Arial Narrow" w:eastAsia="Times New Roman" w:hAnsi="Arial Narrow" w:cs="Arial"/>
                <w:color w:val="000000"/>
                <w:sz w:val="17"/>
                <w:szCs w:val="17"/>
                <w:lang w:eastAsia="en-PH"/>
              </w:rPr>
              <w:t>6,743,414,548.90</w:t>
            </w:r>
          </w:p>
        </w:tc>
        <w:tc>
          <w:tcPr>
            <w:tcW w:w="1190" w:type="dxa"/>
            <w:tcBorders>
              <w:top w:val="single" w:sz="4" w:space="0" w:color="auto"/>
              <w:bottom w:val="single" w:sz="4" w:space="0" w:color="auto"/>
            </w:tcBorders>
            <w:shd w:val="clear" w:color="auto" w:fill="auto"/>
            <w:noWrap/>
            <w:vAlign w:val="center"/>
          </w:tcPr>
          <w:p w:rsidR="00683461" w:rsidRPr="004F6C55" w:rsidRDefault="00683461" w:rsidP="000B3DC2">
            <w:pPr>
              <w:spacing w:after="0" w:line="240" w:lineRule="auto"/>
              <w:ind w:right="-42"/>
              <w:jc w:val="right"/>
              <w:rPr>
                <w:rFonts w:ascii="Arial Narrow" w:eastAsia="Times New Roman" w:hAnsi="Arial Narrow" w:cs="Arial"/>
                <w:color w:val="000000"/>
                <w:sz w:val="17"/>
                <w:szCs w:val="17"/>
                <w:lang w:eastAsia="en-PH"/>
              </w:rPr>
            </w:pPr>
            <w:r w:rsidRPr="004F6C55">
              <w:rPr>
                <w:rFonts w:ascii="Arial Narrow" w:eastAsia="Times New Roman" w:hAnsi="Arial Narrow" w:cs="Arial"/>
                <w:color w:val="000000"/>
                <w:sz w:val="17"/>
                <w:szCs w:val="17"/>
                <w:lang w:eastAsia="en-PH"/>
              </w:rPr>
              <w:t>479,151,970.7</w:t>
            </w:r>
            <w:r w:rsidR="000B3DC2">
              <w:rPr>
                <w:rFonts w:ascii="Arial Narrow" w:eastAsia="Times New Roman" w:hAnsi="Arial Narrow" w:cs="Arial"/>
                <w:color w:val="000000"/>
                <w:sz w:val="17"/>
                <w:szCs w:val="17"/>
                <w:lang w:eastAsia="en-PH"/>
              </w:rPr>
              <w:t>2</w:t>
            </w:r>
          </w:p>
        </w:tc>
      </w:tr>
      <w:tr w:rsidR="00683461" w:rsidRPr="008D4F39" w:rsidTr="00581CD0">
        <w:trPr>
          <w:trHeight w:val="170"/>
        </w:trPr>
        <w:tc>
          <w:tcPr>
            <w:tcW w:w="4059" w:type="dxa"/>
            <w:tcBorders>
              <w:top w:val="single" w:sz="4" w:space="0" w:color="auto"/>
              <w:bottom w:val="single" w:sz="4" w:space="0" w:color="auto"/>
            </w:tcBorders>
            <w:shd w:val="clear" w:color="auto" w:fill="auto"/>
            <w:noWrap/>
            <w:vAlign w:val="bottom"/>
            <w:hideMark/>
          </w:tcPr>
          <w:p w:rsidR="00683461" w:rsidRPr="004F6C55" w:rsidRDefault="00683461" w:rsidP="00CE1519">
            <w:pPr>
              <w:spacing w:after="0" w:line="240" w:lineRule="auto"/>
              <w:ind w:hanging="99"/>
              <w:rPr>
                <w:rFonts w:ascii="Arial Narrow" w:eastAsia="Times New Roman" w:hAnsi="Arial Narrow" w:cs="Arial"/>
                <w:sz w:val="17"/>
                <w:szCs w:val="17"/>
                <w:lang w:eastAsia="en-PH"/>
              </w:rPr>
            </w:pPr>
            <w:r w:rsidRPr="004F6C55">
              <w:rPr>
                <w:rFonts w:ascii="Arial Narrow" w:eastAsia="Times New Roman" w:hAnsi="Arial Narrow" w:cs="Arial"/>
                <w:sz w:val="17"/>
                <w:szCs w:val="17"/>
                <w:lang w:eastAsia="en-PH"/>
              </w:rPr>
              <w:t>CIB-LC-CA- CHARITY FUND-PNB Account No.374394300014*</w:t>
            </w:r>
          </w:p>
        </w:tc>
        <w:tc>
          <w:tcPr>
            <w:tcW w:w="774" w:type="dxa"/>
            <w:tcBorders>
              <w:top w:val="single" w:sz="4" w:space="0" w:color="auto"/>
              <w:bottom w:val="single" w:sz="4" w:space="0" w:color="auto"/>
            </w:tcBorders>
            <w:shd w:val="clear" w:color="auto" w:fill="auto"/>
            <w:noWrap/>
            <w:vAlign w:val="bottom"/>
            <w:hideMark/>
          </w:tcPr>
          <w:p w:rsidR="00683461" w:rsidRPr="004F6C55" w:rsidRDefault="00683461" w:rsidP="00683461">
            <w:pPr>
              <w:spacing w:after="0" w:line="240" w:lineRule="auto"/>
              <w:jc w:val="center"/>
              <w:rPr>
                <w:rFonts w:ascii="Arial Narrow" w:eastAsia="Times New Roman" w:hAnsi="Arial Narrow" w:cs="Arial"/>
                <w:sz w:val="17"/>
                <w:szCs w:val="17"/>
                <w:lang w:eastAsia="en-PH"/>
              </w:rPr>
            </w:pPr>
            <w:r w:rsidRPr="004F6C55">
              <w:rPr>
                <w:rFonts w:ascii="Arial Narrow" w:eastAsia="Times New Roman" w:hAnsi="Arial Narrow" w:cs="Arial"/>
                <w:sz w:val="17"/>
                <w:szCs w:val="17"/>
                <w:lang w:eastAsia="en-PH"/>
              </w:rPr>
              <w:t>111-D</w:t>
            </w:r>
          </w:p>
        </w:tc>
        <w:tc>
          <w:tcPr>
            <w:tcW w:w="1386" w:type="dxa"/>
            <w:tcBorders>
              <w:top w:val="single" w:sz="4" w:space="0" w:color="auto"/>
              <w:bottom w:val="single" w:sz="4" w:space="0" w:color="auto"/>
            </w:tcBorders>
            <w:shd w:val="clear" w:color="auto" w:fill="auto"/>
            <w:noWrap/>
            <w:vAlign w:val="center"/>
            <w:hideMark/>
          </w:tcPr>
          <w:p w:rsidR="00683461" w:rsidRPr="004F6C55" w:rsidRDefault="00683461" w:rsidP="00683461">
            <w:pPr>
              <w:spacing w:after="0" w:line="240" w:lineRule="auto"/>
              <w:jc w:val="right"/>
              <w:rPr>
                <w:rFonts w:ascii="Arial Narrow" w:eastAsia="Times New Roman" w:hAnsi="Arial Narrow" w:cs="Arial"/>
                <w:sz w:val="17"/>
                <w:szCs w:val="17"/>
                <w:lang w:eastAsia="en-PH"/>
              </w:rPr>
            </w:pPr>
            <w:r w:rsidRPr="004F6C55">
              <w:rPr>
                <w:rFonts w:ascii="Arial Narrow" w:eastAsia="Times New Roman" w:hAnsi="Arial Narrow" w:cs="Arial"/>
                <w:sz w:val="17"/>
                <w:szCs w:val="17"/>
                <w:lang w:eastAsia="en-PH"/>
              </w:rPr>
              <w:t>8,410.37</w:t>
            </w:r>
          </w:p>
        </w:tc>
        <w:tc>
          <w:tcPr>
            <w:tcW w:w="1306" w:type="dxa"/>
            <w:tcBorders>
              <w:top w:val="single" w:sz="4" w:space="0" w:color="auto"/>
              <w:bottom w:val="single" w:sz="4" w:space="0" w:color="auto"/>
            </w:tcBorders>
            <w:shd w:val="clear" w:color="auto" w:fill="auto"/>
            <w:noWrap/>
            <w:vAlign w:val="center"/>
            <w:hideMark/>
          </w:tcPr>
          <w:p w:rsidR="00683461" w:rsidRPr="004F6C55" w:rsidRDefault="00683461" w:rsidP="00683461">
            <w:pPr>
              <w:spacing w:after="0" w:line="240" w:lineRule="auto"/>
              <w:jc w:val="right"/>
              <w:rPr>
                <w:rFonts w:ascii="Arial Narrow" w:eastAsia="Times New Roman" w:hAnsi="Arial Narrow" w:cs="Arial"/>
                <w:color w:val="000000"/>
                <w:sz w:val="17"/>
                <w:szCs w:val="17"/>
                <w:lang w:eastAsia="en-PH"/>
              </w:rPr>
            </w:pPr>
            <w:r w:rsidRPr="004F6C55">
              <w:rPr>
                <w:rFonts w:ascii="Arial Narrow" w:eastAsia="Times New Roman" w:hAnsi="Arial Narrow" w:cs="Arial"/>
                <w:color w:val="000000"/>
                <w:sz w:val="17"/>
                <w:szCs w:val="17"/>
                <w:lang w:eastAsia="en-PH"/>
              </w:rPr>
              <w:t>(18,178,064.23)</w:t>
            </w:r>
          </w:p>
        </w:tc>
        <w:tc>
          <w:tcPr>
            <w:tcW w:w="1190" w:type="dxa"/>
            <w:tcBorders>
              <w:top w:val="single" w:sz="4" w:space="0" w:color="auto"/>
              <w:bottom w:val="single" w:sz="4" w:space="0" w:color="auto"/>
            </w:tcBorders>
            <w:shd w:val="clear" w:color="auto" w:fill="auto"/>
            <w:noWrap/>
            <w:vAlign w:val="center"/>
            <w:hideMark/>
          </w:tcPr>
          <w:p w:rsidR="00683461" w:rsidRPr="004F6C55" w:rsidRDefault="00683461" w:rsidP="00CE1519">
            <w:pPr>
              <w:spacing w:after="0" w:line="240" w:lineRule="auto"/>
              <w:ind w:right="-42"/>
              <w:jc w:val="right"/>
              <w:rPr>
                <w:rFonts w:ascii="Arial Narrow" w:eastAsia="Times New Roman" w:hAnsi="Arial Narrow" w:cs="Arial"/>
                <w:color w:val="000000"/>
                <w:sz w:val="17"/>
                <w:szCs w:val="17"/>
                <w:lang w:val="en-US"/>
              </w:rPr>
            </w:pPr>
            <w:r w:rsidRPr="004F6C55">
              <w:rPr>
                <w:rFonts w:ascii="Arial Narrow" w:eastAsia="Times New Roman" w:hAnsi="Arial Narrow" w:cs="Arial"/>
                <w:color w:val="000000"/>
                <w:sz w:val="17"/>
                <w:szCs w:val="17"/>
                <w:lang w:val="en-US"/>
              </w:rPr>
              <w:t>18,186,474.60</w:t>
            </w:r>
          </w:p>
        </w:tc>
      </w:tr>
      <w:tr w:rsidR="00683461" w:rsidRPr="008D4F39" w:rsidTr="00581CD0">
        <w:trPr>
          <w:trHeight w:val="233"/>
        </w:trPr>
        <w:tc>
          <w:tcPr>
            <w:tcW w:w="4059" w:type="dxa"/>
            <w:tcBorders>
              <w:top w:val="single" w:sz="4" w:space="0" w:color="auto"/>
              <w:bottom w:val="double" w:sz="4" w:space="0" w:color="auto"/>
            </w:tcBorders>
            <w:shd w:val="clear" w:color="auto" w:fill="auto"/>
            <w:noWrap/>
            <w:vAlign w:val="center"/>
            <w:hideMark/>
          </w:tcPr>
          <w:p w:rsidR="00683461" w:rsidRPr="004F6C55" w:rsidRDefault="00683461" w:rsidP="00CE1519">
            <w:pPr>
              <w:spacing w:after="0" w:line="240" w:lineRule="auto"/>
              <w:ind w:hanging="99"/>
              <w:rPr>
                <w:rFonts w:ascii="Arial Narrow" w:eastAsia="Times New Roman" w:hAnsi="Arial Narrow" w:cs="Arial"/>
                <w:b/>
                <w:sz w:val="17"/>
                <w:szCs w:val="17"/>
                <w:lang w:eastAsia="en-PH"/>
              </w:rPr>
            </w:pPr>
            <w:r w:rsidRPr="004F6C55">
              <w:rPr>
                <w:rFonts w:ascii="Arial Narrow" w:eastAsia="Times New Roman" w:hAnsi="Arial Narrow" w:cs="Arial"/>
                <w:b/>
                <w:sz w:val="17"/>
                <w:szCs w:val="17"/>
                <w:lang w:eastAsia="en-PH"/>
              </w:rPr>
              <w:t xml:space="preserve"> Total</w:t>
            </w:r>
          </w:p>
        </w:tc>
        <w:tc>
          <w:tcPr>
            <w:tcW w:w="774" w:type="dxa"/>
            <w:tcBorders>
              <w:top w:val="single" w:sz="4" w:space="0" w:color="auto"/>
              <w:bottom w:val="double" w:sz="4" w:space="0" w:color="auto"/>
            </w:tcBorders>
            <w:shd w:val="clear" w:color="auto" w:fill="auto"/>
            <w:noWrap/>
            <w:vAlign w:val="center"/>
            <w:hideMark/>
          </w:tcPr>
          <w:p w:rsidR="00683461" w:rsidRPr="004F6C55" w:rsidRDefault="00683461" w:rsidP="00683461">
            <w:pPr>
              <w:spacing w:after="0" w:line="240" w:lineRule="auto"/>
              <w:jc w:val="center"/>
              <w:rPr>
                <w:rFonts w:ascii="Arial Narrow" w:eastAsia="Times New Roman" w:hAnsi="Arial Narrow" w:cs="Arial"/>
                <w:sz w:val="17"/>
                <w:szCs w:val="17"/>
                <w:lang w:eastAsia="en-PH"/>
              </w:rPr>
            </w:pPr>
          </w:p>
        </w:tc>
        <w:tc>
          <w:tcPr>
            <w:tcW w:w="1386" w:type="dxa"/>
            <w:tcBorders>
              <w:top w:val="single" w:sz="4" w:space="0" w:color="auto"/>
              <w:bottom w:val="double" w:sz="4" w:space="0" w:color="auto"/>
            </w:tcBorders>
            <w:shd w:val="clear" w:color="auto" w:fill="auto"/>
            <w:noWrap/>
            <w:vAlign w:val="center"/>
            <w:hideMark/>
          </w:tcPr>
          <w:p w:rsidR="00683461" w:rsidRPr="004F6C55" w:rsidRDefault="00683461" w:rsidP="00683461">
            <w:pPr>
              <w:spacing w:after="0" w:line="240" w:lineRule="auto"/>
              <w:jc w:val="right"/>
              <w:rPr>
                <w:rFonts w:ascii="Arial Narrow" w:eastAsia="Times New Roman" w:hAnsi="Arial Narrow" w:cs="Arial"/>
                <w:sz w:val="17"/>
                <w:szCs w:val="17"/>
                <w:lang w:eastAsia="en-PH"/>
              </w:rPr>
            </w:pPr>
            <w:r w:rsidRPr="004F6C55">
              <w:rPr>
                <w:rFonts w:ascii="Arial Narrow" w:eastAsia="Times New Roman" w:hAnsi="Arial Narrow" w:cs="Arial"/>
                <w:sz w:val="17"/>
                <w:szCs w:val="17"/>
                <w:lang w:eastAsia="en-PH"/>
              </w:rPr>
              <w:t>7,222,574,929.99</w:t>
            </w:r>
          </w:p>
        </w:tc>
        <w:tc>
          <w:tcPr>
            <w:tcW w:w="1306" w:type="dxa"/>
            <w:tcBorders>
              <w:top w:val="single" w:sz="4" w:space="0" w:color="auto"/>
              <w:bottom w:val="double" w:sz="4" w:space="0" w:color="auto"/>
            </w:tcBorders>
            <w:shd w:val="clear" w:color="auto" w:fill="auto"/>
            <w:noWrap/>
            <w:vAlign w:val="center"/>
            <w:hideMark/>
          </w:tcPr>
          <w:p w:rsidR="00683461" w:rsidRPr="004F6C55" w:rsidRDefault="00683461" w:rsidP="00683461">
            <w:pPr>
              <w:spacing w:after="0" w:line="240" w:lineRule="auto"/>
              <w:jc w:val="right"/>
              <w:rPr>
                <w:rFonts w:ascii="Arial Narrow" w:eastAsia="Times New Roman" w:hAnsi="Arial Narrow" w:cs="Arial"/>
                <w:color w:val="000000"/>
                <w:sz w:val="17"/>
                <w:szCs w:val="17"/>
                <w:lang w:eastAsia="en-PH"/>
              </w:rPr>
            </w:pPr>
            <w:r w:rsidRPr="004F6C55">
              <w:rPr>
                <w:rFonts w:ascii="Arial Narrow" w:eastAsia="Times New Roman" w:hAnsi="Arial Narrow" w:cs="Arial"/>
                <w:color w:val="000000"/>
                <w:sz w:val="17"/>
                <w:szCs w:val="17"/>
                <w:lang w:eastAsia="en-PH"/>
              </w:rPr>
              <w:t>6,725,236,484.67</w:t>
            </w:r>
          </w:p>
        </w:tc>
        <w:tc>
          <w:tcPr>
            <w:tcW w:w="1190" w:type="dxa"/>
            <w:tcBorders>
              <w:top w:val="single" w:sz="4" w:space="0" w:color="auto"/>
              <w:bottom w:val="double" w:sz="4" w:space="0" w:color="auto"/>
            </w:tcBorders>
            <w:shd w:val="clear" w:color="auto" w:fill="auto"/>
            <w:noWrap/>
            <w:vAlign w:val="center"/>
            <w:hideMark/>
          </w:tcPr>
          <w:p w:rsidR="00683461" w:rsidRPr="001B5C73" w:rsidRDefault="00683461" w:rsidP="000B3DC2">
            <w:pPr>
              <w:spacing w:after="0" w:line="240" w:lineRule="auto"/>
              <w:ind w:right="-42"/>
              <w:jc w:val="right"/>
              <w:rPr>
                <w:rFonts w:ascii="Arial Narrow" w:eastAsia="Times New Roman" w:hAnsi="Arial Narrow" w:cs="Arial"/>
                <w:b/>
                <w:sz w:val="17"/>
                <w:szCs w:val="17"/>
                <w:lang w:val="en-US"/>
              </w:rPr>
            </w:pPr>
            <w:r w:rsidRPr="001B5C73">
              <w:rPr>
                <w:rFonts w:ascii="Arial Narrow" w:eastAsia="Times New Roman" w:hAnsi="Arial Narrow" w:cs="Arial"/>
                <w:sz w:val="17"/>
                <w:szCs w:val="17"/>
                <w:lang w:val="en-US"/>
              </w:rPr>
              <w:t>497,338,445.3</w:t>
            </w:r>
            <w:r w:rsidR="000B3DC2">
              <w:rPr>
                <w:rFonts w:ascii="Arial Narrow" w:eastAsia="Times New Roman" w:hAnsi="Arial Narrow" w:cs="Arial"/>
                <w:sz w:val="17"/>
                <w:szCs w:val="17"/>
                <w:lang w:val="en-US"/>
              </w:rPr>
              <w:t>2</w:t>
            </w:r>
          </w:p>
        </w:tc>
      </w:tr>
    </w:tbl>
    <w:p w:rsidR="00C064CC" w:rsidRPr="004F6C55" w:rsidRDefault="00E81197" w:rsidP="004C39E3">
      <w:pPr>
        <w:pStyle w:val="NoSpacing"/>
        <w:jc w:val="both"/>
        <w:rPr>
          <w:rFonts w:ascii="Arial Narrow" w:hAnsi="Arial Narrow" w:cs="Arial"/>
          <w:i/>
          <w:sz w:val="16"/>
          <w:szCs w:val="16"/>
        </w:rPr>
      </w:pPr>
      <w:r w:rsidRPr="004F6C55">
        <w:rPr>
          <w:rFonts w:ascii="Arial Narrow" w:hAnsi="Arial Narrow" w:cs="Arial"/>
          <w:i/>
          <w:sz w:val="20"/>
          <w:szCs w:val="20"/>
        </w:rPr>
        <w:t xml:space="preserve">  </w:t>
      </w:r>
      <w:r w:rsidR="00F578DA">
        <w:rPr>
          <w:rFonts w:ascii="Arial Narrow" w:hAnsi="Arial Narrow" w:cs="Arial"/>
          <w:i/>
          <w:sz w:val="20"/>
          <w:szCs w:val="20"/>
        </w:rPr>
        <w:tab/>
      </w:r>
      <w:r w:rsidRPr="004F6C55">
        <w:rPr>
          <w:rFonts w:ascii="Arial Narrow" w:hAnsi="Arial Narrow" w:cs="Arial"/>
          <w:i/>
          <w:sz w:val="20"/>
          <w:szCs w:val="20"/>
        </w:rPr>
        <w:t xml:space="preserve"> </w:t>
      </w:r>
      <w:r w:rsidR="00C064CC" w:rsidRPr="004F6C55">
        <w:rPr>
          <w:rFonts w:ascii="Arial Narrow" w:hAnsi="Arial Narrow" w:cs="Arial"/>
          <w:i/>
          <w:sz w:val="16"/>
          <w:szCs w:val="16"/>
        </w:rPr>
        <w:t>*Closed Account</w:t>
      </w:r>
    </w:p>
    <w:p w:rsidR="00C064CC" w:rsidRPr="00581CD0" w:rsidRDefault="00C064CC" w:rsidP="004C39E3">
      <w:pPr>
        <w:pStyle w:val="NoSpacing"/>
        <w:jc w:val="both"/>
        <w:rPr>
          <w:rFonts w:ascii="Arial" w:hAnsi="Arial" w:cs="Arial"/>
          <w:sz w:val="18"/>
        </w:rPr>
      </w:pPr>
    </w:p>
    <w:p w:rsidR="00A84DDE" w:rsidRPr="00EF4855" w:rsidRDefault="00A84DDE" w:rsidP="00DA78B4">
      <w:pPr>
        <w:pStyle w:val="ListParagraph"/>
        <w:numPr>
          <w:ilvl w:val="1"/>
          <w:numId w:val="1"/>
        </w:numPr>
        <w:ind w:left="1440"/>
        <w:contextualSpacing/>
        <w:jc w:val="both"/>
        <w:rPr>
          <w:rFonts w:ascii="Arial" w:hAnsi="Arial" w:cs="Arial"/>
          <w:sz w:val="22"/>
          <w:szCs w:val="22"/>
          <w:lang w:eastAsia="en-PH"/>
        </w:rPr>
      </w:pPr>
      <w:r w:rsidRPr="00EF4855">
        <w:rPr>
          <w:rFonts w:ascii="Arial" w:hAnsi="Arial" w:cs="Arial"/>
          <w:sz w:val="22"/>
          <w:szCs w:val="22"/>
        </w:rPr>
        <w:t>Verification of the BRSs as of December 31, 2018 submitted by the concerned accounting personnel revealed that the discrepancy of P479</w:t>
      </w:r>
      <w:r w:rsidR="00C40836" w:rsidRPr="00EF4855">
        <w:rPr>
          <w:rFonts w:ascii="Arial" w:hAnsi="Arial" w:cs="Arial"/>
          <w:sz w:val="22"/>
          <w:szCs w:val="22"/>
        </w:rPr>
        <w:t>.1</w:t>
      </w:r>
      <w:r w:rsidRPr="00EF4855">
        <w:rPr>
          <w:rFonts w:ascii="Arial" w:hAnsi="Arial" w:cs="Arial"/>
          <w:sz w:val="22"/>
          <w:szCs w:val="22"/>
        </w:rPr>
        <w:t>51</w:t>
      </w:r>
      <w:r w:rsidR="00C40836" w:rsidRPr="00EF4855">
        <w:rPr>
          <w:rFonts w:ascii="Arial" w:hAnsi="Arial" w:cs="Arial"/>
          <w:sz w:val="22"/>
          <w:szCs w:val="22"/>
        </w:rPr>
        <w:t xml:space="preserve"> million</w:t>
      </w:r>
      <w:r w:rsidRPr="00EF4855">
        <w:rPr>
          <w:rFonts w:ascii="Arial" w:hAnsi="Arial" w:cs="Arial"/>
          <w:sz w:val="22"/>
          <w:szCs w:val="22"/>
        </w:rPr>
        <w:t xml:space="preserve"> were caused by</w:t>
      </w:r>
      <w:r w:rsidR="0048038F" w:rsidRPr="00EF4855">
        <w:rPr>
          <w:rFonts w:ascii="Arial" w:hAnsi="Arial" w:cs="Arial"/>
          <w:sz w:val="22"/>
          <w:szCs w:val="22"/>
        </w:rPr>
        <w:t xml:space="preserve"> </w:t>
      </w:r>
      <w:r w:rsidR="003B0209" w:rsidRPr="00EF4855">
        <w:rPr>
          <w:rFonts w:ascii="Arial" w:hAnsi="Arial" w:cs="Arial"/>
          <w:sz w:val="22"/>
          <w:szCs w:val="22"/>
        </w:rPr>
        <w:t>b</w:t>
      </w:r>
      <w:r w:rsidRPr="00EF4855">
        <w:rPr>
          <w:rFonts w:ascii="Arial" w:hAnsi="Arial" w:cs="Arial"/>
          <w:sz w:val="22"/>
          <w:szCs w:val="22"/>
          <w:lang w:eastAsia="en-PH"/>
        </w:rPr>
        <w:t xml:space="preserve">ook reconciling items </w:t>
      </w:r>
      <w:r w:rsidR="0016707D" w:rsidRPr="00EF4855">
        <w:rPr>
          <w:rFonts w:ascii="Arial" w:hAnsi="Arial" w:cs="Arial"/>
          <w:sz w:val="22"/>
          <w:szCs w:val="22"/>
          <w:lang w:eastAsia="en-PH"/>
        </w:rPr>
        <w:t>totaling</w:t>
      </w:r>
      <w:r w:rsidRPr="00EF4855">
        <w:rPr>
          <w:rFonts w:ascii="Arial" w:hAnsi="Arial" w:cs="Arial"/>
          <w:sz w:val="22"/>
          <w:szCs w:val="22"/>
          <w:lang w:eastAsia="en-PH"/>
        </w:rPr>
        <w:t xml:space="preserve"> P118</w:t>
      </w:r>
      <w:r w:rsidR="00C40836" w:rsidRPr="00EF4855">
        <w:rPr>
          <w:rFonts w:ascii="Arial" w:hAnsi="Arial" w:cs="Arial"/>
          <w:sz w:val="22"/>
          <w:szCs w:val="22"/>
          <w:lang w:eastAsia="en-PH"/>
        </w:rPr>
        <w:t>.</w:t>
      </w:r>
      <w:r w:rsidRPr="00EF4855">
        <w:rPr>
          <w:rFonts w:ascii="Arial" w:hAnsi="Arial" w:cs="Arial"/>
          <w:sz w:val="22"/>
          <w:szCs w:val="22"/>
          <w:lang w:eastAsia="en-PH"/>
        </w:rPr>
        <w:t>54</w:t>
      </w:r>
      <w:r w:rsidR="007F4F7E">
        <w:rPr>
          <w:rFonts w:ascii="Arial" w:hAnsi="Arial" w:cs="Arial"/>
          <w:sz w:val="22"/>
          <w:szCs w:val="22"/>
          <w:lang w:eastAsia="en-PH"/>
        </w:rPr>
        <w:t>8</w:t>
      </w:r>
      <w:r w:rsidR="00C40836" w:rsidRPr="00EF4855">
        <w:rPr>
          <w:rFonts w:ascii="Arial" w:hAnsi="Arial" w:cs="Arial"/>
          <w:sz w:val="22"/>
          <w:szCs w:val="22"/>
          <w:lang w:eastAsia="en-PH"/>
        </w:rPr>
        <w:t xml:space="preserve"> million</w:t>
      </w:r>
      <w:r w:rsidR="00325359">
        <w:rPr>
          <w:rFonts w:ascii="Arial" w:hAnsi="Arial" w:cs="Arial"/>
          <w:sz w:val="22"/>
          <w:szCs w:val="22"/>
          <w:lang w:eastAsia="en-PH"/>
        </w:rPr>
        <w:t xml:space="preserve">, </w:t>
      </w:r>
      <w:r w:rsidRPr="00EF4855">
        <w:rPr>
          <w:rFonts w:ascii="Arial" w:hAnsi="Arial" w:cs="Arial"/>
          <w:sz w:val="22"/>
          <w:szCs w:val="22"/>
          <w:lang w:eastAsia="en-PH"/>
        </w:rPr>
        <w:t xml:space="preserve">which </w:t>
      </w:r>
      <w:r w:rsidR="00297A1B" w:rsidRPr="00EF4855">
        <w:rPr>
          <w:rFonts w:ascii="Arial" w:hAnsi="Arial" w:cs="Arial"/>
          <w:sz w:val="22"/>
          <w:szCs w:val="22"/>
          <w:lang w:eastAsia="en-PH"/>
        </w:rPr>
        <w:t xml:space="preserve">remained unadjusted </w:t>
      </w:r>
      <w:r w:rsidRPr="00EF4855">
        <w:rPr>
          <w:rFonts w:ascii="Arial" w:hAnsi="Arial" w:cs="Arial"/>
          <w:sz w:val="22"/>
          <w:szCs w:val="22"/>
          <w:lang w:eastAsia="en-PH"/>
        </w:rPr>
        <w:t>in the books</w:t>
      </w:r>
      <w:r w:rsidR="00F36B0A" w:rsidRPr="00EF4855">
        <w:rPr>
          <w:rFonts w:ascii="Arial" w:hAnsi="Arial" w:cs="Arial"/>
          <w:sz w:val="22"/>
          <w:szCs w:val="22"/>
          <w:lang w:eastAsia="en-PH"/>
        </w:rPr>
        <w:t xml:space="preserve"> and bank reconciling items amounting to P</w:t>
      </w:r>
      <w:r w:rsidR="00B51BEE" w:rsidRPr="00EF4855">
        <w:rPr>
          <w:rFonts w:ascii="Arial" w:hAnsi="Arial" w:cs="Arial"/>
          <w:sz w:val="22"/>
          <w:szCs w:val="22"/>
          <w:lang w:eastAsia="en-PH"/>
        </w:rPr>
        <w:t>360</w:t>
      </w:r>
      <w:r w:rsidR="00C40836" w:rsidRPr="00EF4855">
        <w:rPr>
          <w:rFonts w:ascii="Arial" w:hAnsi="Arial" w:cs="Arial"/>
          <w:sz w:val="22"/>
          <w:szCs w:val="22"/>
          <w:lang w:eastAsia="en-PH"/>
        </w:rPr>
        <w:t>.</w:t>
      </w:r>
      <w:r w:rsidR="00B51BEE" w:rsidRPr="00EF4855">
        <w:rPr>
          <w:rFonts w:ascii="Arial" w:hAnsi="Arial" w:cs="Arial"/>
          <w:sz w:val="22"/>
          <w:szCs w:val="22"/>
          <w:lang w:eastAsia="en-PH"/>
        </w:rPr>
        <w:t>604</w:t>
      </w:r>
      <w:r w:rsidR="00C40836" w:rsidRPr="00EF4855">
        <w:rPr>
          <w:rFonts w:ascii="Arial" w:hAnsi="Arial" w:cs="Arial"/>
          <w:sz w:val="22"/>
          <w:szCs w:val="22"/>
          <w:lang w:eastAsia="en-PH"/>
        </w:rPr>
        <w:t xml:space="preserve"> million,</w:t>
      </w:r>
      <w:r w:rsidRPr="00EF4855">
        <w:rPr>
          <w:rFonts w:ascii="Arial" w:hAnsi="Arial" w:cs="Arial"/>
          <w:sz w:val="22"/>
          <w:szCs w:val="22"/>
          <w:lang w:eastAsia="en-PH"/>
        </w:rPr>
        <w:t xml:space="preserve"> </w:t>
      </w:r>
      <w:r w:rsidR="00325359">
        <w:rPr>
          <w:rFonts w:ascii="Arial" w:hAnsi="Arial" w:cs="Arial"/>
          <w:sz w:val="22"/>
          <w:szCs w:val="22"/>
          <w:lang w:eastAsia="en-PH"/>
        </w:rPr>
        <w:t xml:space="preserve">details </w:t>
      </w:r>
      <w:r w:rsidR="00860BEA" w:rsidRPr="00EF4855">
        <w:rPr>
          <w:rFonts w:ascii="Arial" w:hAnsi="Arial" w:cs="Arial"/>
          <w:sz w:val="22"/>
          <w:szCs w:val="22"/>
          <w:lang w:eastAsia="en-PH"/>
        </w:rPr>
        <w:t xml:space="preserve">shown in </w:t>
      </w:r>
      <w:r w:rsidR="00827670">
        <w:rPr>
          <w:rFonts w:ascii="Arial" w:hAnsi="Arial" w:cs="Arial"/>
          <w:sz w:val="22"/>
          <w:szCs w:val="22"/>
          <w:lang w:eastAsia="en-PH"/>
        </w:rPr>
        <w:t xml:space="preserve">        </w:t>
      </w:r>
      <w:r w:rsidR="00860BEA" w:rsidRPr="00EF4855">
        <w:rPr>
          <w:rFonts w:ascii="Arial" w:hAnsi="Arial" w:cs="Arial"/>
          <w:sz w:val="22"/>
          <w:szCs w:val="22"/>
          <w:lang w:eastAsia="en-PH"/>
        </w:rPr>
        <w:t xml:space="preserve">Table </w:t>
      </w:r>
      <w:r w:rsidR="000B3DC2">
        <w:rPr>
          <w:rFonts w:ascii="Arial" w:hAnsi="Arial" w:cs="Arial"/>
          <w:sz w:val="22"/>
          <w:szCs w:val="22"/>
          <w:lang w:eastAsia="en-PH"/>
        </w:rPr>
        <w:t>5</w:t>
      </w:r>
      <w:r w:rsidR="00860BEA" w:rsidRPr="00EF4855">
        <w:rPr>
          <w:rFonts w:ascii="Arial" w:hAnsi="Arial" w:cs="Arial"/>
          <w:sz w:val="22"/>
          <w:szCs w:val="22"/>
          <w:lang w:eastAsia="en-PH"/>
        </w:rPr>
        <w:t>.</w:t>
      </w:r>
    </w:p>
    <w:p w:rsidR="00FB22E1" w:rsidRPr="00CE1519" w:rsidRDefault="00FB22E1" w:rsidP="00FB22E1">
      <w:pPr>
        <w:autoSpaceDE w:val="0"/>
        <w:autoSpaceDN w:val="0"/>
        <w:adjustRightInd w:val="0"/>
        <w:spacing w:after="0"/>
        <w:ind w:firstLine="540"/>
        <w:jc w:val="center"/>
        <w:rPr>
          <w:rFonts w:ascii="Arial" w:hAnsi="Arial" w:cs="Arial"/>
          <w:b/>
          <w:lang w:eastAsia="en-PH"/>
        </w:rPr>
      </w:pPr>
    </w:p>
    <w:p w:rsidR="00407572" w:rsidRPr="00997013" w:rsidRDefault="00A14917" w:rsidP="00FB22E1">
      <w:pPr>
        <w:autoSpaceDE w:val="0"/>
        <w:autoSpaceDN w:val="0"/>
        <w:adjustRightInd w:val="0"/>
        <w:spacing w:after="0"/>
        <w:ind w:firstLine="540"/>
        <w:jc w:val="center"/>
        <w:rPr>
          <w:rFonts w:ascii="Arial" w:hAnsi="Arial" w:cs="Arial"/>
          <w:b/>
          <w:sz w:val="20"/>
          <w:szCs w:val="20"/>
          <w:lang w:eastAsia="en-PH"/>
        </w:rPr>
      </w:pPr>
      <w:r w:rsidRPr="00997013">
        <w:rPr>
          <w:rFonts w:ascii="Arial" w:hAnsi="Arial" w:cs="Arial"/>
          <w:b/>
          <w:sz w:val="20"/>
          <w:szCs w:val="20"/>
          <w:lang w:eastAsia="en-PH"/>
        </w:rPr>
        <w:t>T</w:t>
      </w:r>
      <w:r w:rsidR="00407572" w:rsidRPr="00997013">
        <w:rPr>
          <w:rFonts w:ascii="Arial" w:hAnsi="Arial" w:cs="Arial"/>
          <w:b/>
          <w:sz w:val="20"/>
          <w:szCs w:val="20"/>
          <w:lang w:eastAsia="en-PH"/>
        </w:rPr>
        <w:t>able</w:t>
      </w:r>
      <w:r w:rsidR="00297A1B" w:rsidRPr="00997013">
        <w:rPr>
          <w:rFonts w:ascii="Arial" w:hAnsi="Arial" w:cs="Arial"/>
          <w:b/>
          <w:sz w:val="20"/>
          <w:szCs w:val="20"/>
          <w:lang w:eastAsia="en-PH"/>
        </w:rPr>
        <w:t xml:space="preserve"> </w:t>
      </w:r>
      <w:r w:rsidR="000B3DC2">
        <w:rPr>
          <w:rFonts w:ascii="Arial" w:hAnsi="Arial" w:cs="Arial"/>
          <w:b/>
          <w:sz w:val="20"/>
          <w:szCs w:val="20"/>
          <w:lang w:eastAsia="en-PH"/>
        </w:rPr>
        <w:t>5</w:t>
      </w:r>
      <w:r w:rsidR="00297A1B" w:rsidRPr="00997013">
        <w:rPr>
          <w:rFonts w:ascii="Arial" w:hAnsi="Arial" w:cs="Arial"/>
          <w:b/>
          <w:sz w:val="20"/>
          <w:szCs w:val="20"/>
          <w:lang w:eastAsia="en-PH"/>
        </w:rPr>
        <w:t xml:space="preserve"> – Summary of Book</w:t>
      </w:r>
      <w:r w:rsidR="00F36B0A" w:rsidRPr="00997013">
        <w:rPr>
          <w:rFonts w:ascii="Arial" w:hAnsi="Arial" w:cs="Arial"/>
          <w:b/>
          <w:sz w:val="20"/>
          <w:szCs w:val="20"/>
          <w:lang w:eastAsia="en-PH"/>
        </w:rPr>
        <w:t xml:space="preserve"> and Bank</w:t>
      </w:r>
      <w:r w:rsidR="00297A1B" w:rsidRPr="00997013">
        <w:rPr>
          <w:rFonts w:ascii="Arial" w:hAnsi="Arial" w:cs="Arial"/>
          <w:b/>
          <w:sz w:val="20"/>
          <w:szCs w:val="20"/>
          <w:lang w:eastAsia="en-PH"/>
        </w:rPr>
        <w:t xml:space="preserve"> Reconciling Items</w:t>
      </w:r>
    </w:p>
    <w:p w:rsidR="00972DD8" w:rsidRPr="00972DD8" w:rsidRDefault="00972DD8" w:rsidP="00FB22E1">
      <w:pPr>
        <w:autoSpaceDE w:val="0"/>
        <w:autoSpaceDN w:val="0"/>
        <w:adjustRightInd w:val="0"/>
        <w:spacing w:after="0"/>
        <w:ind w:firstLine="540"/>
        <w:jc w:val="center"/>
        <w:rPr>
          <w:rFonts w:ascii="Arial" w:hAnsi="Arial" w:cs="Arial"/>
          <w:b/>
          <w:sz w:val="12"/>
          <w:szCs w:val="20"/>
          <w:lang w:eastAsia="en-PH"/>
        </w:rPr>
      </w:pPr>
    </w:p>
    <w:tbl>
      <w:tblPr>
        <w:tblW w:w="9057" w:type="dxa"/>
        <w:tblInd w:w="103" w:type="dxa"/>
        <w:tblBorders>
          <w:top w:val="single" w:sz="4" w:space="0" w:color="auto"/>
        </w:tblBorders>
        <w:tblLayout w:type="fixed"/>
        <w:tblLook w:val="04A0" w:firstRow="1" w:lastRow="0" w:firstColumn="1" w:lastColumn="0" w:noHBand="0" w:noVBand="1"/>
      </w:tblPr>
      <w:tblGrid>
        <w:gridCol w:w="2165"/>
        <w:gridCol w:w="1260"/>
        <w:gridCol w:w="1127"/>
        <w:gridCol w:w="1034"/>
        <w:gridCol w:w="1169"/>
        <w:gridCol w:w="1112"/>
        <w:gridCol w:w="1190"/>
      </w:tblGrid>
      <w:tr w:rsidR="00180611" w:rsidRPr="00180611" w:rsidTr="00CE1519">
        <w:trPr>
          <w:trHeight w:val="251"/>
        </w:trPr>
        <w:tc>
          <w:tcPr>
            <w:tcW w:w="2165" w:type="dxa"/>
            <w:tcBorders>
              <w:top w:val="single" w:sz="4" w:space="0" w:color="auto"/>
              <w:bottom w:val="single" w:sz="4" w:space="0" w:color="auto"/>
            </w:tcBorders>
            <w:shd w:val="clear" w:color="auto" w:fill="auto"/>
            <w:noWrap/>
            <w:vAlign w:val="bottom"/>
            <w:hideMark/>
          </w:tcPr>
          <w:p w:rsidR="00325359" w:rsidRPr="00CE1519" w:rsidRDefault="00180611" w:rsidP="00CE1519">
            <w:pPr>
              <w:spacing w:after="0" w:line="240" w:lineRule="auto"/>
              <w:rPr>
                <w:rFonts w:ascii="Arial Narrow" w:eastAsia="Times New Roman" w:hAnsi="Arial Narrow" w:cs="Arial"/>
                <w:b/>
                <w:bCs/>
                <w:color w:val="000000" w:themeColor="text1"/>
                <w:sz w:val="16"/>
                <w:szCs w:val="16"/>
                <w:lang w:eastAsia="en-PH"/>
              </w:rPr>
            </w:pPr>
            <w:r w:rsidRPr="00CE1519">
              <w:rPr>
                <w:rFonts w:ascii="Arial Narrow" w:eastAsia="Times New Roman" w:hAnsi="Arial Narrow" w:cs="Arial"/>
                <w:b/>
                <w:bCs/>
                <w:color w:val="000000" w:themeColor="text1"/>
                <w:sz w:val="16"/>
                <w:szCs w:val="16"/>
                <w:lang w:eastAsia="en-PH"/>
              </w:rPr>
              <w:t>Book Reconciling Items</w:t>
            </w:r>
          </w:p>
        </w:tc>
        <w:tc>
          <w:tcPr>
            <w:tcW w:w="1260" w:type="dxa"/>
            <w:tcBorders>
              <w:top w:val="single" w:sz="4" w:space="0" w:color="auto"/>
              <w:bottom w:val="single" w:sz="4" w:space="0" w:color="auto"/>
            </w:tcBorders>
            <w:shd w:val="clear" w:color="auto" w:fill="auto"/>
            <w:noWrap/>
            <w:vAlign w:val="bottom"/>
            <w:hideMark/>
          </w:tcPr>
          <w:p w:rsidR="00325359" w:rsidRPr="00CE1519" w:rsidRDefault="00180611" w:rsidP="00CE1519">
            <w:pPr>
              <w:spacing w:after="0" w:line="240" w:lineRule="auto"/>
              <w:jc w:val="center"/>
              <w:rPr>
                <w:rFonts w:ascii="Arial Narrow" w:eastAsia="Times New Roman" w:hAnsi="Arial Narrow" w:cs="Arial"/>
                <w:b/>
                <w:bCs/>
                <w:color w:val="000000" w:themeColor="text1"/>
                <w:sz w:val="16"/>
                <w:szCs w:val="16"/>
                <w:lang w:eastAsia="en-PH"/>
              </w:rPr>
            </w:pPr>
            <w:r w:rsidRPr="00CE1519">
              <w:rPr>
                <w:rFonts w:ascii="Arial Narrow" w:eastAsia="Times New Roman" w:hAnsi="Arial Narrow" w:cs="Arial"/>
                <w:b/>
                <w:bCs/>
                <w:color w:val="000000" w:themeColor="text1"/>
                <w:sz w:val="16"/>
                <w:szCs w:val="16"/>
                <w:lang w:eastAsia="en-PH"/>
              </w:rPr>
              <w:t>2018</w:t>
            </w:r>
          </w:p>
        </w:tc>
        <w:tc>
          <w:tcPr>
            <w:tcW w:w="1127" w:type="dxa"/>
            <w:tcBorders>
              <w:top w:val="single" w:sz="4" w:space="0" w:color="auto"/>
              <w:bottom w:val="single" w:sz="4" w:space="0" w:color="auto"/>
            </w:tcBorders>
            <w:shd w:val="clear" w:color="auto" w:fill="auto"/>
            <w:noWrap/>
            <w:vAlign w:val="bottom"/>
            <w:hideMark/>
          </w:tcPr>
          <w:p w:rsidR="00325359" w:rsidRPr="00CE1519" w:rsidRDefault="00180611" w:rsidP="00CE1519">
            <w:pPr>
              <w:spacing w:after="0" w:line="240" w:lineRule="auto"/>
              <w:jc w:val="center"/>
              <w:rPr>
                <w:rFonts w:ascii="Arial Narrow" w:eastAsia="Times New Roman" w:hAnsi="Arial Narrow" w:cs="Arial"/>
                <w:b/>
                <w:bCs/>
                <w:color w:val="000000" w:themeColor="text1"/>
                <w:sz w:val="16"/>
                <w:szCs w:val="16"/>
                <w:lang w:eastAsia="en-PH"/>
              </w:rPr>
            </w:pPr>
            <w:r w:rsidRPr="00CE1519">
              <w:rPr>
                <w:rFonts w:ascii="Arial Narrow" w:eastAsia="Times New Roman" w:hAnsi="Arial Narrow" w:cs="Arial"/>
                <w:b/>
                <w:bCs/>
                <w:color w:val="000000" w:themeColor="text1"/>
                <w:sz w:val="16"/>
                <w:szCs w:val="16"/>
                <w:lang w:eastAsia="en-PH"/>
              </w:rPr>
              <w:t>2017</w:t>
            </w:r>
          </w:p>
        </w:tc>
        <w:tc>
          <w:tcPr>
            <w:tcW w:w="1034" w:type="dxa"/>
            <w:tcBorders>
              <w:top w:val="single" w:sz="4" w:space="0" w:color="auto"/>
              <w:bottom w:val="single" w:sz="4" w:space="0" w:color="auto"/>
            </w:tcBorders>
            <w:shd w:val="clear" w:color="auto" w:fill="auto"/>
            <w:noWrap/>
            <w:vAlign w:val="bottom"/>
            <w:hideMark/>
          </w:tcPr>
          <w:p w:rsidR="00325359" w:rsidRPr="00CE1519" w:rsidRDefault="00180611" w:rsidP="00CE1519">
            <w:pPr>
              <w:spacing w:after="0" w:line="240" w:lineRule="auto"/>
              <w:jc w:val="center"/>
              <w:rPr>
                <w:rFonts w:ascii="Arial Narrow" w:eastAsia="Times New Roman" w:hAnsi="Arial Narrow" w:cs="Arial"/>
                <w:b/>
                <w:bCs/>
                <w:color w:val="000000" w:themeColor="text1"/>
                <w:sz w:val="16"/>
                <w:szCs w:val="16"/>
                <w:lang w:eastAsia="en-PH"/>
              </w:rPr>
            </w:pPr>
            <w:r w:rsidRPr="00CE1519">
              <w:rPr>
                <w:rFonts w:ascii="Arial Narrow" w:eastAsia="Times New Roman" w:hAnsi="Arial Narrow" w:cs="Arial"/>
                <w:b/>
                <w:bCs/>
                <w:color w:val="000000" w:themeColor="text1"/>
                <w:sz w:val="16"/>
                <w:szCs w:val="16"/>
                <w:lang w:eastAsia="en-PH"/>
              </w:rPr>
              <w:t>2016</w:t>
            </w:r>
          </w:p>
        </w:tc>
        <w:tc>
          <w:tcPr>
            <w:tcW w:w="1169" w:type="dxa"/>
            <w:tcBorders>
              <w:top w:val="single" w:sz="4" w:space="0" w:color="auto"/>
              <w:bottom w:val="single" w:sz="4" w:space="0" w:color="auto"/>
            </w:tcBorders>
            <w:shd w:val="clear" w:color="auto" w:fill="auto"/>
            <w:noWrap/>
            <w:vAlign w:val="bottom"/>
            <w:hideMark/>
          </w:tcPr>
          <w:p w:rsidR="00325359" w:rsidRPr="00CE1519" w:rsidRDefault="00180611" w:rsidP="00CE1519">
            <w:pPr>
              <w:spacing w:after="0" w:line="240" w:lineRule="auto"/>
              <w:jc w:val="center"/>
              <w:rPr>
                <w:rFonts w:ascii="Arial Narrow" w:eastAsia="Times New Roman" w:hAnsi="Arial Narrow" w:cs="Arial"/>
                <w:b/>
                <w:bCs/>
                <w:color w:val="000000" w:themeColor="text1"/>
                <w:sz w:val="16"/>
                <w:szCs w:val="16"/>
                <w:lang w:eastAsia="en-PH"/>
              </w:rPr>
            </w:pPr>
            <w:r w:rsidRPr="00CE1519">
              <w:rPr>
                <w:rFonts w:ascii="Arial Narrow" w:eastAsia="Times New Roman" w:hAnsi="Arial Narrow" w:cs="Arial"/>
                <w:b/>
                <w:bCs/>
                <w:color w:val="000000" w:themeColor="text1"/>
                <w:sz w:val="16"/>
                <w:szCs w:val="16"/>
                <w:lang w:eastAsia="en-PH"/>
              </w:rPr>
              <w:t>2015</w:t>
            </w:r>
          </w:p>
        </w:tc>
        <w:tc>
          <w:tcPr>
            <w:tcW w:w="1112" w:type="dxa"/>
            <w:tcBorders>
              <w:top w:val="single" w:sz="4" w:space="0" w:color="auto"/>
              <w:bottom w:val="single" w:sz="4" w:space="0" w:color="auto"/>
            </w:tcBorders>
            <w:shd w:val="clear" w:color="auto" w:fill="auto"/>
            <w:noWrap/>
            <w:vAlign w:val="bottom"/>
            <w:hideMark/>
          </w:tcPr>
          <w:p w:rsidR="00325359" w:rsidRPr="00CE1519" w:rsidRDefault="00180611" w:rsidP="00CE1519">
            <w:pPr>
              <w:spacing w:after="0" w:line="240" w:lineRule="auto"/>
              <w:jc w:val="center"/>
              <w:rPr>
                <w:rFonts w:ascii="Arial Narrow" w:eastAsia="Times New Roman" w:hAnsi="Arial Narrow" w:cs="Arial"/>
                <w:b/>
                <w:bCs/>
                <w:color w:val="000000" w:themeColor="text1"/>
                <w:sz w:val="16"/>
                <w:szCs w:val="16"/>
                <w:lang w:eastAsia="en-PH"/>
              </w:rPr>
            </w:pPr>
            <w:r w:rsidRPr="00CE1519">
              <w:rPr>
                <w:rFonts w:ascii="Arial Narrow" w:eastAsia="Times New Roman" w:hAnsi="Arial Narrow" w:cs="Arial"/>
                <w:b/>
                <w:bCs/>
                <w:color w:val="000000" w:themeColor="text1"/>
                <w:sz w:val="16"/>
                <w:szCs w:val="16"/>
                <w:lang w:eastAsia="en-PH"/>
              </w:rPr>
              <w:t>2014-2013</w:t>
            </w:r>
          </w:p>
        </w:tc>
        <w:tc>
          <w:tcPr>
            <w:tcW w:w="1190" w:type="dxa"/>
            <w:tcBorders>
              <w:top w:val="single" w:sz="4" w:space="0" w:color="auto"/>
              <w:bottom w:val="single" w:sz="4" w:space="0" w:color="auto"/>
            </w:tcBorders>
            <w:shd w:val="clear" w:color="auto" w:fill="auto"/>
            <w:noWrap/>
            <w:vAlign w:val="bottom"/>
            <w:hideMark/>
          </w:tcPr>
          <w:p w:rsidR="00325359" w:rsidRPr="00CE1519" w:rsidRDefault="00180611" w:rsidP="00CE1519">
            <w:pPr>
              <w:spacing w:after="0" w:line="240" w:lineRule="auto"/>
              <w:ind w:right="-56"/>
              <w:jc w:val="right"/>
              <w:rPr>
                <w:rFonts w:ascii="Arial Narrow" w:eastAsia="Times New Roman" w:hAnsi="Arial Narrow" w:cs="Arial"/>
                <w:b/>
                <w:bCs/>
                <w:color w:val="000000" w:themeColor="text1"/>
                <w:sz w:val="16"/>
                <w:szCs w:val="16"/>
                <w:lang w:eastAsia="en-PH"/>
              </w:rPr>
            </w:pPr>
            <w:r w:rsidRPr="00CE1519">
              <w:rPr>
                <w:rFonts w:ascii="Arial Narrow" w:eastAsia="Times New Roman" w:hAnsi="Arial Narrow" w:cs="Arial"/>
                <w:b/>
                <w:bCs/>
                <w:color w:val="000000" w:themeColor="text1"/>
                <w:sz w:val="16"/>
                <w:szCs w:val="16"/>
                <w:lang w:eastAsia="en-PH"/>
              </w:rPr>
              <w:t xml:space="preserve"> Total </w:t>
            </w:r>
          </w:p>
        </w:tc>
      </w:tr>
      <w:tr w:rsidR="00180611" w:rsidRPr="00180611" w:rsidTr="00CE1519">
        <w:trPr>
          <w:trHeight w:val="233"/>
        </w:trPr>
        <w:tc>
          <w:tcPr>
            <w:tcW w:w="2165" w:type="dxa"/>
            <w:tcBorders>
              <w:top w:val="single" w:sz="4" w:space="0" w:color="auto"/>
            </w:tcBorders>
            <w:shd w:val="clear" w:color="auto" w:fill="auto"/>
            <w:vAlign w:val="center"/>
            <w:hideMark/>
          </w:tcPr>
          <w:p w:rsidR="00180611" w:rsidRPr="00CE1519" w:rsidRDefault="00180611" w:rsidP="00CE1519">
            <w:pPr>
              <w:spacing w:after="0" w:line="240" w:lineRule="auto"/>
              <w:ind w:right="-108"/>
              <w:rPr>
                <w:rFonts w:ascii="Arial Narrow" w:eastAsia="Times New Roman" w:hAnsi="Arial Narrow" w:cs="Arial"/>
                <w:color w:val="000000" w:themeColor="text1"/>
                <w:sz w:val="16"/>
                <w:szCs w:val="16"/>
                <w:lang w:eastAsia="en-PH"/>
              </w:rPr>
            </w:pPr>
            <w:r w:rsidRPr="00CE1519">
              <w:rPr>
                <w:rFonts w:ascii="Arial Narrow" w:eastAsia="Times New Roman" w:hAnsi="Arial Narrow" w:cs="Arial"/>
                <w:color w:val="000000" w:themeColor="text1"/>
                <w:sz w:val="16"/>
                <w:szCs w:val="16"/>
                <w:lang w:eastAsia="en-PH"/>
              </w:rPr>
              <w:t>a. Unrecorded Collections/ Deposits</w:t>
            </w:r>
          </w:p>
        </w:tc>
        <w:tc>
          <w:tcPr>
            <w:tcW w:w="1260" w:type="dxa"/>
            <w:tcBorders>
              <w:top w:val="single" w:sz="4" w:space="0" w:color="auto"/>
            </w:tcBorders>
            <w:shd w:val="clear" w:color="auto" w:fill="auto"/>
            <w:vAlign w:val="center"/>
            <w:hideMark/>
          </w:tcPr>
          <w:p w:rsidR="00180611" w:rsidRPr="00CE1519" w:rsidRDefault="00180611" w:rsidP="001D442C">
            <w:pPr>
              <w:spacing w:after="0" w:line="240" w:lineRule="auto"/>
              <w:jc w:val="right"/>
              <w:rPr>
                <w:rFonts w:ascii="Arial Narrow" w:eastAsia="Times New Roman" w:hAnsi="Arial Narrow" w:cs="Arial"/>
                <w:color w:val="000000" w:themeColor="text1"/>
                <w:sz w:val="16"/>
                <w:szCs w:val="16"/>
                <w:lang w:eastAsia="en-PH"/>
              </w:rPr>
            </w:pPr>
            <w:r w:rsidRPr="00CE1519">
              <w:rPr>
                <w:rFonts w:ascii="Arial Narrow" w:eastAsia="Times New Roman" w:hAnsi="Arial Narrow" w:cs="Arial"/>
                <w:color w:val="000000" w:themeColor="text1"/>
                <w:sz w:val="16"/>
                <w:szCs w:val="16"/>
                <w:lang w:eastAsia="en-PH"/>
              </w:rPr>
              <w:t xml:space="preserve">       31,975,223.22 </w:t>
            </w:r>
          </w:p>
        </w:tc>
        <w:tc>
          <w:tcPr>
            <w:tcW w:w="1127" w:type="dxa"/>
            <w:tcBorders>
              <w:top w:val="single" w:sz="4" w:space="0" w:color="auto"/>
            </w:tcBorders>
            <w:shd w:val="clear" w:color="auto" w:fill="auto"/>
            <w:vAlign w:val="center"/>
            <w:hideMark/>
          </w:tcPr>
          <w:p w:rsidR="00180611" w:rsidRPr="00CE1519" w:rsidRDefault="00180611" w:rsidP="001D442C">
            <w:pPr>
              <w:spacing w:after="0" w:line="240" w:lineRule="auto"/>
              <w:jc w:val="right"/>
              <w:rPr>
                <w:rFonts w:ascii="Arial Narrow" w:eastAsia="Times New Roman" w:hAnsi="Arial Narrow" w:cs="Arial"/>
                <w:color w:val="000000" w:themeColor="text1"/>
                <w:sz w:val="16"/>
                <w:szCs w:val="16"/>
                <w:lang w:eastAsia="en-PH"/>
              </w:rPr>
            </w:pPr>
            <w:r w:rsidRPr="00CE1519">
              <w:rPr>
                <w:rFonts w:ascii="Arial Narrow" w:eastAsia="Times New Roman" w:hAnsi="Arial Narrow" w:cs="Arial"/>
                <w:color w:val="000000" w:themeColor="text1"/>
                <w:sz w:val="16"/>
                <w:szCs w:val="16"/>
                <w:lang w:eastAsia="en-PH"/>
              </w:rPr>
              <w:t xml:space="preserve">         1,413,101.64 </w:t>
            </w:r>
          </w:p>
        </w:tc>
        <w:tc>
          <w:tcPr>
            <w:tcW w:w="1034" w:type="dxa"/>
            <w:tcBorders>
              <w:top w:val="single" w:sz="4" w:space="0" w:color="auto"/>
            </w:tcBorders>
            <w:shd w:val="clear" w:color="auto" w:fill="auto"/>
            <w:vAlign w:val="center"/>
            <w:hideMark/>
          </w:tcPr>
          <w:p w:rsidR="00180611" w:rsidRPr="00CE1519" w:rsidRDefault="00180611" w:rsidP="001D442C">
            <w:pPr>
              <w:spacing w:after="0" w:line="240" w:lineRule="auto"/>
              <w:jc w:val="right"/>
              <w:rPr>
                <w:rFonts w:ascii="Arial Narrow" w:eastAsia="Times New Roman" w:hAnsi="Arial Narrow" w:cs="Arial"/>
                <w:color w:val="000000" w:themeColor="text1"/>
                <w:sz w:val="16"/>
                <w:szCs w:val="16"/>
                <w:lang w:eastAsia="en-PH"/>
              </w:rPr>
            </w:pPr>
            <w:r w:rsidRPr="00CE1519">
              <w:rPr>
                <w:rFonts w:ascii="Arial Narrow" w:eastAsia="Times New Roman" w:hAnsi="Arial Narrow" w:cs="Arial"/>
                <w:color w:val="000000" w:themeColor="text1"/>
                <w:sz w:val="16"/>
                <w:szCs w:val="16"/>
                <w:lang w:eastAsia="en-PH"/>
              </w:rPr>
              <w:t xml:space="preserve">                           -   </w:t>
            </w:r>
          </w:p>
        </w:tc>
        <w:tc>
          <w:tcPr>
            <w:tcW w:w="1169" w:type="dxa"/>
            <w:tcBorders>
              <w:top w:val="single" w:sz="4" w:space="0" w:color="auto"/>
            </w:tcBorders>
            <w:shd w:val="clear" w:color="auto" w:fill="auto"/>
            <w:vAlign w:val="center"/>
            <w:hideMark/>
          </w:tcPr>
          <w:p w:rsidR="00180611" w:rsidRPr="00CE1519" w:rsidRDefault="00180611" w:rsidP="001D442C">
            <w:pPr>
              <w:spacing w:after="0" w:line="240" w:lineRule="auto"/>
              <w:jc w:val="right"/>
              <w:rPr>
                <w:rFonts w:ascii="Arial Narrow" w:eastAsia="Times New Roman" w:hAnsi="Arial Narrow" w:cs="Arial"/>
                <w:color w:val="000000" w:themeColor="text1"/>
                <w:sz w:val="16"/>
                <w:szCs w:val="16"/>
                <w:lang w:eastAsia="en-PH"/>
              </w:rPr>
            </w:pPr>
            <w:r w:rsidRPr="00CE1519">
              <w:rPr>
                <w:rFonts w:ascii="Arial Narrow" w:eastAsia="Times New Roman" w:hAnsi="Arial Narrow" w:cs="Arial"/>
                <w:color w:val="000000" w:themeColor="text1"/>
                <w:sz w:val="16"/>
                <w:szCs w:val="16"/>
                <w:lang w:eastAsia="en-PH"/>
              </w:rPr>
              <w:t xml:space="preserve">                   822.62 </w:t>
            </w:r>
          </w:p>
        </w:tc>
        <w:tc>
          <w:tcPr>
            <w:tcW w:w="1112" w:type="dxa"/>
            <w:tcBorders>
              <w:top w:val="single" w:sz="4" w:space="0" w:color="auto"/>
            </w:tcBorders>
            <w:shd w:val="clear" w:color="auto" w:fill="auto"/>
            <w:vAlign w:val="center"/>
            <w:hideMark/>
          </w:tcPr>
          <w:p w:rsidR="00180611" w:rsidRPr="00CE1519" w:rsidRDefault="00180611" w:rsidP="001D442C">
            <w:pPr>
              <w:spacing w:after="0" w:line="240" w:lineRule="auto"/>
              <w:jc w:val="right"/>
              <w:rPr>
                <w:rFonts w:ascii="Arial Narrow" w:eastAsia="Times New Roman" w:hAnsi="Arial Narrow" w:cs="Arial"/>
                <w:color w:val="000000" w:themeColor="text1"/>
                <w:sz w:val="16"/>
                <w:szCs w:val="16"/>
                <w:lang w:eastAsia="en-PH"/>
              </w:rPr>
            </w:pPr>
            <w:r w:rsidRPr="00CE1519">
              <w:rPr>
                <w:rFonts w:ascii="Arial Narrow" w:eastAsia="Times New Roman" w:hAnsi="Arial Narrow" w:cs="Arial"/>
                <w:color w:val="000000" w:themeColor="text1"/>
                <w:sz w:val="16"/>
                <w:szCs w:val="16"/>
                <w:lang w:eastAsia="en-PH"/>
              </w:rPr>
              <w:t xml:space="preserve">                           -   </w:t>
            </w:r>
          </w:p>
        </w:tc>
        <w:tc>
          <w:tcPr>
            <w:tcW w:w="1190" w:type="dxa"/>
            <w:tcBorders>
              <w:top w:val="single" w:sz="4" w:space="0" w:color="auto"/>
            </w:tcBorders>
            <w:shd w:val="clear" w:color="auto" w:fill="auto"/>
            <w:noWrap/>
            <w:vAlign w:val="center"/>
            <w:hideMark/>
          </w:tcPr>
          <w:p w:rsidR="00180611" w:rsidRPr="00CE1519" w:rsidRDefault="00180611" w:rsidP="00CE1519">
            <w:pPr>
              <w:spacing w:after="0" w:line="240" w:lineRule="auto"/>
              <w:ind w:right="-56"/>
              <w:jc w:val="right"/>
              <w:rPr>
                <w:rFonts w:ascii="Arial Narrow" w:eastAsia="Times New Roman" w:hAnsi="Arial Narrow" w:cs="Arial"/>
                <w:color w:val="000000" w:themeColor="text1"/>
                <w:sz w:val="16"/>
                <w:szCs w:val="16"/>
                <w:lang w:eastAsia="en-PH"/>
              </w:rPr>
            </w:pPr>
            <w:r w:rsidRPr="00CE1519">
              <w:rPr>
                <w:rFonts w:ascii="Arial Narrow" w:eastAsia="Times New Roman" w:hAnsi="Arial Narrow" w:cs="Arial"/>
                <w:color w:val="000000" w:themeColor="text1"/>
                <w:sz w:val="16"/>
                <w:szCs w:val="16"/>
                <w:lang w:eastAsia="en-PH"/>
              </w:rPr>
              <w:t xml:space="preserve">       33,389,147.48 </w:t>
            </w:r>
          </w:p>
        </w:tc>
      </w:tr>
      <w:tr w:rsidR="00180611" w:rsidRPr="00180611" w:rsidTr="00CE1519">
        <w:trPr>
          <w:trHeight w:val="144"/>
        </w:trPr>
        <w:tc>
          <w:tcPr>
            <w:tcW w:w="2165" w:type="dxa"/>
            <w:shd w:val="clear" w:color="auto" w:fill="auto"/>
            <w:vAlign w:val="bottom"/>
            <w:hideMark/>
          </w:tcPr>
          <w:p w:rsidR="00180611" w:rsidRPr="00CE1519" w:rsidRDefault="00180611" w:rsidP="00CE1519">
            <w:pPr>
              <w:spacing w:after="0" w:line="240" w:lineRule="auto"/>
              <w:ind w:right="-108"/>
              <w:rPr>
                <w:rFonts w:ascii="Arial Narrow" w:eastAsia="Times New Roman" w:hAnsi="Arial Narrow" w:cs="Arial"/>
                <w:color w:val="000000" w:themeColor="text1"/>
                <w:sz w:val="16"/>
                <w:szCs w:val="16"/>
                <w:lang w:eastAsia="en-PH"/>
              </w:rPr>
            </w:pPr>
            <w:r w:rsidRPr="00CE1519">
              <w:rPr>
                <w:rFonts w:ascii="Arial Narrow" w:eastAsia="Times New Roman" w:hAnsi="Arial Narrow" w:cs="Arial"/>
                <w:color w:val="000000" w:themeColor="text1"/>
                <w:sz w:val="16"/>
                <w:szCs w:val="16"/>
                <w:lang w:eastAsia="en-PH"/>
              </w:rPr>
              <w:t>b. Fund Transfers from PDOs</w:t>
            </w:r>
          </w:p>
        </w:tc>
        <w:tc>
          <w:tcPr>
            <w:tcW w:w="1260" w:type="dxa"/>
            <w:shd w:val="clear" w:color="auto" w:fill="auto"/>
            <w:vAlign w:val="center"/>
            <w:hideMark/>
          </w:tcPr>
          <w:p w:rsidR="00180611" w:rsidRPr="00CE1519" w:rsidRDefault="00180611" w:rsidP="001D442C">
            <w:pPr>
              <w:spacing w:after="0" w:line="240" w:lineRule="auto"/>
              <w:jc w:val="right"/>
              <w:rPr>
                <w:rFonts w:ascii="Arial Narrow" w:eastAsia="Times New Roman" w:hAnsi="Arial Narrow" w:cs="Arial"/>
                <w:color w:val="000000" w:themeColor="text1"/>
                <w:sz w:val="16"/>
                <w:szCs w:val="16"/>
                <w:lang w:eastAsia="en-PH"/>
              </w:rPr>
            </w:pPr>
            <w:r w:rsidRPr="00CE1519">
              <w:rPr>
                <w:rFonts w:ascii="Arial Narrow" w:eastAsia="Times New Roman" w:hAnsi="Arial Narrow" w:cs="Arial"/>
                <w:color w:val="000000" w:themeColor="text1"/>
                <w:sz w:val="16"/>
                <w:szCs w:val="16"/>
                <w:lang w:eastAsia="en-PH"/>
              </w:rPr>
              <w:t xml:space="preserve">   25,685,503.28 </w:t>
            </w:r>
          </w:p>
        </w:tc>
        <w:tc>
          <w:tcPr>
            <w:tcW w:w="1127" w:type="dxa"/>
            <w:shd w:val="clear" w:color="auto" w:fill="auto"/>
            <w:noWrap/>
            <w:vAlign w:val="center"/>
            <w:hideMark/>
          </w:tcPr>
          <w:p w:rsidR="00180611" w:rsidRPr="00CE1519" w:rsidRDefault="00180611" w:rsidP="001D442C">
            <w:pPr>
              <w:spacing w:after="0" w:line="240" w:lineRule="auto"/>
              <w:jc w:val="right"/>
              <w:rPr>
                <w:rFonts w:ascii="Arial Narrow" w:eastAsia="Times New Roman" w:hAnsi="Arial Narrow" w:cs="Arial"/>
                <w:color w:val="000000" w:themeColor="text1"/>
                <w:sz w:val="16"/>
                <w:szCs w:val="16"/>
                <w:lang w:eastAsia="en-PH"/>
              </w:rPr>
            </w:pPr>
            <w:r w:rsidRPr="00CE1519">
              <w:rPr>
                <w:rFonts w:ascii="Arial Narrow" w:eastAsia="Times New Roman" w:hAnsi="Arial Narrow" w:cs="Arial"/>
                <w:color w:val="000000" w:themeColor="text1"/>
                <w:sz w:val="16"/>
                <w:szCs w:val="16"/>
                <w:lang w:eastAsia="en-PH"/>
              </w:rPr>
              <w:t>(3,566,436.77)</w:t>
            </w:r>
          </w:p>
        </w:tc>
        <w:tc>
          <w:tcPr>
            <w:tcW w:w="1034" w:type="dxa"/>
            <w:shd w:val="clear" w:color="auto" w:fill="auto"/>
            <w:noWrap/>
            <w:vAlign w:val="center"/>
            <w:hideMark/>
          </w:tcPr>
          <w:p w:rsidR="00180611" w:rsidRPr="00CE1519" w:rsidRDefault="00180611" w:rsidP="001D442C">
            <w:pPr>
              <w:spacing w:after="0" w:line="240" w:lineRule="auto"/>
              <w:jc w:val="right"/>
              <w:rPr>
                <w:rFonts w:ascii="Arial Narrow" w:eastAsia="Times New Roman" w:hAnsi="Arial Narrow" w:cs="Arial"/>
                <w:color w:val="000000" w:themeColor="text1"/>
                <w:sz w:val="16"/>
                <w:szCs w:val="16"/>
                <w:lang w:eastAsia="en-PH"/>
              </w:rPr>
            </w:pPr>
            <w:r w:rsidRPr="00CE1519">
              <w:rPr>
                <w:rFonts w:ascii="Arial Narrow" w:eastAsia="Times New Roman" w:hAnsi="Arial Narrow" w:cs="Arial"/>
                <w:color w:val="000000" w:themeColor="text1"/>
                <w:sz w:val="16"/>
                <w:szCs w:val="16"/>
                <w:lang w:eastAsia="en-PH"/>
              </w:rPr>
              <w:t xml:space="preserve">8,729,968.67 </w:t>
            </w:r>
          </w:p>
        </w:tc>
        <w:tc>
          <w:tcPr>
            <w:tcW w:w="1169" w:type="dxa"/>
            <w:shd w:val="clear" w:color="auto" w:fill="auto"/>
            <w:noWrap/>
            <w:vAlign w:val="center"/>
            <w:hideMark/>
          </w:tcPr>
          <w:p w:rsidR="00180611" w:rsidRPr="00CE1519" w:rsidRDefault="00180611" w:rsidP="001D442C">
            <w:pPr>
              <w:spacing w:after="0" w:line="240" w:lineRule="auto"/>
              <w:jc w:val="right"/>
              <w:rPr>
                <w:rFonts w:ascii="Arial Narrow" w:eastAsia="Times New Roman" w:hAnsi="Arial Narrow" w:cs="Arial"/>
                <w:color w:val="000000" w:themeColor="text1"/>
                <w:sz w:val="16"/>
                <w:szCs w:val="16"/>
                <w:lang w:eastAsia="en-PH"/>
              </w:rPr>
            </w:pPr>
            <w:r w:rsidRPr="00CE1519">
              <w:rPr>
                <w:rFonts w:ascii="Arial Narrow" w:eastAsia="Times New Roman" w:hAnsi="Arial Narrow" w:cs="Arial"/>
                <w:color w:val="000000" w:themeColor="text1"/>
                <w:sz w:val="16"/>
                <w:szCs w:val="16"/>
                <w:lang w:eastAsia="en-PH"/>
              </w:rPr>
              <w:t xml:space="preserve"> 25,751,477.41 </w:t>
            </w:r>
          </w:p>
        </w:tc>
        <w:tc>
          <w:tcPr>
            <w:tcW w:w="1112" w:type="dxa"/>
            <w:shd w:val="clear" w:color="auto" w:fill="auto"/>
            <w:noWrap/>
            <w:vAlign w:val="center"/>
            <w:hideMark/>
          </w:tcPr>
          <w:p w:rsidR="00180611" w:rsidRPr="00CE1519" w:rsidRDefault="00180611" w:rsidP="001D442C">
            <w:pPr>
              <w:spacing w:after="0" w:line="240" w:lineRule="auto"/>
              <w:jc w:val="right"/>
              <w:rPr>
                <w:rFonts w:ascii="Arial Narrow" w:eastAsia="Times New Roman" w:hAnsi="Arial Narrow" w:cs="Arial"/>
                <w:color w:val="000000" w:themeColor="text1"/>
                <w:sz w:val="16"/>
                <w:szCs w:val="16"/>
                <w:lang w:eastAsia="en-PH"/>
              </w:rPr>
            </w:pPr>
            <w:r w:rsidRPr="00CE1519">
              <w:rPr>
                <w:rFonts w:ascii="Arial Narrow" w:eastAsia="Times New Roman" w:hAnsi="Arial Narrow" w:cs="Arial"/>
                <w:color w:val="000000" w:themeColor="text1"/>
                <w:sz w:val="16"/>
                <w:szCs w:val="16"/>
                <w:lang w:eastAsia="en-PH"/>
              </w:rPr>
              <w:t xml:space="preserve">16,622,136.90 </w:t>
            </w:r>
          </w:p>
        </w:tc>
        <w:tc>
          <w:tcPr>
            <w:tcW w:w="1190" w:type="dxa"/>
            <w:shd w:val="clear" w:color="auto" w:fill="auto"/>
            <w:noWrap/>
            <w:vAlign w:val="center"/>
            <w:hideMark/>
          </w:tcPr>
          <w:p w:rsidR="00180611" w:rsidRPr="00CE1519" w:rsidRDefault="00180611" w:rsidP="00CE1519">
            <w:pPr>
              <w:spacing w:after="0" w:line="240" w:lineRule="auto"/>
              <w:ind w:right="-56"/>
              <w:jc w:val="right"/>
              <w:rPr>
                <w:rFonts w:ascii="Arial Narrow" w:eastAsia="Times New Roman" w:hAnsi="Arial Narrow" w:cs="Arial"/>
                <w:color w:val="000000" w:themeColor="text1"/>
                <w:sz w:val="16"/>
                <w:szCs w:val="16"/>
                <w:lang w:eastAsia="en-PH"/>
              </w:rPr>
            </w:pPr>
            <w:r w:rsidRPr="00CE1519">
              <w:rPr>
                <w:rFonts w:ascii="Arial Narrow" w:eastAsia="Times New Roman" w:hAnsi="Arial Narrow" w:cs="Arial"/>
                <w:color w:val="000000" w:themeColor="text1"/>
                <w:sz w:val="16"/>
                <w:szCs w:val="16"/>
                <w:lang w:eastAsia="en-PH"/>
              </w:rPr>
              <w:t xml:space="preserve">   73,222,649.49 </w:t>
            </w:r>
          </w:p>
        </w:tc>
      </w:tr>
      <w:tr w:rsidR="00180611" w:rsidRPr="00180611" w:rsidTr="00CE1519">
        <w:trPr>
          <w:trHeight w:val="206"/>
        </w:trPr>
        <w:tc>
          <w:tcPr>
            <w:tcW w:w="2165" w:type="dxa"/>
            <w:shd w:val="clear" w:color="auto" w:fill="auto"/>
            <w:vAlign w:val="center"/>
            <w:hideMark/>
          </w:tcPr>
          <w:p w:rsidR="00180611" w:rsidRPr="00CE1519" w:rsidRDefault="00180611" w:rsidP="00CE1519">
            <w:pPr>
              <w:spacing w:after="0" w:line="240" w:lineRule="auto"/>
              <w:ind w:right="-108"/>
              <w:rPr>
                <w:rFonts w:ascii="Arial Narrow" w:eastAsia="Times New Roman" w:hAnsi="Arial Narrow" w:cs="Arial"/>
                <w:color w:val="000000"/>
                <w:sz w:val="16"/>
                <w:szCs w:val="16"/>
                <w:lang w:eastAsia="en-PH"/>
              </w:rPr>
            </w:pPr>
            <w:r w:rsidRPr="00CE1519">
              <w:rPr>
                <w:rFonts w:ascii="Arial Narrow" w:eastAsia="Times New Roman" w:hAnsi="Arial Narrow" w:cs="Arial"/>
                <w:color w:val="000000"/>
                <w:sz w:val="16"/>
                <w:szCs w:val="16"/>
                <w:lang w:eastAsia="en-PH"/>
              </w:rPr>
              <w:t>c. Over/Under Remittance presented (STL)</w:t>
            </w:r>
          </w:p>
        </w:tc>
        <w:tc>
          <w:tcPr>
            <w:tcW w:w="1260" w:type="dxa"/>
            <w:shd w:val="clear" w:color="auto" w:fill="auto"/>
            <w:vAlign w:val="center"/>
            <w:hideMark/>
          </w:tcPr>
          <w:p w:rsidR="00180611" w:rsidRPr="00CE1519" w:rsidRDefault="00180611" w:rsidP="001D442C">
            <w:pPr>
              <w:spacing w:after="0" w:line="240" w:lineRule="auto"/>
              <w:jc w:val="right"/>
              <w:rPr>
                <w:rFonts w:ascii="Arial Narrow" w:eastAsia="Times New Roman" w:hAnsi="Arial Narrow" w:cs="Arial"/>
                <w:color w:val="000000"/>
                <w:sz w:val="16"/>
                <w:szCs w:val="16"/>
                <w:lang w:eastAsia="en-PH"/>
              </w:rPr>
            </w:pPr>
            <w:r w:rsidRPr="00CE1519">
              <w:rPr>
                <w:rFonts w:ascii="Arial Narrow" w:eastAsia="Times New Roman" w:hAnsi="Arial Narrow" w:cs="Arial"/>
                <w:color w:val="000000"/>
                <w:sz w:val="16"/>
                <w:szCs w:val="16"/>
                <w:lang w:eastAsia="en-PH"/>
              </w:rPr>
              <w:t xml:space="preserve">                           -   </w:t>
            </w:r>
          </w:p>
        </w:tc>
        <w:tc>
          <w:tcPr>
            <w:tcW w:w="1127" w:type="dxa"/>
            <w:shd w:val="clear" w:color="auto" w:fill="auto"/>
            <w:vAlign w:val="center"/>
            <w:hideMark/>
          </w:tcPr>
          <w:p w:rsidR="00180611" w:rsidRPr="00CE1519" w:rsidRDefault="00180611" w:rsidP="001D442C">
            <w:pPr>
              <w:spacing w:after="0" w:line="240" w:lineRule="auto"/>
              <w:jc w:val="right"/>
              <w:rPr>
                <w:rFonts w:ascii="Arial Narrow" w:eastAsia="Times New Roman" w:hAnsi="Arial Narrow" w:cs="Arial"/>
                <w:color w:val="000000"/>
                <w:sz w:val="16"/>
                <w:szCs w:val="16"/>
                <w:lang w:eastAsia="en-PH"/>
              </w:rPr>
            </w:pPr>
            <w:r w:rsidRPr="00CE1519">
              <w:rPr>
                <w:rFonts w:ascii="Arial Narrow" w:eastAsia="Times New Roman" w:hAnsi="Arial Narrow" w:cs="Arial"/>
                <w:color w:val="000000"/>
                <w:sz w:val="16"/>
                <w:szCs w:val="16"/>
                <w:lang w:eastAsia="en-PH"/>
              </w:rPr>
              <w:t xml:space="preserve">                           -   </w:t>
            </w:r>
          </w:p>
        </w:tc>
        <w:tc>
          <w:tcPr>
            <w:tcW w:w="1034" w:type="dxa"/>
            <w:shd w:val="clear" w:color="auto" w:fill="auto"/>
            <w:vAlign w:val="center"/>
            <w:hideMark/>
          </w:tcPr>
          <w:p w:rsidR="00180611" w:rsidRPr="00CE1519" w:rsidRDefault="00180611" w:rsidP="001D442C">
            <w:pPr>
              <w:spacing w:after="0" w:line="240" w:lineRule="auto"/>
              <w:jc w:val="right"/>
              <w:rPr>
                <w:rFonts w:ascii="Arial Narrow" w:eastAsia="Times New Roman" w:hAnsi="Arial Narrow" w:cs="Arial"/>
                <w:color w:val="000000"/>
                <w:sz w:val="16"/>
                <w:szCs w:val="16"/>
                <w:lang w:eastAsia="en-PH"/>
              </w:rPr>
            </w:pPr>
            <w:r w:rsidRPr="00CE1519">
              <w:rPr>
                <w:rFonts w:ascii="Arial Narrow" w:eastAsia="Times New Roman" w:hAnsi="Arial Narrow" w:cs="Arial"/>
                <w:color w:val="000000"/>
                <w:sz w:val="16"/>
                <w:szCs w:val="16"/>
                <w:lang w:eastAsia="en-PH"/>
              </w:rPr>
              <w:t xml:space="preserve">                           -   </w:t>
            </w:r>
          </w:p>
        </w:tc>
        <w:tc>
          <w:tcPr>
            <w:tcW w:w="1169" w:type="dxa"/>
            <w:shd w:val="clear" w:color="auto" w:fill="auto"/>
            <w:vAlign w:val="center"/>
            <w:hideMark/>
          </w:tcPr>
          <w:p w:rsidR="00180611" w:rsidRPr="00CE1519" w:rsidRDefault="00180611" w:rsidP="001D442C">
            <w:pPr>
              <w:spacing w:after="0" w:line="240" w:lineRule="auto"/>
              <w:jc w:val="right"/>
              <w:rPr>
                <w:rFonts w:ascii="Arial Narrow" w:eastAsia="Times New Roman" w:hAnsi="Arial Narrow" w:cs="Arial"/>
                <w:color w:val="000000"/>
                <w:sz w:val="16"/>
                <w:szCs w:val="16"/>
                <w:lang w:eastAsia="en-PH"/>
              </w:rPr>
            </w:pPr>
            <w:r w:rsidRPr="00CE1519">
              <w:rPr>
                <w:rFonts w:ascii="Arial Narrow" w:eastAsia="Times New Roman" w:hAnsi="Arial Narrow" w:cs="Arial"/>
                <w:color w:val="000000"/>
                <w:sz w:val="16"/>
                <w:szCs w:val="16"/>
                <w:lang w:eastAsia="en-PH"/>
              </w:rPr>
              <w:t xml:space="preserve">                           -   </w:t>
            </w:r>
          </w:p>
        </w:tc>
        <w:tc>
          <w:tcPr>
            <w:tcW w:w="1112" w:type="dxa"/>
            <w:shd w:val="clear" w:color="auto" w:fill="auto"/>
            <w:vAlign w:val="center"/>
            <w:hideMark/>
          </w:tcPr>
          <w:p w:rsidR="00180611" w:rsidRPr="00CE1519" w:rsidRDefault="00180611" w:rsidP="001D442C">
            <w:pPr>
              <w:spacing w:after="0" w:line="240" w:lineRule="auto"/>
              <w:jc w:val="right"/>
              <w:rPr>
                <w:rFonts w:ascii="Arial Narrow" w:eastAsia="Times New Roman" w:hAnsi="Arial Narrow" w:cs="Arial"/>
                <w:color w:val="000000"/>
                <w:sz w:val="16"/>
                <w:szCs w:val="16"/>
                <w:lang w:eastAsia="en-PH"/>
              </w:rPr>
            </w:pPr>
            <w:r w:rsidRPr="00CE1519">
              <w:rPr>
                <w:rFonts w:ascii="Arial Narrow" w:eastAsia="Times New Roman" w:hAnsi="Arial Narrow" w:cs="Arial"/>
                <w:color w:val="000000"/>
                <w:sz w:val="16"/>
                <w:szCs w:val="16"/>
                <w:lang w:eastAsia="en-PH"/>
              </w:rPr>
              <w:t xml:space="preserve">           (799,391.67)</w:t>
            </w:r>
          </w:p>
        </w:tc>
        <w:tc>
          <w:tcPr>
            <w:tcW w:w="1190" w:type="dxa"/>
            <w:shd w:val="clear" w:color="auto" w:fill="auto"/>
            <w:noWrap/>
            <w:vAlign w:val="center"/>
            <w:hideMark/>
          </w:tcPr>
          <w:p w:rsidR="00180611" w:rsidRPr="00CE1519" w:rsidRDefault="00180611" w:rsidP="00CE1519">
            <w:pPr>
              <w:spacing w:after="0" w:line="240" w:lineRule="auto"/>
              <w:ind w:right="-56"/>
              <w:jc w:val="right"/>
              <w:rPr>
                <w:rFonts w:ascii="Arial Narrow" w:eastAsia="Times New Roman" w:hAnsi="Arial Narrow" w:cs="Arial"/>
                <w:color w:val="000000"/>
                <w:sz w:val="16"/>
                <w:szCs w:val="16"/>
                <w:lang w:eastAsia="en-PH"/>
              </w:rPr>
            </w:pPr>
            <w:r w:rsidRPr="00CE1519">
              <w:rPr>
                <w:rFonts w:ascii="Arial Narrow" w:eastAsia="Times New Roman" w:hAnsi="Arial Narrow" w:cs="Arial"/>
                <w:color w:val="000000"/>
                <w:sz w:val="16"/>
                <w:szCs w:val="16"/>
                <w:lang w:eastAsia="en-PH"/>
              </w:rPr>
              <w:t xml:space="preserve">           (799,391.67)</w:t>
            </w:r>
          </w:p>
        </w:tc>
      </w:tr>
      <w:tr w:rsidR="00180611" w:rsidRPr="00180611" w:rsidTr="00CE1519">
        <w:trPr>
          <w:trHeight w:val="47"/>
        </w:trPr>
        <w:tc>
          <w:tcPr>
            <w:tcW w:w="2165" w:type="dxa"/>
            <w:shd w:val="clear" w:color="auto" w:fill="auto"/>
            <w:vAlign w:val="center"/>
            <w:hideMark/>
          </w:tcPr>
          <w:p w:rsidR="00180611" w:rsidRPr="00CE1519" w:rsidRDefault="00180611" w:rsidP="00CE1519">
            <w:pPr>
              <w:spacing w:after="0" w:line="240" w:lineRule="auto"/>
              <w:ind w:right="-108"/>
              <w:rPr>
                <w:rFonts w:ascii="Arial Narrow" w:eastAsia="Times New Roman" w:hAnsi="Arial Narrow" w:cs="Arial"/>
                <w:color w:val="000000"/>
                <w:sz w:val="16"/>
                <w:szCs w:val="16"/>
                <w:lang w:eastAsia="en-PH"/>
              </w:rPr>
            </w:pPr>
            <w:r w:rsidRPr="00CE1519">
              <w:rPr>
                <w:rFonts w:ascii="Arial Narrow" w:eastAsia="Times New Roman" w:hAnsi="Arial Narrow" w:cs="Arial"/>
                <w:color w:val="000000"/>
                <w:sz w:val="16"/>
                <w:szCs w:val="16"/>
                <w:lang w:eastAsia="en-PH"/>
              </w:rPr>
              <w:t>d. Difference in the amount of Remittance (STL)</w:t>
            </w:r>
          </w:p>
        </w:tc>
        <w:tc>
          <w:tcPr>
            <w:tcW w:w="1260" w:type="dxa"/>
            <w:shd w:val="clear" w:color="auto" w:fill="auto"/>
            <w:vAlign w:val="center"/>
            <w:hideMark/>
          </w:tcPr>
          <w:p w:rsidR="00180611" w:rsidRPr="00CE1519" w:rsidRDefault="00180611" w:rsidP="001D442C">
            <w:pPr>
              <w:spacing w:after="0" w:line="240" w:lineRule="auto"/>
              <w:jc w:val="right"/>
              <w:rPr>
                <w:rFonts w:ascii="Arial Narrow" w:eastAsia="Times New Roman" w:hAnsi="Arial Narrow" w:cs="Arial"/>
                <w:color w:val="000000"/>
                <w:sz w:val="16"/>
                <w:szCs w:val="16"/>
                <w:lang w:eastAsia="en-PH"/>
              </w:rPr>
            </w:pPr>
            <w:r w:rsidRPr="00CE1519">
              <w:rPr>
                <w:rFonts w:ascii="Arial Narrow" w:eastAsia="Times New Roman" w:hAnsi="Arial Narrow" w:cs="Arial"/>
                <w:color w:val="000000"/>
                <w:sz w:val="16"/>
                <w:szCs w:val="16"/>
                <w:lang w:eastAsia="en-PH"/>
              </w:rPr>
              <w:t xml:space="preserve">       14,753,393.80 </w:t>
            </w:r>
          </w:p>
        </w:tc>
        <w:tc>
          <w:tcPr>
            <w:tcW w:w="1127" w:type="dxa"/>
            <w:shd w:val="clear" w:color="auto" w:fill="auto"/>
            <w:vAlign w:val="center"/>
            <w:hideMark/>
          </w:tcPr>
          <w:p w:rsidR="00180611" w:rsidRPr="00CE1519" w:rsidRDefault="00180611" w:rsidP="001D442C">
            <w:pPr>
              <w:spacing w:after="0" w:line="240" w:lineRule="auto"/>
              <w:jc w:val="right"/>
              <w:rPr>
                <w:rFonts w:ascii="Arial Narrow" w:eastAsia="Times New Roman" w:hAnsi="Arial Narrow" w:cs="Arial"/>
                <w:color w:val="000000"/>
                <w:sz w:val="16"/>
                <w:szCs w:val="16"/>
                <w:lang w:eastAsia="en-PH"/>
              </w:rPr>
            </w:pPr>
            <w:r w:rsidRPr="00CE1519">
              <w:rPr>
                <w:rFonts w:ascii="Arial Narrow" w:eastAsia="Times New Roman" w:hAnsi="Arial Narrow" w:cs="Arial"/>
                <w:color w:val="000000"/>
                <w:sz w:val="16"/>
                <w:szCs w:val="16"/>
                <w:lang w:eastAsia="en-PH"/>
              </w:rPr>
              <w:t xml:space="preserve">         4,763,695.03 </w:t>
            </w:r>
          </w:p>
        </w:tc>
        <w:tc>
          <w:tcPr>
            <w:tcW w:w="1034" w:type="dxa"/>
            <w:shd w:val="clear" w:color="auto" w:fill="auto"/>
            <w:vAlign w:val="center"/>
            <w:hideMark/>
          </w:tcPr>
          <w:p w:rsidR="00180611" w:rsidRPr="00CE1519" w:rsidRDefault="00180611" w:rsidP="001D442C">
            <w:pPr>
              <w:spacing w:after="0" w:line="240" w:lineRule="auto"/>
              <w:jc w:val="right"/>
              <w:rPr>
                <w:rFonts w:ascii="Arial Narrow" w:eastAsia="Times New Roman" w:hAnsi="Arial Narrow" w:cs="Arial"/>
                <w:color w:val="000000"/>
                <w:sz w:val="16"/>
                <w:szCs w:val="16"/>
                <w:lang w:eastAsia="en-PH"/>
              </w:rPr>
            </w:pPr>
            <w:r w:rsidRPr="00CE1519">
              <w:rPr>
                <w:rFonts w:ascii="Arial Narrow" w:eastAsia="Times New Roman" w:hAnsi="Arial Narrow" w:cs="Arial"/>
                <w:color w:val="000000"/>
                <w:sz w:val="16"/>
                <w:szCs w:val="16"/>
                <w:lang w:eastAsia="en-PH"/>
              </w:rPr>
              <w:t xml:space="preserve">                           -   </w:t>
            </w:r>
          </w:p>
        </w:tc>
        <w:tc>
          <w:tcPr>
            <w:tcW w:w="1169" w:type="dxa"/>
            <w:shd w:val="clear" w:color="auto" w:fill="auto"/>
            <w:vAlign w:val="center"/>
            <w:hideMark/>
          </w:tcPr>
          <w:p w:rsidR="00180611" w:rsidRPr="00CE1519" w:rsidRDefault="00180611" w:rsidP="001D442C">
            <w:pPr>
              <w:spacing w:after="0" w:line="240" w:lineRule="auto"/>
              <w:jc w:val="right"/>
              <w:rPr>
                <w:rFonts w:ascii="Arial Narrow" w:eastAsia="Times New Roman" w:hAnsi="Arial Narrow" w:cs="Arial"/>
                <w:color w:val="000000"/>
                <w:sz w:val="16"/>
                <w:szCs w:val="16"/>
                <w:lang w:eastAsia="en-PH"/>
              </w:rPr>
            </w:pPr>
            <w:r w:rsidRPr="00CE1519">
              <w:rPr>
                <w:rFonts w:ascii="Arial Narrow" w:eastAsia="Times New Roman" w:hAnsi="Arial Narrow" w:cs="Arial"/>
                <w:color w:val="000000"/>
                <w:sz w:val="16"/>
                <w:szCs w:val="16"/>
                <w:lang w:eastAsia="en-PH"/>
              </w:rPr>
              <w:t xml:space="preserve">                           -   </w:t>
            </w:r>
          </w:p>
        </w:tc>
        <w:tc>
          <w:tcPr>
            <w:tcW w:w="1112" w:type="dxa"/>
            <w:shd w:val="clear" w:color="auto" w:fill="auto"/>
            <w:vAlign w:val="center"/>
            <w:hideMark/>
          </w:tcPr>
          <w:p w:rsidR="00180611" w:rsidRPr="00CE1519" w:rsidRDefault="00180611" w:rsidP="001D442C">
            <w:pPr>
              <w:spacing w:after="0" w:line="240" w:lineRule="auto"/>
              <w:jc w:val="right"/>
              <w:rPr>
                <w:rFonts w:ascii="Arial Narrow" w:eastAsia="Times New Roman" w:hAnsi="Arial Narrow" w:cs="Arial"/>
                <w:color w:val="000000"/>
                <w:sz w:val="16"/>
                <w:szCs w:val="16"/>
                <w:lang w:eastAsia="en-PH"/>
              </w:rPr>
            </w:pPr>
            <w:r w:rsidRPr="00CE1519">
              <w:rPr>
                <w:rFonts w:ascii="Arial Narrow" w:eastAsia="Times New Roman" w:hAnsi="Arial Narrow" w:cs="Arial"/>
                <w:color w:val="000000"/>
                <w:sz w:val="16"/>
                <w:szCs w:val="16"/>
                <w:lang w:eastAsia="en-PH"/>
              </w:rPr>
              <w:t xml:space="preserve">                           -   </w:t>
            </w:r>
          </w:p>
        </w:tc>
        <w:tc>
          <w:tcPr>
            <w:tcW w:w="1190" w:type="dxa"/>
            <w:shd w:val="clear" w:color="auto" w:fill="auto"/>
            <w:noWrap/>
            <w:vAlign w:val="center"/>
            <w:hideMark/>
          </w:tcPr>
          <w:p w:rsidR="00180611" w:rsidRPr="00CE1519" w:rsidRDefault="00180611" w:rsidP="00CE1519">
            <w:pPr>
              <w:spacing w:after="0" w:line="240" w:lineRule="auto"/>
              <w:ind w:right="-56"/>
              <w:jc w:val="right"/>
              <w:rPr>
                <w:rFonts w:ascii="Arial Narrow" w:eastAsia="Times New Roman" w:hAnsi="Arial Narrow" w:cs="Arial"/>
                <w:color w:val="000000"/>
                <w:sz w:val="16"/>
                <w:szCs w:val="16"/>
                <w:lang w:eastAsia="en-PH"/>
              </w:rPr>
            </w:pPr>
            <w:r w:rsidRPr="00CE1519">
              <w:rPr>
                <w:rFonts w:ascii="Arial Narrow" w:eastAsia="Times New Roman" w:hAnsi="Arial Narrow" w:cs="Arial"/>
                <w:color w:val="000000"/>
                <w:sz w:val="16"/>
                <w:szCs w:val="16"/>
                <w:lang w:eastAsia="en-PH"/>
              </w:rPr>
              <w:t xml:space="preserve">       19,517,088.83 </w:t>
            </w:r>
          </w:p>
        </w:tc>
      </w:tr>
      <w:tr w:rsidR="00180611" w:rsidRPr="00180611" w:rsidTr="00CE1519">
        <w:trPr>
          <w:trHeight w:val="170"/>
        </w:trPr>
        <w:tc>
          <w:tcPr>
            <w:tcW w:w="2165" w:type="dxa"/>
            <w:shd w:val="clear" w:color="auto" w:fill="auto"/>
            <w:vAlign w:val="center"/>
            <w:hideMark/>
          </w:tcPr>
          <w:p w:rsidR="00180611" w:rsidRPr="00CE1519" w:rsidRDefault="00180611" w:rsidP="00CE1519">
            <w:pPr>
              <w:spacing w:after="0" w:line="240" w:lineRule="auto"/>
              <w:ind w:right="-108"/>
              <w:rPr>
                <w:rFonts w:ascii="Arial Narrow" w:eastAsia="Times New Roman" w:hAnsi="Arial Narrow" w:cs="Arial"/>
                <w:color w:val="000000"/>
                <w:sz w:val="16"/>
                <w:szCs w:val="16"/>
                <w:lang w:eastAsia="en-PH"/>
              </w:rPr>
            </w:pPr>
            <w:r w:rsidRPr="00CE1519">
              <w:rPr>
                <w:rFonts w:ascii="Arial Narrow" w:eastAsia="Times New Roman" w:hAnsi="Arial Narrow" w:cs="Arial"/>
                <w:color w:val="000000"/>
                <w:sz w:val="16"/>
                <w:szCs w:val="16"/>
                <w:lang w:eastAsia="en-PH"/>
              </w:rPr>
              <w:t>e. Difference in the amount Recorded (STL)</w:t>
            </w:r>
          </w:p>
        </w:tc>
        <w:tc>
          <w:tcPr>
            <w:tcW w:w="1260" w:type="dxa"/>
            <w:shd w:val="clear" w:color="auto" w:fill="auto"/>
            <w:vAlign w:val="center"/>
            <w:hideMark/>
          </w:tcPr>
          <w:p w:rsidR="00180611" w:rsidRPr="00CE1519" w:rsidRDefault="00180611" w:rsidP="001D442C">
            <w:pPr>
              <w:spacing w:after="0" w:line="240" w:lineRule="auto"/>
              <w:jc w:val="right"/>
              <w:rPr>
                <w:rFonts w:ascii="Arial Narrow" w:eastAsia="Times New Roman" w:hAnsi="Arial Narrow" w:cs="Arial"/>
                <w:color w:val="000000"/>
                <w:sz w:val="16"/>
                <w:szCs w:val="16"/>
                <w:lang w:eastAsia="en-PH"/>
              </w:rPr>
            </w:pPr>
            <w:r w:rsidRPr="00CE1519">
              <w:rPr>
                <w:rFonts w:ascii="Arial Narrow" w:eastAsia="Times New Roman" w:hAnsi="Arial Narrow" w:cs="Arial"/>
                <w:color w:val="000000"/>
                <w:sz w:val="16"/>
                <w:szCs w:val="16"/>
                <w:lang w:eastAsia="en-PH"/>
              </w:rPr>
              <w:t xml:space="preserve">        (9,172,705.59)</w:t>
            </w:r>
          </w:p>
        </w:tc>
        <w:tc>
          <w:tcPr>
            <w:tcW w:w="1127" w:type="dxa"/>
            <w:shd w:val="clear" w:color="auto" w:fill="auto"/>
            <w:vAlign w:val="center"/>
            <w:hideMark/>
          </w:tcPr>
          <w:p w:rsidR="00180611" w:rsidRPr="00CE1519" w:rsidRDefault="00180611" w:rsidP="001D442C">
            <w:pPr>
              <w:spacing w:after="0" w:line="240" w:lineRule="auto"/>
              <w:jc w:val="right"/>
              <w:rPr>
                <w:rFonts w:ascii="Arial Narrow" w:eastAsia="Times New Roman" w:hAnsi="Arial Narrow" w:cs="Arial"/>
                <w:color w:val="000000"/>
                <w:sz w:val="16"/>
                <w:szCs w:val="16"/>
                <w:lang w:eastAsia="en-PH"/>
              </w:rPr>
            </w:pPr>
            <w:r w:rsidRPr="00CE1519">
              <w:rPr>
                <w:rFonts w:ascii="Arial Narrow" w:eastAsia="Times New Roman" w:hAnsi="Arial Narrow" w:cs="Arial"/>
                <w:color w:val="000000"/>
                <w:sz w:val="16"/>
                <w:szCs w:val="16"/>
                <w:lang w:eastAsia="en-PH"/>
              </w:rPr>
              <w:t xml:space="preserve">             (20,707.21)</w:t>
            </w:r>
          </w:p>
        </w:tc>
        <w:tc>
          <w:tcPr>
            <w:tcW w:w="1034" w:type="dxa"/>
            <w:shd w:val="clear" w:color="auto" w:fill="auto"/>
            <w:vAlign w:val="center"/>
            <w:hideMark/>
          </w:tcPr>
          <w:p w:rsidR="00180611" w:rsidRPr="00CE1519" w:rsidRDefault="00180611" w:rsidP="001D442C">
            <w:pPr>
              <w:spacing w:after="0" w:line="240" w:lineRule="auto"/>
              <w:jc w:val="right"/>
              <w:rPr>
                <w:rFonts w:ascii="Arial Narrow" w:eastAsia="Times New Roman" w:hAnsi="Arial Narrow" w:cs="Arial"/>
                <w:color w:val="000000"/>
                <w:sz w:val="16"/>
                <w:szCs w:val="16"/>
                <w:lang w:eastAsia="en-PH"/>
              </w:rPr>
            </w:pPr>
            <w:r w:rsidRPr="00CE1519">
              <w:rPr>
                <w:rFonts w:ascii="Arial Narrow" w:eastAsia="Times New Roman" w:hAnsi="Arial Narrow" w:cs="Arial"/>
                <w:color w:val="000000"/>
                <w:sz w:val="16"/>
                <w:szCs w:val="16"/>
                <w:lang w:eastAsia="en-PH"/>
              </w:rPr>
              <w:t xml:space="preserve">                      (0.10)</w:t>
            </w:r>
          </w:p>
        </w:tc>
        <w:tc>
          <w:tcPr>
            <w:tcW w:w="1169" w:type="dxa"/>
            <w:shd w:val="clear" w:color="auto" w:fill="auto"/>
            <w:vAlign w:val="center"/>
            <w:hideMark/>
          </w:tcPr>
          <w:p w:rsidR="00180611" w:rsidRPr="00CE1519" w:rsidRDefault="00180611" w:rsidP="001D442C">
            <w:pPr>
              <w:spacing w:after="0" w:line="240" w:lineRule="auto"/>
              <w:jc w:val="right"/>
              <w:rPr>
                <w:rFonts w:ascii="Arial Narrow" w:eastAsia="Times New Roman" w:hAnsi="Arial Narrow" w:cs="Arial"/>
                <w:color w:val="000000"/>
                <w:sz w:val="16"/>
                <w:szCs w:val="16"/>
                <w:lang w:eastAsia="en-PH"/>
              </w:rPr>
            </w:pPr>
            <w:r w:rsidRPr="00CE1519">
              <w:rPr>
                <w:rFonts w:ascii="Arial Narrow" w:eastAsia="Times New Roman" w:hAnsi="Arial Narrow" w:cs="Arial"/>
                <w:color w:val="000000"/>
                <w:sz w:val="16"/>
                <w:szCs w:val="16"/>
                <w:lang w:eastAsia="en-PH"/>
              </w:rPr>
              <w:t xml:space="preserve">                           -   </w:t>
            </w:r>
          </w:p>
        </w:tc>
        <w:tc>
          <w:tcPr>
            <w:tcW w:w="1112" w:type="dxa"/>
            <w:shd w:val="clear" w:color="auto" w:fill="auto"/>
            <w:vAlign w:val="center"/>
            <w:hideMark/>
          </w:tcPr>
          <w:p w:rsidR="00180611" w:rsidRPr="00CE1519" w:rsidRDefault="00180611" w:rsidP="001D442C">
            <w:pPr>
              <w:spacing w:after="0" w:line="240" w:lineRule="auto"/>
              <w:jc w:val="right"/>
              <w:rPr>
                <w:rFonts w:ascii="Arial Narrow" w:eastAsia="Times New Roman" w:hAnsi="Arial Narrow" w:cs="Arial"/>
                <w:color w:val="000000"/>
                <w:sz w:val="16"/>
                <w:szCs w:val="16"/>
                <w:lang w:eastAsia="en-PH"/>
              </w:rPr>
            </w:pPr>
            <w:r w:rsidRPr="00CE1519">
              <w:rPr>
                <w:rFonts w:ascii="Arial Narrow" w:eastAsia="Times New Roman" w:hAnsi="Arial Narrow" w:cs="Arial"/>
                <w:color w:val="000000"/>
                <w:sz w:val="16"/>
                <w:szCs w:val="16"/>
                <w:lang w:eastAsia="en-PH"/>
              </w:rPr>
              <w:t xml:space="preserve">                           -   </w:t>
            </w:r>
          </w:p>
        </w:tc>
        <w:tc>
          <w:tcPr>
            <w:tcW w:w="1190" w:type="dxa"/>
            <w:shd w:val="clear" w:color="auto" w:fill="auto"/>
            <w:noWrap/>
            <w:vAlign w:val="center"/>
            <w:hideMark/>
          </w:tcPr>
          <w:p w:rsidR="00180611" w:rsidRPr="00CE1519" w:rsidRDefault="00180611" w:rsidP="00CE1519">
            <w:pPr>
              <w:spacing w:after="0" w:line="240" w:lineRule="auto"/>
              <w:ind w:right="-56"/>
              <w:jc w:val="right"/>
              <w:rPr>
                <w:rFonts w:ascii="Arial Narrow" w:eastAsia="Times New Roman" w:hAnsi="Arial Narrow" w:cs="Arial"/>
                <w:color w:val="000000"/>
                <w:sz w:val="16"/>
                <w:szCs w:val="16"/>
                <w:lang w:eastAsia="en-PH"/>
              </w:rPr>
            </w:pPr>
            <w:r w:rsidRPr="00CE1519">
              <w:rPr>
                <w:rFonts w:ascii="Arial Narrow" w:eastAsia="Times New Roman" w:hAnsi="Arial Narrow" w:cs="Arial"/>
                <w:color w:val="000000"/>
                <w:sz w:val="16"/>
                <w:szCs w:val="16"/>
                <w:lang w:eastAsia="en-PH"/>
              </w:rPr>
              <w:t xml:space="preserve">        (9,193,412.90)</w:t>
            </w:r>
          </w:p>
        </w:tc>
      </w:tr>
      <w:tr w:rsidR="00180611" w:rsidRPr="00180611" w:rsidTr="00CE1519">
        <w:trPr>
          <w:trHeight w:val="98"/>
        </w:trPr>
        <w:tc>
          <w:tcPr>
            <w:tcW w:w="2165" w:type="dxa"/>
            <w:shd w:val="clear" w:color="auto" w:fill="auto"/>
            <w:vAlign w:val="center"/>
            <w:hideMark/>
          </w:tcPr>
          <w:p w:rsidR="00180611" w:rsidRPr="00CE1519" w:rsidRDefault="00180611" w:rsidP="00CE1519">
            <w:pPr>
              <w:spacing w:after="0" w:line="240" w:lineRule="auto"/>
              <w:ind w:right="-108"/>
              <w:rPr>
                <w:rFonts w:ascii="Arial Narrow" w:eastAsia="Times New Roman" w:hAnsi="Arial Narrow" w:cs="Arial"/>
                <w:color w:val="000000"/>
                <w:sz w:val="16"/>
                <w:szCs w:val="16"/>
                <w:lang w:eastAsia="en-PH"/>
              </w:rPr>
            </w:pPr>
            <w:r w:rsidRPr="00CE1519">
              <w:rPr>
                <w:rFonts w:ascii="Arial Narrow" w:eastAsia="Times New Roman" w:hAnsi="Arial Narrow" w:cs="Arial"/>
                <w:color w:val="000000"/>
                <w:sz w:val="16"/>
                <w:szCs w:val="16"/>
                <w:lang w:eastAsia="en-PH"/>
              </w:rPr>
              <w:t>f. Erroneous Recording of Disbursements</w:t>
            </w:r>
          </w:p>
        </w:tc>
        <w:tc>
          <w:tcPr>
            <w:tcW w:w="1260" w:type="dxa"/>
            <w:shd w:val="clear" w:color="auto" w:fill="auto"/>
            <w:vAlign w:val="center"/>
            <w:hideMark/>
          </w:tcPr>
          <w:p w:rsidR="00180611" w:rsidRPr="00CE1519" w:rsidRDefault="00180611" w:rsidP="001D442C">
            <w:pPr>
              <w:spacing w:after="0" w:line="240" w:lineRule="auto"/>
              <w:jc w:val="right"/>
              <w:rPr>
                <w:rFonts w:ascii="Arial Narrow" w:eastAsia="Times New Roman" w:hAnsi="Arial Narrow" w:cs="Arial"/>
                <w:color w:val="000000"/>
                <w:sz w:val="16"/>
                <w:szCs w:val="16"/>
                <w:lang w:eastAsia="en-PH"/>
              </w:rPr>
            </w:pPr>
            <w:r w:rsidRPr="00CE1519">
              <w:rPr>
                <w:rFonts w:ascii="Arial Narrow" w:eastAsia="Times New Roman" w:hAnsi="Arial Narrow" w:cs="Arial"/>
                <w:color w:val="000000"/>
                <w:sz w:val="16"/>
                <w:szCs w:val="16"/>
                <w:lang w:eastAsia="en-PH"/>
              </w:rPr>
              <w:t xml:space="preserve">  (15,675,224.86)</w:t>
            </w:r>
          </w:p>
        </w:tc>
        <w:tc>
          <w:tcPr>
            <w:tcW w:w="1127" w:type="dxa"/>
            <w:shd w:val="clear" w:color="auto" w:fill="auto"/>
            <w:vAlign w:val="center"/>
            <w:hideMark/>
          </w:tcPr>
          <w:p w:rsidR="00180611" w:rsidRPr="00CE1519" w:rsidRDefault="00180611" w:rsidP="001D442C">
            <w:pPr>
              <w:spacing w:after="0" w:line="240" w:lineRule="auto"/>
              <w:jc w:val="right"/>
              <w:rPr>
                <w:rFonts w:ascii="Arial Narrow" w:eastAsia="Times New Roman" w:hAnsi="Arial Narrow" w:cs="Arial"/>
                <w:color w:val="000000"/>
                <w:sz w:val="16"/>
                <w:szCs w:val="16"/>
                <w:lang w:eastAsia="en-PH"/>
              </w:rPr>
            </w:pPr>
            <w:r w:rsidRPr="00CE1519">
              <w:rPr>
                <w:rFonts w:ascii="Arial Narrow" w:eastAsia="Times New Roman" w:hAnsi="Arial Narrow" w:cs="Arial"/>
                <w:color w:val="000000"/>
                <w:sz w:val="16"/>
                <w:szCs w:val="16"/>
                <w:lang w:eastAsia="en-PH"/>
              </w:rPr>
              <w:t xml:space="preserve">             (18,926.86)</w:t>
            </w:r>
          </w:p>
        </w:tc>
        <w:tc>
          <w:tcPr>
            <w:tcW w:w="1034" w:type="dxa"/>
            <w:shd w:val="clear" w:color="auto" w:fill="auto"/>
            <w:vAlign w:val="center"/>
            <w:hideMark/>
          </w:tcPr>
          <w:p w:rsidR="00180611" w:rsidRPr="00CE1519" w:rsidRDefault="00180611" w:rsidP="001D442C">
            <w:pPr>
              <w:spacing w:after="0" w:line="240" w:lineRule="auto"/>
              <w:jc w:val="right"/>
              <w:rPr>
                <w:rFonts w:ascii="Arial Narrow" w:eastAsia="Times New Roman" w:hAnsi="Arial Narrow" w:cs="Arial"/>
                <w:color w:val="000000"/>
                <w:sz w:val="16"/>
                <w:szCs w:val="16"/>
                <w:lang w:eastAsia="en-PH"/>
              </w:rPr>
            </w:pPr>
            <w:r w:rsidRPr="00CE1519">
              <w:rPr>
                <w:rFonts w:ascii="Arial Narrow" w:eastAsia="Times New Roman" w:hAnsi="Arial Narrow" w:cs="Arial"/>
                <w:color w:val="000000"/>
                <w:sz w:val="16"/>
                <w:szCs w:val="16"/>
                <w:lang w:eastAsia="en-PH"/>
              </w:rPr>
              <w:t xml:space="preserve">                      (0.08)</w:t>
            </w:r>
          </w:p>
        </w:tc>
        <w:tc>
          <w:tcPr>
            <w:tcW w:w="1169" w:type="dxa"/>
            <w:shd w:val="clear" w:color="auto" w:fill="auto"/>
            <w:vAlign w:val="center"/>
            <w:hideMark/>
          </w:tcPr>
          <w:p w:rsidR="00180611" w:rsidRPr="00CE1519" w:rsidRDefault="00180611" w:rsidP="001D442C">
            <w:pPr>
              <w:spacing w:after="0" w:line="240" w:lineRule="auto"/>
              <w:jc w:val="right"/>
              <w:rPr>
                <w:rFonts w:ascii="Arial Narrow" w:eastAsia="Times New Roman" w:hAnsi="Arial Narrow" w:cs="Arial"/>
                <w:color w:val="000000"/>
                <w:sz w:val="16"/>
                <w:szCs w:val="16"/>
                <w:lang w:eastAsia="en-PH"/>
              </w:rPr>
            </w:pPr>
            <w:r w:rsidRPr="00CE1519">
              <w:rPr>
                <w:rFonts w:ascii="Arial Narrow" w:eastAsia="Times New Roman" w:hAnsi="Arial Narrow" w:cs="Arial"/>
                <w:color w:val="000000"/>
                <w:sz w:val="16"/>
                <w:szCs w:val="16"/>
                <w:lang w:eastAsia="en-PH"/>
              </w:rPr>
              <w:t xml:space="preserve">       18,248,415.83 </w:t>
            </w:r>
          </w:p>
        </w:tc>
        <w:tc>
          <w:tcPr>
            <w:tcW w:w="1112" w:type="dxa"/>
            <w:shd w:val="clear" w:color="auto" w:fill="auto"/>
            <w:vAlign w:val="center"/>
            <w:hideMark/>
          </w:tcPr>
          <w:p w:rsidR="00180611" w:rsidRPr="00CE1519" w:rsidRDefault="00180611" w:rsidP="001D442C">
            <w:pPr>
              <w:spacing w:after="0" w:line="240" w:lineRule="auto"/>
              <w:jc w:val="right"/>
              <w:rPr>
                <w:rFonts w:ascii="Arial Narrow" w:eastAsia="Times New Roman" w:hAnsi="Arial Narrow" w:cs="Arial"/>
                <w:color w:val="000000"/>
                <w:sz w:val="16"/>
                <w:szCs w:val="16"/>
                <w:lang w:eastAsia="en-PH"/>
              </w:rPr>
            </w:pPr>
            <w:r w:rsidRPr="00CE1519">
              <w:rPr>
                <w:rFonts w:ascii="Arial Narrow" w:eastAsia="Times New Roman" w:hAnsi="Arial Narrow" w:cs="Arial"/>
                <w:color w:val="000000"/>
                <w:sz w:val="16"/>
                <w:szCs w:val="16"/>
                <w:lang w:eastAsia="en-PH"/>
              </w:rPr>
              <w:t xml:space="preserve">                           -   </w:t>
            </w:r>
          </w:p>
        </w:tc>
        <w:tc>
          <w:tcPr>
            <w:tcW w:w="1190" w:type="dxa"/>
            <w:shd w:val="clear" w:color="auto" w:fill="auto"/>
            <w:noWrap/>
            <w:vAlign w:val="center"/>
            <w:hideMark/>
          </w:tcPr>
          <w:p w:rsidR="00180611" w:rsidRPr="00CE1519" w:rsidRDefault="00180611" w:rsidP="00CE1519">
            <w:pPr>
              <w:spacing w:after="0" w:line="240" w:lineRule="auto"/>
              <w:ind w:right="-56"/>
              <w:jc w:val="right"/>
              <w:rPr>
                <w:rFonts w:ascii="Arial Narrow" w:eastAsia="Times New Roman" w:hAnsi="Arial Narrow" w:cs="Arial"/>
                <w:color w:val="000000"/>
                <w:sz w:val="16"/>
                <w:szCs w:val="16"/>
                <w:lang w:eastAsia="en-PH"/>
              </w:rPr>
            </w:pPr>
            <w:r w:rsidRPr="00CE1519">
              <w:rPr>
                <w:rFonts w:ascii="Arial Narrow" w:eastAsia="Times New Roman" w:hAnsi="Arial Narrow" w:cs="Arial"/>
                <w:color w:val="000000"/>
                <w:sz w:val="16"/>
                <w:szCs w:val="16"/>
                <w:lang w:eastAsia="en-PH"/>
              </w:rPr>
              <w:t xml:space="preserve">         2,554,264.03 </w:t>
            </w:r>
          </w:p>
        </w:tc>
      </w:tr>
      <w:tr w:rsidR="00180611" w:rsidRPr="00180611" w:rsidTr="00CE1519">
        <w:trPr>
          <w:trHeight w:val="134"/>
        </w:trPr>
        <w:tc>
          <w:tcPr>
            <w:tcW w:w="2165" w:type="dxa"/>
            <w:tcBorders>
              <w:bottom w:val="nil"/>
            </w:tcBorders>
            <w:shd w:val="clear" w:color="auto" w:fill="auto"/>
            <w:vAlign w:val="center"/>
            <w:hideMark/>
          </w:tcPr>
          <w:p w:rsidR="00180611" w:rsidRPr="00CE1519" w:rsidRDefault="00180611" w:rsidP="00CE1519">
            <w:pPr>
              <w:spacing w:after="0" w:line="240" w:lineRule="auto"/>
              <w:ind w:right="-108"/>
              <w:rPr>
                <w:rFonts w:ascii="Arial Narrow" w:eastAsia="Times New Roman" w:hAnsi="Arial Narrow" w:cs="Arial"/>
                <w:color w:val="000000"/>
                <w:sz w:val="16"/>
                <w:szCs w:val="16"/>
                <w:lang w:eastAsia="en-PH"/>
              </w:rPr>
            </w:pPr>
            <w:r w:rsidRPr="00CE1519">
              <w:rPr>
                <w:rFonts w:ascii="Arial Narrow" w:eastAsia="Times New Roman" w:hAnsi="Arial Narrow" w:cs="Arial"/>
                <w:color w:val="000000"/>
                <w:sz w:val="16"/>
                <w:szCs w:val="16"/>
                <w:lang w:eastAsia="en-PH"/>
              </w:rPr>
              <w:t>g. Unrecorded Interest Income</w:t>
            </w:r>
          </w:p>
        </w:tc>
        <w:tc>
          <w:tcPr>
            <w:tcW w:w="1260" w:type="dxa"/>
            <w:tcBorders>
              <w:bottom w:val="nil"/>
            </w:tcBorders>
            <w:shd w:val="clear" w:color="auto" w:fill="auto"/>
            <w:vAlign w:val="center"/>
            <w:hideMark/>
          </w:tcPr>
          <w:p w:rsidR="00180611" w:rsidRPr="00CE1519" w:rsidRDefault="00180611" w:rsidP="001D442C">
            <w:pPr>
              <w:spacing w:after="0" w:line="240" w:lineRule="auto"/>
              <w:jc w:val="right"/>
              <w:rPr>
                <w:rFonts w:ascii="Arial Narrow" w:eastAsia="Times New Roman" w:hAnsi="Arial Narrow" w:cs="Arial"/>
                <w:color w:val="000000"/>
                <w:sz w:val="16"/>
                <w:szCs w:val="16"/>
                <w:lang w:eastAsia="en-PH"/>
              </w:rPr>
            </w:pPr>
            <w:r w:rsidRPr="00CE1519">
              <w:rPr>
                <w:rFonts w:ascii="Arial Narrow" w:eastAsia="Times New Roman" w:hAnsi="Arial Narrow" w:cs="Arial"/>
                <w:color w:val="000000"/>
                <w:sz w:val="16"/>
                <w:szCs w:val="16"/>
                <w:lang w:eastAsia="en-PH"/>
              </w:rPr>
              <w:t xml:space="preserve">       183,691.56 </w:t>
            </w:r>
          </w:p>
        </w:tc>
        <w:tc>
          <w:tcPr>
            <w:tcW w:w="1127" w:type="dxa"/>
            <w:tcBorders>
              <w:bottom w:val="nil"/>
            </w:tcBorders>
            <w:shd w:val="clear" w:color="auto" w:fill="auto"/>
            <w:vAlign w:val="center"/>
            <w:hideMark/>
          </w:tcPr>
          <w:p w:rsidR="00180611" w:rsidRPr="00CE1519" w:rsidRDefault="00180611" w:rsidP="001D442C">
            <w:pPr>
              <w:spacing w:after="0" w:line="240" w:lineRule="auto"/>
              <w:jc w:val="right"/>
              <w:rPr>
                <w:rFonts w:ascii="Arial Narrow" w:eastAsia="Times New Roman" w:hAnsi="Arial Narrow" w:cs="Arial"/>
                <w:color w:val="000000"/>
                <w:sz w:val="16"/>
                <w:szCs w:val="16"/>
                <w:lang w:eastAsia="en-PH"/>
              </w:rPr>
            </w:pPr>
            <w:r w:rsidRPr="00CE1519">
              <w:rPr>
                <w:rFonts w:ascii="Arial Narrow" w:eastAsia="Times New Roman" w:hAnsi="Arial Narrow" w:cs="Arial"/>
                <w:color w:val="000000"/>
                <w:sz w:val="16"/>
                <w:szCs w:val="16"/>
                <w:lang w:eastAsia="en-PH"/>
              </w:rPr>
              <w:t xml:space="preserve">                      -   </w:t>
            </w:r>
          </w:p>
        </w:tc>
        <w:tc>
          <w:tcPr>
            <w:tcW w:w="1034" w:type="dxa"/>
            <w:tcBorders>
              <w:bottom w:val="nil"/>
            </w:tcBorders>
            <w:shd w:val="clear" w:color="auto" w:fill="auto"/>
            <w:vAlign w:val="center"/>
            <w:hideMark/>
          </w:tcPr>
          <w:p w:rsidR="00180611" w:rsidRPr="00CE1519" w:rsidRDefault="00180611" w:rsidP="001D442C">
            <w:pPr>
              <w:spacing w:after="0" w:line="240" w:lineRule="auto"/>
              <w:jc w:val="right"/>
              <w:rPr>
                <w:rFonts w:ascii="Arial Narrow" w:eastAsia="Times New Roman" w:hAnsi="Arial Narrow" w:cs="Arial"/>
                <w:color w:val="000000"/>
                <w:sz w:val="16"/>
                <w:szCs w:val="16"/>
                <w:lang w:eastAsia="en-PH"/>
              </w:rPr>
            </w:pPr>
            <w:r w:rsidRPr="00CE1519">
              <w:rPr>
                <w:rFonts w:ascii="Arial Narrow" w:eastAsia="Times New Roman" w:hAnsi="Arial Narrow" w:cs="Arial"/>
                <w:color w:val="000000"/>
                <w:sz w:val="16"/>
                <w:szCs w:val="16"/>
                <w:lang w:eastAsia="en-PH"/>
              </w:rPr>
              <w:t xml:space="preserve">                   -   </w:t>
            </w:r>
          </w:p>
        </w:tc>
        <w:tc>
          <w:tcPr>
            <w:tcW w:w="1169" w:type="dxa"/>
            <w:tcBorders>
              <w:bottom w:val="nil"/>
            </w:tcBorders>
            <w:shd w:val="clear" w:color="auto" w:fill="auto"/>
            <w:vAlign w:val="center"/>
            <w:hideMark/>
          </w:tcPr>
          <w:p w:rsidR="00180611" w:rsidRPr="00CE1519" w:rsidRDefault="00180611" w:rsidP="001D442C">
            <w:pPr>
              <w:spacing w:after="0" w:line="240" w:lineRule="auto"/>
              <w:jc w:val="right"/>
              <w:rPr>
                <w:rFonts w:ascii="Arial Narrow" w:eastAsia="Times New Roman" w:hAnsi="Arial Narrow" w:cs="Arial"/>
                <w:color w:val="000000"/>
                <w:sz w:val="16"/>
                <w:szCs w:val="16"/>
                <w:lang w:eastAsia="en-PH"/>
              </w:rPr>
            </w:pPr>
            <w:r w:rsidRPr="00CE1519">
              <w:rPr>
                <w:rFonts w:ascii="Arial Narrow" w:eastAsia="Times New Roman" w:hAnsi="Arial Narrow" w:cs="Arial"/>
                <w:color w:val="000000"/>
                <w:sz w:val="16"/>
                <w:szCs w:val="16"/>
                <w:lang w:eastAsia="en-PH"/>
              </w:rPr>
              <w:t xml:space="preserve">                       -   </w:t>
            </w:r>
          </w:p>
        </w:tc>
        <w:tc>
          <w:tcPr>
            <w:tcW w:w="1112" w:type="dxa"/>
            <w:tcBorders>
              <w:bottom w:val="nil"/>
            </w:tcBorders>
            <w:shd w:val="clear" w:color="auto" w:fill="auto"/>
            <w:vAlign w:val="center"/>
            <w:hideMark/>
          </w:tcPr>
          <w:p w:rsidR="00180611" w:rsidRPr="00CE1519" w:rsidRDefault="00180611" w:rsidP="001D442C">
            <w:pPr>
              <w:spacing w:after="0" w:line="240" w:lineRule="auto"/>
              <w:jc w:val="right"/>
              <w:rPr>
                <w:rFonts w:ascii="Arial Narrow" w:eastAsia="Times New Roman" w:hAnsi="Arial Narrow" w:cs="Arial"/>
                <w:color w:val="000000"/>
                <w:sz w:val="16"/>
                <w:szCs w:val="16"/>
                <w:lang w:eastAsia="en-PH"/>
              </w:rPr>
            </w:pPr>
            <w:r w:rsidRPr="00CE1519">
              <w:rPr>
                <w:rFonts w:ascii="Arial Narrow" w:eastAsia="Times New Roman" w:hAnsi="Arial Narrow" w:cs="Arial"/>
                <w:color w:val="000000"/>
                <w:sz w:val="16"/>
                <w:szCs w:val="16"/>
                <w:lang w:eastAsia="en-PH"/>
              </w:rPr>
              <w:t xml:space="preserve">                     -   </w:t>
            </w:r>
          </w:p>
        </w:tc>
        <w:tc>
          <w:tcPr>
            <w:tcW w:w="1190" w:type="dxa"/>
            <w:tcBorders>
              <w:bottom w:val="nil"/>
            </w:tcBorders>
            <w:shd w:val="clear" w:color="auto" w:fill="auto"/>
            <w:noWrap/>
            <w:vAlign w:val="center"/>
            <w:hideMark/>
          </w:tcPr>
          <w:p w:rsidR="00180611" w:rsidRPr="00CE1519" w:rsidRDefault="00180611" w:rsidP="00CE1519">
            <w:pPr>
              <w:spacing w:after="0" w:line="240" w:lineRule="auto"/>
              <w:ind w:right="-56"/>
              <w:jc w:val="right"/>
              <w:rPr>
                <w:rFonts w:ascii="Arial Narrow" w:eastAsia="Times New Roman" w:hAnsi="Arial Narrow" w:cs="Arial"/>
                <w:color w:val="000000"/>
                <w:sz w:val="16"/>
                <w:szCs w:val="16"/>
                <w:lang w:eastAsia="en-PH"/>
              </w:rPr>
            </w:pPr>
            <w:r w:rsidRPr="00CE1519">
              <w:rPr>
                <w:rFonts w:ascii="Arial Narrow" w:eastAsia="Times New Roman" w:hAnsi="Arial Narrow" w:cs="Arial"/>
                <w:color w:val="000000"/>
                <w:sz w:val="16"/>
                <w:szCs w:val="16"/>
                <w:lang w:eastAsia="en-PH"/>
              </w:rPr>
              <w:t xml:space="preserve">        183,691.56 </w:t>
            </w:r>
          </w:p>
        </w:tc>
      </w:tr>
      <w:tr w:rsidR="00180611" w:rsidRPr="00180611" w:rsidTr="00CE1519">
        <w:trPr>
          <w:trHeight w:val="161"/>
        </w:trPr>
        <w:tc>
          <w:tcPr>
            <w:tcW w:w="2165" w:type="dxa"/>
            <w:tcBorders>
              <w:top w:val="nil"/>
              <w:bottom w:val="single" w:sz="4" w:space="0" w:color="auto"/>
            </w:tcBorders>
            <w:shd w:val="clear" w:color="auto" w:fill="auto"/>
            <w:vAlign w:val="center"/>
            <w:hideMark/>
          </w:tcPr>
          <w:p w:rsidR="00180611" w:rsidRPr="00CE1519" w:rsidRDefault="00180611" w:rsidP="00CE1519">
            <w:pPr>
              <w:spacing w:after="0" w:line="240" w:lineRule="auto"/>
              <w:ind w:right="-108"/>
              <w:rPr>
                <w:rFonts w:ascii="Arial Narrow" w:eastAsia="Times New Roman" w:hAnsi="Arial Narrow" w:cs="Arial"/>
                <w:color w:val="000000"/>
                <w:sz w:val="16"/>
                <w:szCs w:val="16"/>
                <w:lang w:eastAsia="en-PH"/>
              </w:rPr>
            </w:pPr>
            <w:r w:rsidRPr="00CE1519">
              <w:rPr>
                <w:rFonts w:ascii="Arial Narrow" w:eastAsia="Times New Roman" w:hAnsi="Arial Narrow" w:cs="Arial"/>
                <w:color w:val="000000"/>
                <w:sz w:val="16"/>
                <w:szCs w:val="16"/>
                <w:lang w:eastAsia="en-PH"/>
              </w:rPr>
              <w:t>h. Unrecorded Debit / Credit Memo</w:t>
            </w:r>
          </w:p>
        </w:tc>
        <w:tc>
          <w:tcPr>
            <w:tcW w:w="1260" w:type="dxa"/>
            <w:tcBorders>
              <w:top w:val="nil"/>
              <w:bottom w:val="single" w:sz="4" w:space="0" w:color="auto"/>
            </w:tcBorders>
            <w:shd w:val="clear" w:color="auto" w:fill="auto"/>
            <w:vAlign w:val="center"/>
            <w:hideMark/>
          </w:tcPr>
          <w:p w:rsidR="00180611" w:rsidRPr="00CE1519" w:rsidRDefault="00180611" w:rsidP="001D442C">
            <w:pPr>
              <w:spacing w:after="0" w:line="240" w:lineRule="auto"/>
              <w:jc w:val="right"/>
              <w:rPr>
                <w:rFonts w:ascii="Arial Narrow" w:eastAsia="Times New Roman" w:hAnsi="Arial Narrow" w:cs="Arial"/>
                <w:color w:val="000000"/>
                <w:sz w:val="16"/>
                <w:szCs w:val="16"/>
                <w:lang w:eastAsia="en-PH"/>
              </w:rPr>
            </w:pPr>
            <w:r w:rsidRPr="00CE1519">
              <w:rPr>
                <w:rFonts w:ascii="Arial Narrow" w:eastAsia="Times New Roman" w:hAnsi="Arial Narrow" w:cs="Arial"/>
                <w:color w:val="000000"/>
                <w:sz w:val="16"/>
                <w:szCs w:val="16"/>
                <w:lang w:eastAsia="en-PH"/>
              </w:rPr>
              <w:t xml:space="preserve">       (326,417.19)</w:t>
            </w:r>
          </w:p>
        </w:tc>
        <w:tc>
          <w:tcPr>
            <w:tcW w:w="1127" w:type="dxa"/>
            <w:tcBorders>
              <w:top w:val="nil"/>
              <w:bottom w:val="single" w:sz="4" w:space="0" w:color="auto"/>
            </w:tcBorders>
            <w:shd w:val="clear" w:color="auto" w:fill="auto"/>
            <w:vAlign w:val="center"/>
            <w:hideMark/>
          </w:tcPr>
          <w:p w:rsidR="00180611" w:rsidRPr="00CE1519" w:rsidRDefault="00180611" w:rsidP="001D442C">
            <w:pPr>
              <w:spacing w:after="0" w:line="240" w:lineRule="auto"/>
              <w:jc w:val="right"/>
              <w:rPr>
                <w:rFonts w:ascii="Arial Narrow" w:eastAsia="Times New Roman" w:hAnsi="Arial Narrow" w:cs="Arial"/>
                <w:color w:val="000000"/>
                <w:sz w:val="16"/>
                <w:szCs w:val="16"/>
                <w:lang w:eastAsia="en-PH"/>
              </w:rPr>
            </w:pPr>
            <w:r w:rsidRPr="00CE1519">
              <w:rPr>
                <w:rFonts w:ascii="Arial Narrow" w:eastAsia="Times New Roman" w:hAnsi="Arial Narrow" w:cs="Arial"/>
                <w:color w:val="000000"/>
                <w:sz w:val="16"/>
                <w:szCs w:val="16"/>
                <w:lang w:eastAsia="en-PH"/>
              </w:rPr>
              <w:t xml:space="preserve">                       -   </w:t>
            </w:r>
          </w:p>
        </w:tc>
        <w:tc>
          <w:tcPr>
            <w:tcW w:w="1034" w:type="dxa"/>
            <w:tcBorders>
              <w:top w:val="nil"/>
              <w:bottom w:val="single" w:sz="4" w:space="0" w:color="auto"/>
            </w:tcBorders>
            <w:shd w:val="clear" w:color="auto" w:fill="auto"/>
            <w:vAlign w:val="center"/>
            <w:hideMark/>
          </w:tcPr>
          <w:p w:rsidR="00180611" w:rsidRPr="00CE1519" w:rsidRDefault="00180611" w:rsidP="001D442C">
            <w:pPr>
              <w:spacing w:after="0" w:line="240" w:lineRule="auto"/>
              <w:jc w:val="right"/>
              <w:rPr>
                <w:rFonts w:ascii="Arial Narrow" w:eastAsia="Times New Roman" w:hAnsi="Arial Narrow" w:cs="Arial"/>
                <w:color w:val="000000"/>
                <w:sz w:val="16"/>
                <w:szCs w:val="16"/>
                <w:lang w:eastAsia="en-PH"/>
              </w:rPr>
            </w:pPr>
            <w:r w:rsidRPr="00CE1519">
              <w:rPr>
                <w:rFonts w:ascii="Arial Narrow" w:eastAsia="Times New Roman" w:hAnsi="Arial Narrow" w:cs="Arial"/>
                <w:color w:val="000000"/>
                <w:sz w:val="16"/>
                <w:szCs w:val="16"/>
                <w:lang w:eastAsia="en-PH"/>
              </w:rPr>
              <w:t xml:space="preserve">                     -   </w:t>
            </w:r>
          </w:p>
        </w:tc>
        <w:tc>
          <w:tcPr>
            <w:tcW w:w="1169" w:type="dxa"/>
            <w:tcBorders>
              <w:top w:val="nil"/>
              <w:bottom w:val="single" w:sz="4" w:space="0" w:color="auto"/>
            </w:tcBorders>
            <w:shd w:val="clear" w:color="auto" w:fill="auto"/>
            <w:vAlign w:val="center"/>
            <w:hideMark/>
          </w:tcPr>
          <w:p w:rsidR="00180611" w:rsidRPr="00CE1519" w:rsidRDefault="00180611" w:rsidP="001D442C">
            <w:pPr>
              <w:spacing w:after="0" w:line="240" w:lineRule="auto"/>
              <w:jc w:val="right"/>
              <w:rPr>
                <w:rFonts w:ascii="Arial Narrow" w:eastAsia="Times New Roman" w:hAnsi="Arial Narrow" w:cs="Arial"/>
                <w:color w:val="000000"/>
                <w:sz w:val="16"/>
                <w:szCs w:val="16"/>
                <w:lang w:eastAsia="en-PH"/>
              </w:rPr>
            </w:pPr>
            <w:r w:rsidRPr="00CE1519">
              <w:rPr>
                <w:rFonts w:ascii="Arial Narrow" w:eastAsia="Times New Roman" w:hAnsi="Arial Narrow" w:cs="Arial"/>
                <w:color w:val="000000"/>
                <w:sz w:val="16"/>
                <w:szCs w:val="16"/>
                <w:lang w:eastAsia="en-PH"/>
              </w:rPr>
              <w:t xml:space="preserve">                       -   </w:t>
            </w:r>
          </w:p>
        </w:tc>
        <w:tc>
          <w:tcPr>
            <w:tcW w:w="1112" w:type="dxa"/>
            <w:tcBorders>
              <w:top w:val="nil"/>
              <w:bottom w:val="single" w:sz="4" w:space="0" w:color="auto"/>
            </w:tcBorders>
            <w:shd w:val="clear" w:color="auto" w:fill="auto"/>
            <w:vAlign w:val="center"/>
            <w:hideMark/>
          </w:tcPr>
          <w:p w:rsidR="00180611" w:rsidRPr="00CE1519" w:rsidRDefault="00180611" w:rsidP="001D442C">
            <w:pPr>
              <w:spacing w:after="0" w:line="240" w:lineRule="auto"/>
              <w:jc w:val="right"/>
              <w:rPr>
                <w:rFonts w:ascii="Arial Narrow" w:eastAsia="Times New Roman" w:hAnsi="Arial Narrow" w:cs="Arial"/>
                <w:color w:val="000000"/>
                <w:sz w:val="16"/>
                <w:szCs w:val="16"/>
                <w:lang w:eastAsia="en-PH"/>
              </w:rPr>
            </w:pPr>
            <w:r w:rsidRPr="00CE1519">
              <w:rPr>
                <w:rFonts w:ascii="Arial Narrow" w:eastAsia="Times New Roman" w:hAnsi="Arial Narrow" w:cs="Arial"/>
                <w:color w:val="000000"/>
                <w:sz w:val="16"/>
                <w:szCs w:val="16"/>
                <w:lang w:eastAsia="en-PH"/>
              </w:rPr>
              <w:t xml:space="preserve">                       -   </w:t>
            </w:r>
          </w:p>
        </w:tc>
        <w:tc>
          <w:tcPr>
            <w:tcW w:w="1190" w:type="dxa"/>
            <w:tcBorders>
              <w:top w:val="nil"/>
              <w:bottom w:val="single" w:sz="4" w:space="0" w:color="auto"/>
            </w:tcBorders>
            <w:shd w:val="clear" w:color="auto" w:fill="auto"/>
            <w:noWrap/>
            <w:vAlign w:val="center"/>
            <w:hideMark/>
          </w:tcPr>
          <w:p w:rsidR="00180611" w:rsidRPr="00CE1519" w:rsidRDefault="00180611" w:rsidP="00CE1519">
            <w:pPr>
              <w:spacing w:after="0" w:line="240" w:lineRule="auto"/>
              <w:ind w:right="-56"/>
              <w:jc w:val="right"/>
              <w:rPr>
                <w:rFonts w:ascii="Arial Narrow" w:eastAsia="Times New Roman" w:hAnsi="Arial Narrow" w:cs="Arial"/>
                <w:color w:val="000000"/>
                <w:sz w:val="16"/>
                <w:szCs w:val="16"/>
                <w:lang w:eastAsia="en-PH"/>
              </w:rPr>
            </w:pPr>
            <w:r w:rsidRPr="00CE1519">
              <w:rPr>
                <w:rFonts w:ascii="Arial Narrow" w:eastAsia="Times New Roman" w:hAnsi="Arial Narrow" w:cs="Arial"/>
                <w:color w:val="000000"/>
                <w:sz w:val="16"/>
                <w:szCs w:val="16"/>
                <w:lang w:eastAsia="en-PH"/>
              </w:rPr>
              <w:t xml:space="preserve">       (326,417.19)</w:t>
            </w:r>
          </w:p>
        </w:tc>
      </w:tr>
      <w:tr w:rsidR="00180611" w:rsidRPr="00180611" w:rsidTr="00CE1519">
        <w:trPr>
          <w:trHeight w:val="197"/>
        </w:trPr>
        <w:tc>
          <w:tcPr>
            <w:tcW w:w="2165" w:type="dxa"/>
            <w:tcBorders>
              <w:top w:val="single" w:sz="4" w:space="0" w:color="auto"/>
              <w:bottom w:val="single" w:sz="4" w:space="0" w:color="auto"/>
            </w:tcBorders>
            <w:shd w:val="clear" w:color="auto" w:fill="auto"/>
            <w:noWrap/>
            <w:vAlign w:val="center"/>
            <w:hideMark/>
          </w:tcPr>
          <w:p w:rsidR="00180611" w:rsidRPr="00CE1519" w:rsidRDefault="00180611" w:rsidP="00CE1519">
            <w:pPr>
              <w:spacing w:after="0" w:line="240" w:lineRule="auto"/>
              <w:ind w:right="-108"/>
              <w:rPr>
                <w:rFonts w:ascii="Arial Narrow" w:eastAsia="Times New Roman" w:hAnsi="Arial Narrow" w:cs="Arial"/>
                <w:b/>
                <w:bCs/>
                <w:color w:val="000000"/>
                <w:sz w:val="16"/>
                <w:szCs w:val="16"/>
                <w:lang w:eastAsia="en-PH"/>
              </w:rPr>
            </w:pPr>
            <w:r w:rsidRPr="00CE1519">
              <w:rPr>
                <w:rFonts w:ascii="Arial Narrow" w:eastAsia="Times New Roman" w:hAnsi="Arial Narrow" w:cs="Arial"/>
                <w:b/>
                <w:bCs/>
                <w:color w:val="000000"/>
                <w:sz w:val="16"/>
                <w:szCs w:val="16"/>
                <w:lang w:eastAsia="en-PH"/>
              </w:rPr>
              <w:t>Total</w:t>
            </w:r>
          </w:p>
        </w:tc>
        <w:tc>
          <w:tcPr>
            <w:tcW w:w="1260" w:type="dxa"/>
            <w:tcBorders>
              <w:top w:val="single" w:sz="4" w:space="0" w:color="auto"/>
              <w:bottom w:val="single" w:sz="4" w:space="0" w:color="auto"/>
            </w:tcBorders>
            <w:shd w:val="clear" w:color="auto" w:fill="auto"/>
            <w:noWrap/>
            <w:vAlign w:val="center"/>
            <w:hideMark/>
          </w:tcPr>
          <w:p w:rsidR="00180611" w:rsidRPr="00CE1519" w:rsidRDefault="00180611" w:rsidP="001D442C">
            <w:pPr>
              <w:spacing w:after="0" w:line="240" w:lineRule="auto"/>
              <w:jc w:val="right"/>
              <w:rPr>
                <w:rFonts w:ascii="Arial Narrow" w:eastAsia="Times New Roman" w:hAnsi="Arial Narrow" w:cs="Arial"/>
                <w:b/>
                <w:bCs/>
                <w:color w:val="000000"/>
                <w:sz w:val="16"/>
                <w:szCs w:val="16"/>
                <w:lang w:eastAsia="en-PH"/>
              </w:rPr>
            </w:pPr>
            <w:r w:rsidRPr="00CE1519">
              <w:rPr>
                <w:rFonts w:ascii="Arial Narrow" w:eastAsia="Times New Roman" w:hAnsi="Arial Narrow" w:cs="Arial"/>
                <w:b/>
                <w:bCs/>
                <w:color w:val="000000"/>
                <w:sz w:val="16"/>
                <w:szCs w:val="16"/>
                <w:lang w:eastAsia="en-PH"/>
              </w:rPr>
              <w:t xml:space="preserve">  47,423,464.22</w:t>
            </w:r>
          </w:p>
        </w:tc>
        <w:tc>
          <w:tcPr>
            <w:tcW w:w="1127" w:type="dxa"/>
            <w:tcBorders>
              <w:top w:val="single" w:sz="4" w:space="0" w:color="auto"/>
              <w:bottom w:val="single" w:sz="4" w:space="0" w:color="auto"/>
            </w:tcBorders>
            <w:shd w:val="clear" w:color="auto" w:fill="auto"/>
            <w:noWrap/>
            <w:vAlign w:val="center"/>
            <w:hideMark/>
          </w:tcPr>
          <w:p w:rsidR="00180611" w:rsidRPr="00CE1519" w:rsidRDefault="00180611" w:rsidP="001D442C">
            <w:pPr>
              <w:spacing w:after="0" w:line="240" w:lineRule="auto"/>
              <w:jc w:val="right"/>
              <w:rPr>
                <w:rFonts w:ascii="Arial Narrow" w:eastAsia="Times New Roman" w:hAnsi="Arial Narrow" w:cs="Arial"/>
                <w:b/>
                <w:bCs/>
                <w:color w:val="000000"/>
                <w:sz w:val="16"/>
                <w:szCs w:val="16"/>
                <w:lang w:eastAsia="en-PH"/>
              </w:rPr>
            </w:pPr>
            <w:r w:rsidRPr="00CE1519">
              <w:rPr>
                <w:rFonts w:ascii="Arial Narrow" w:eastAsia="Times New Roman" w:hAnsi="Arial Narrow" w:cs="Arial"/>
                <w:b/>
                <w:bCs/>
                <w:color w:val="000000"/>
                <w:sz w:val="16"/>
                <w:szCs w:val="16"/>
                <w:lang w:eastAsia="en-PH"/>
              </w:rPr>
              <w:t xml:space="preserve"> 2,570,725.83 </w:t>
            </w:r>
          </w:p>
        </w:tc>
        <w:tc>
          <w:tcPr>
            <w:tcW w:w="1034" w:type="dxa"/>
            <w:tcBorders>
              <w:top w:val="single" w:sz="4" w:space="0" w:color="auto"/>
              <w:bottom w:val="single" w:sz="4" w:space="0" w:color="auto"/>
            </w:tcBorders>
            <w:shd w:val="clear" w:color="auto" w:fill="auto"/>
            <w:noWrap/>
            <w:vAlign w:val="center"/>
            <w:hideMark/>
          </w:tcPr>
          <w:p w:rsidR="00180611" w:rsidRPr="00CE1519" w:rsidRDefault="00180611" w:rsidP="001D442C">
            <w:pPr>
              <w:spacing w:after="0" w:line="240" w:lineRule="auto"/>
              <w:jc w:val="right"/>
              <w:rPr>
                <w:rFonts w:ascii="Arial Narrow" w:eastAsia="Times New Roman" w:hAnsi="Arial Narrow" w:cs="Arial"/>
                <w:b/>
                <w:bCs/>
                <w:color w:val="000000"/>
                <w:sz w:val="16"/>
                <w:szCs w:val="16"/>
                <w:lang w:eastAsia="en-PH"/>
              </w:rPr>
            </w:pPr>
            <w:r w:rsidRPr="00CE1519">
              <w:rPr>
                <w:rFonts w:ascii="Arial Narrow" w:eastAsia="Times New Roman" w:hAnsi="Arial Narrow" w:cs="Arial"/>
                <w:b/>
                <w:bCs/>
                <w:color w:val="000000"/>
                <w:sz w:val="16"/>
                <w:szCs w:val="16"/>
                <w:lang w:eastAsia="en-PH"/>
              </w:rPr>
              <w:t xml:space="preserve">8,729,968.49 </w:t>
            </w:r>
          </w:p>
        </w:tc>
        <w:tc>
          <w:tcPr>
            <w:tcW w:w="1169" w:type="dxa"/>
            <w:tcBorders>
              <w:top w:val="single" w:sz="4" w:space="0" w:color="auto"/>
              <w:bottom w:val="single" w:sz="4" w:space="0" w:color="auto"/>
            </w:tcBorders>
            <w:shd w:val="clear" w:color="auto" w:fill="auto"/>
            <w:noWrap/>
            <w:vAlign w:val="center"/>
            <w:hideMark/>
          </w:tcPr>
          <w:p w:rsidR="00180611" w:rsidRPr="00CE1519" w:rsidRDefault="00180611" w:rsidP="001D442C">
            <w:pPr>
              <w:spacing w:after="0" w:line="240" w:lineRule="auto"/>
              <w:jc w:val="right"/>
              <w:rPr>
                <w:rFonts w:ascii="Arial Narrow" w:eastAsia="Times New Roman" w:hAnsi="Arial Narrow" w:cs="Arial"/>
                <w:b/>
                <w:bCs/>
                <w:color w:val="000000"/>
                <w:sz w:val="16"/>
                <w:szCs w:val="16"/>
                <w:lang w:eastAsia="en-PH"/>
              </w:rPr>
            </w:pPr>
            <w:r w:rsidRPr="00CE1519">
              <w:rPr>
                <w:rFonts w:ascii="Arial Narrow" w:eastAsia="Times New Roman" w:hAnsi="Arial Narrow" w:cs="Arial"/>
                <w:b/>
                <w:bCs/>
                <w:color w:val="000000"/>
                <w:sz w:val="16"/>
                <w:szCs w:val="16"/>
                <w:lang w:eastAsia="en-PH"/>
              </w:rPr>
              <w:t xml:space="preserve">44,000,715.86 </w:t>
            </w:r>
          </w:p>
        </w:tc>
        <w:tc>
          <w:tcPr>
            <w:tcW w:w="1112" w:type="dxa"/>
            <w:tcBorders>
              <w:top w:val="single" w:sz="4" w:space="0" w:color="auto"/>
              <w:bottom w:val="single" w:sz="4" w:space="0" w:color="auto"/>
            </w:tcBorders>
            <w:shd w:val="clear" w:color="auto" w:fill="auto"/>
            <w:noWrap/>
            <w:vAlign w:val="center"/>
            <w:hideMark/>
          </w:tcPr>
          <w:p w:rsidR="00180611" w:rsidRPr="00CE1519" w:rsidRDefault="00180611" w:rsidP="001D442C">
            <w:pPr>
              <w:spacing w:after="0" w:line="240" w:lineRule="auto"/>
              <w:jc w:val="right"/>
              <w:rPr>
                <w:rFonts w:ascii="Arial Narrow" w:eastAsia="Times New Roman" w:hAnsi="Arial Narrow" w:cs="Arial"/>
                <w:b/>
                <w:bCs/>
                <w:color w:val="000000"/>
                <w:sz w:val="16"/>
                <w:szCs w:val="16"/>
                <w:lang w:eastAsia="en-PH"/>
              </w:rPr>
            </w:pPr>
            <w:r w:rsidRPr="00CE1519">
              <w:rPr>
                <w:rFonts w:ascii="Arial Narrow" w:eastAsia="Times New Roman" w:hAnsi="Arial Narrow" w:cs="Arial"/>
                <w:b/>
                <w:bCs/>
                <w:color w:val="000000"/>
                <w:sz w:val="16"/>
                <w:szCs w:val="16"/>
                <w:lang w:eastAsia="en-PH"/>
              </w:rPr>
              <w:t xml:space="preserve">15,822,745.23 </w:t>
            </w:r>
          </w:p>
        </w:tc>
        <w:tc>
          <w:tcPr>
            <w:tcW w:w="1190" w:type="dxa"/>
            <w:tcBorders>
              <w:top w:val="single" w:sz="4" w:space="0" w:color="auto"/>
              <w:bottom w:val="single" w:sz="4" w:space="0" w:color="auto"/>
            </w:tcBorders>
            <w:shd w:val="clear" w:color="auto" w:fill="auto"/>
            <w:noWrap/>
            <w:vAlign w:val="center"/>
            <w:hideMark/>
          </w:tcPr>
          <w:p w:rsidR="00180611" w:rsidRPr="00CE1519" w:rsidRDefault="00180611" w:rsidP="00CE1519">
            <w:pPr>
              <w:spacing w:after="0" w:line="240" w:lineRule="auto"/>
              <w:ind w:right="-56"/>
              <w:jc w:val="right"/>
              <w:rPr>
                <w:rFonts w:ascii="Arial Narrow" w:eastAsia="Times New Roman" w:hAnsi="Arial Narrow" w:cs="Arial"/>
                <w:b/>
                <w:bCs/>
                <w:color w:val="000000"/>
                <w:sz w:val="16"/>
                <w:szCs w:val="16"/>
                <w:lang w:eastAsia="en-PH"/>
              </w:rPr>
            </w:pPr>
            <w:r w:rsidRPr="00CE1519">
              <w:rPr>
                <w:rFonts w:ascii="Arial Narrow" w:eastAsia="Times New Roman" w:hAnsi="Arial Narrow" w:cs="Arial"/>
                <w:b/>
                <w:bCs/>
                <w:color w:val="000000"/>
                <w:sz w:val="16"/>
                <w:szCs w:val="16"/>
                <w:lang w:eastAsia="en-PH"/>
              </w:rPr>
              <w:t>118,547,619.63</w:t>
            </w:r>
          </w:p>
        </w:tc>
      </w:tr>
      <w:tr w:rsidR="00180611" w:rsidRPr="00180611" w:rsidTr="00CE1519">
        <w:trPr>
          <w:trHeight w:val="197"/>
        </w:trPr>
        <w:tc>
          <w:tcPr>
            <w:tcW w:w="2165" w:type="dxa"/>
            <w:tcBorders>
              <w:top w:val="single" w:sz="4" w:space="0" w:color="auto"/>
            </w:tcBorders>
            <w:shd w:val="clear" w:color="auto" w:fill="auto"/>
            <w:noWrap/>
            <w:vAlign w:val="center"/>
            <w:hideMark/>
          </w:tcPr>
          <w:p w:rsidR="00180611" w:rsidRPr="00CE1519" w:rsidRDefault="00180611" w:rsidP="00CE1519">
            <w:pPr>
              <w:spacing w:after="0" w:line="240" w:lineRule="auto"/>
              <w:ind w:right="-108"/>
              <w:rPr>
                <w:rFonts w:ascii="Arial Narrow" w:eastAsia="Times New Roman" w:hAnsi="Arial Narrow" w:cs="Arial"/>
                <w:b/>
                <w:bCs/>
                <w:color w:val="000000"/>
                <w:sz w:val="16"/>
                <w:szCs w:val="16"/>
                <w:lang w:eastAsia="en-PH"/>
              </w:rPr>
            </w:pPr>
            <w:r w:rsidRPr="00CE1519">
              <w:rPr>
                <w:rFonts w:ascii="Arial Narrow" w:eastAsia="Times New Roman" w:hAnsi="Arial Narrow" w:cs="Arial"/>
                <w:b/>
                <w:bCs/>
                <w:color w:val="000000"/>
                <w:sz w:val="16"/>
                <w:szCs w:val="16"/>
                <w:lang w:eastAsia="en-PH"/>
              </w:rPr>
              <w:t>Bank Reconciling Items</w:t>
            </w:r>
          </w:p>
        </w:tc>
        <w:tc>
          <w:tcPr>
            <w:tcW w:w="1260" w:type="dxa"/>
            <w:tcBorders>
              <w:top w:val="single" w:sz="4" w:space="0" w:color="auto"/>
            </w:tcBorders>
            <w:shd w:val="clear" w:color="auto" w:fill="auto"/>
            <w:noWrap/>
            <w:vAlign w:val="center"/>
            <w:hideMark/>
          </w:tcPr>
          <w:p w:rsidR="00180611" w:rsidRPr="00CE1519" w:rsidRDefault="00180611" w:rsidP="001D442C">
            <w:pPr>
              <w:spacing w:after="0" w:line="240" w:lineRule="auto"/>
              <w:jc w:val="right"/>
              <w:rPr>
                <w:rFonts w:ascii="Arial Narrow" w:eastAsia="Times New Roman" w:hAnsi="Arial Narrow" w:cs="Arial"/>
                <w:b/>
                <w:bCs/>
                <w:color w:val="000000"/>
                <w:sz w:val="16"/>
                <w:szCs w:val="16"/>
                <w:lang w:eastAsia="en-PH"/>
              </w:rPr>
            </w:pPr>
          </w:p>
        </w:tc>
        <w:tc>
          <w:tcPr>
            <w:tcW w:w="1127" w:type="dxa"/>
            <w:tcBorders>
              <w:top w:val="single" w:sz="4" w:space="0" w:color="auto"/>
            </w:tcBorders>
            <w:shd w:val="clear" w:color="auto" w:fill="auto"/>
            <w:noWrap/>
            <w:vAlign w:val="center"/>
            <w:hideMark/>
          </w:tcPr>
          <w:p w:rsidR="00180611" w:rsidRPr="00CE1519" w:rsidRDefault="00180611" w:rsidP="001D442C">
            <w:pPr>
              <w:spacing w:after="0" w:line="240" w:lineRule="auto"/>
              <w:jc w:val="right"/>
              <w:rPr>
                <w:rFonts w:ascii="Arial Narrow" w:eastAsia="Times New Roman" w:hAnsi="Arial Narrow" w:cs="Arial"/>
                <w:b/>
                <w:bCs/>
                <w:color w:val="000000"/>
                <w:sz w:val="16"/>
                <w:szCs w:val="16"/>
                <w:lang w:eastAsia="en-PH"/>
              </w:rPr>
            </w:pPr>
          </w:p>
        </w:tc>
        <w:tc>
          <w:tcPr>
            <w:tcW w:w="1034" w:type="dxa"/>
            <w:tcBorders>
              <w:top w:val="single" w:sz="4" w:space="0" w:color="auto"/>
            </w:tcBorders>
            <w:shd w:val="clear" w:color="auto" w:fill="auto"/>
            <w:noWrap/>
            <w:vAlign w:val="center"/>
            <w:hideMark/>
          </w:tcPr>
          <w:p w:rsidR="00180611" w:rsidRPr="00CE1519" w:rsidRDefault="00180611" w:rsidP="001D442C">
            <w:pPr>
              <w:spacing w:after="0" w:line="240" w:lineRule="auto"/>
              <w:jc w:val="right"/>
              <w:rPr>
                <w:rFonts w:ascii="Arial Narrow" w:eastAsia="Times New Roman" w:hAnsi="Arial Narrow" w:cs="Arial"/>
                <w:b/>
                <w:bCs/>
                <w:color w:val="000000"/>
                <w:sz w:val="16"/>
                <w:szCs w:val="16"/>
                <w:lang w:eastAsia="en-PH"/>
              </w:rPr>
            </w:pPr>
          </w:p>
        </w:tc>
        <w:tc>
          <w:tcPr>
            <w:tcW w:w="1169" w:type="dxa"/>
            <w:tcBorders>
              <w:top w:val="single" w:sz="4" w:space="0" w:color="auto"/>
            </w:tcBorders>
            <w:shd w:val="clear" w:color="auto" w:fill="auto"/>
            <w:noWrap/>
            <w:vAlign w:val="center"/>
            <w:hideMark/>
          </w:tcPr>
          <w:p w:rsidR="00180611" w:rsidRPr="00CE1519" w:rsidRDefault="00180611" w:rsidP="001D442C">
            <w:pPr>
              <w:spacing w:after="0" w:line="240" w:lineRule="auto"/>
              <w:jc w:val="right"/>
              <w:rPr>
                <w:rFonts w:ascii="Arial Narrow" w:eastAsia="Times New Roman" w:hAnsi="Arial Narrow" w:cs="Arial"/>
                <w:b/>
                <w:bCs/>
                <w:color w:val="000000"/>
                <w:sz w:val="16"/>
                <w:szCs w:val="16"/>
                <w:lang w:eastAsia="en-PH"/>
              </w:rPr>
            </w:pPr>
          </w:p>
        </w:tc>
        <w:tc>
          <w:tcPr>
            <w:tcW w:w="1112" w:type="dxa"/>
            <w:tcBorders>
              <w:top w:val="single" w:sz="4" w:space="0" w:color="auto"/>
            </w:tcBorders>
            <w:shd w:val="clear" w:color="auto" w:fill="auto"/>
            <w:noWrap/>
            <w:vAlign w:val="center"/>
            <w:hideMark/>
          </w:tcPr>
          <w:p w:rsidR="00180611" w:rsidRPr="00CE1519" w:rsidRDefault="00180611" w:rsidP="001D442C">
            <w:pPr>
              <w:spacing w:after="0" w:line="240" w:lineRule="auto"/>
              <w:jc w:val="right"/>
              <w:rPr>
                <w:rFonts w:ascii="Arial Narrow" w:eastAsia="Times New Roman" w:hAnsi="Arial Narrow" w:cs="Arial"/>
                <w:b/>
                <w:bCs/>
                <w:color w:val="000000"/>
                <w:sz w:val="16"/>
                <w:szCs w:val="16"/>
                <w:lang w:eastAsia="en-PH"/>
              </w:rPr>
            </w:pPr>
          </w:p>
        </w:tc>
        <w:tc>
          <w:tcPr>
            <w:tcW w:w="1190" w:type="dxa"/>
            <w:tcBorders>
              <w:top w:val="single" w:sz="4" w:space="0" w:color="auto"/>
            </w:tcBorders>
            <w:shd w:val="clear" w:color="auto" w:fill="auto"/>
            <w:noWrap/>
            <w:vAlign w:val="center"/>
            <w:hideMark/>
          </w:tcPr>
          <w:p w:rsidR="00180611" w:rsidRPr="00CE1519" w:rsidRDefault="00180611" w:rsidP="00CE1519">
            <w:pPr>
              <w:spacing w:after="0" w:line="240" w:lineRule="auto"/>
              <w:ind w:right="-56"/>
              <w:jc w:val="right"/>
              <w:rPr>
                <w:rFonts w:ascii="Arial Narrow" w:eastAsia="Times New Roman" w:hAnsi="Arial Narrow" w:cs="Arial"/>
                <w:b/>
                <w:bCs/>
                <w:color w:val="000000"/>
                <w:sz w:val="16"/>
                <w:szCs w:val="16"/>
                <w:lang w:eastAsia="en-PH"/>
              </w:rPr>
            </w:pPr>
          </w:p>
        </w:tc>
      </w:tr>
      <w:tr w:rsidR="00180611" w:rsidRPr="00180611" w:rsidTr="00CE1519">
        <w:trPr>
          <w:trHeight w:val="197"/>
        </w:trPr>
        <w:tc>
          <w:tcPr>
            <w:tcW w:w="2165" w:type="dxa"/>
            <w:shd w:val="clear" w:color="auto" w:fill="auto"/>
            <w:noWrap/>
            <w:vAlign w:val="center"/>
            <w:hideMark/>
          </w:tcPr>
          <w:p w:rsidR="00180611" w:rsidRPr="00CE1519" w:rsidRDefault="00180611" w:rsidP="00CE1519">
            <w:pPr>
              <w:spacing w:after="0" w:line="240" w:lineRule="auto"/>
              <w:ind w:right="-108"/>
              <w:rPr>
                <w:rFonts w:ascii="Arial Narrow" w:eastAsia="Times New Roman" w:hAnsi="Arial Narrow" w:cs="Arial"/>
                <w:bCs/>
                <w:color w:val="000000"/>
                <w:sz w:val="16"/>
                <w:szCs w:val="16"/>
                <w:lang w:eastAsia="en-PH"/>
              </w:rPr>
            </w:pPr>
            <w:r w:rsidRPr="00CE1519">
              <w:rPr>
                <w:rFonts w:ascii="Arial Narrow" w:eastAsia="Times New Roman" w:hAnsi="Arial Narrow" w:cs="Arial"/>
                <w:color w:val="000000"/>
                <w:sz w:val="16"/>
                <w:szCs w:val="16"/>
                <w:lang w:eastAsia="en-PH"/>
              </w:rPr>
              <w:t>a. Outstanding Checks</w:t>
            </w:r>
          </w:p>
        </w:tc>
        <w:tc>
          <w:tcPr>
            <w:tcW w:w="1260" w:type="dxa"/>
            <w:shd w:val="clear" w:color="auto" w:fill="auto"/>
            <w:noWrap/>
            <w:vAlign w:val="center"/>
            <w:hideMark/>
          </w:tcPr>
          <w:p w:rsidR="00180611" w:rsidRPr="00CE1519" w:rsidRDefault="00180611" w:rsidP="001D442C">
            <w:pPr>
              <w:spacing w:after="0" w:line="240" w:lineRule="auto"/>
              <w:jc w:val="right"/>
              <w:rPr>
                <w:rFonts w:ascii="Arial Narrow" w:eastAsia="Times New Roman" w:hAnsi="Arial Narrow" w:cs="Arial"/>
                <w:b/>
                <w:bCs/>
                <w:color w:val="000000"/>
                <w:sz w:val="16"/>
                <w:szCs w:val="16"/>
                <w:lang w:eastAsia="en-PH"/>
              </w:rPr>
            </w:pPr>
            <w:r w:rsidRPr="00CE1519">
              <w:rPr>
                <w:rFonts w:ascii="Arial Narrow" w:eastAsia="Times New Roman" w:hAnsi="Arial Narrow" w:cs="Arial"/>
                <w:color w:val="000000"/>
                <w:sz w:val="16"/>
                <w:szCs w:val="16"/>
                <w:lang w:eastAsia="en-PH"/>
              </w:rPr>
              <w:t>387,455,394.24</w:t>
            </w:r>
          </w:p>
        </w:tc>
        <w:tc>
          <w:tcPr>
            <w:tcW w:w="1127" w:type="dxa"/>
            <w:shd w:val="clear" w:color="auto" w:fill="auto"/>
            <w:noWrap/>
            <w:vAlign w:val="center"/>
            <w:hideMark/>
          </w:tcPr>
          <w:p w:rsidR="00180611" w:rsidRPr="00CE1519" w:rsidRDefault="00180611" w:rsidP="001D442C">
            <w:pPr>
              <w:spacing w:after="0" w:line="240" w:lineRule="auto"/>
              <w:jc w:val="right"/>
              <w:rPr>
                <w:rFonts w:ascii="Arial Narrow" w:eastAsia="Times New Roman" w:hAnsi="Arial Narrow" w:cs="Arial"/>
                <w:b/>
                <w:bCs/>
                <w:color w:val="000000"/>
                <w:sz w:val="16"/>
                <w:szCs w:val="16"/>
                <w:lang w:eastAsia="en-PH"/>
              </w:rPr>
            </w:pPr>
            <w:r w:rsidRPr="00CE1519">
              <w:rPr>
                <w:rFonts w:ascii="Arial Narrow" w:eastAsia="Times New Roman" w:hAnsi="Arial Narrow" w:cs="Arial"/>
                <w:color w:val="000000"/>
                <w:sz w:val="16"/>
                <w:szCs w:val="16"/>
                <w:lang w:eastAsia="en-PH"/>
              </w:rPr>
              <w:t xml:space="preserve">       21,000.00</w:t>
            </w:r>
          </w:p>
        </w:tc>
        <w:tc>
          <w:tcPr>
            <w:tcW w:w="1034" w:type="dxa"/>
            <w:shd w:val="clear" w:color="auto" w:fill="auto"/>
            <w:noWrap/>
            <w:vAlign w:val="center"/>
            <w:hideMark/>
          </w:tcPr>
          <w:p w:rsidR="00180611" w:rsidRPr="00CE1519" w:rsidRDefault="00180611" w:rsidP="001D442C">
            <w:pPr>
              <w:spacing w:after="0" w:line="240" w:lineRule="auto"/>
              <w:jc w:val="right"/>
              <w:rPr>
                <w:rFonts w:ascii="Arial Narrow" w:eastAsia="Times New Roman" w:hAnsi="Arial Narrow" w:cs="Arial"/>
                <w:b/>
                <w:bCs/>
                <w:color w:val="000000"/>
                <w:sz w:val="16"/>
                <w:szCs w:val="16"/>
                <w:lang w:eastAsia="en-PH"/>
              </w:rPr>
            </w:pPr>
            <w:r w:rsidRPr="00CE1519">
              <w:rPr>
                <w:rFonts w:ascii="Arial Narrow" w:eastAsia="Times New Roman" w:hAnsi="Arial Narrow" w:cs="Arial"/>
                <w:color w:val="000000"/>
                <w:sz w:val="16"/>
                <w:szCs w:val="16"/>
                <w:lang w:eastAsia="en-PH"/>
              </w:rPr>
              <w:t>-</w:t>
            </w:r>
          </w:p>
        </w:tc>
        <w:tc>
          <w:tcPr>
            <w:tcW w:w="1169" w:type="dxa"/>
            <w:shd w:val="clear" w:color="auto" w:fill="auto"/>
            <w:noWrap/>
            <w:vAlign w:val="center"/>
            <w:hideMark/>
          </w:tcPr>
          <w:p w:rsidR="00180611" w:rsidRPr="00CE1519" w:rsidRDefault="00180611" w:rsidP="001D442C">
            <w:pPr>
              <w:spacing w:after="0" w:line="240" w:lineRule="auto"/>
              <w:jc w:val="right"/>
              <w:rPr>
                <w:rFonts w:ascii="Arial Narrow" w:eastAsia="Times New Roman" w:hAnsi="Arial Narrow" w:cs="Arial"/>
                <w:b/>
                <w:bCs/>
                <w:color w:val="000000"/>
                <w:sz w:val="16"/>
                <w:szCs w:val="16"/>
                <w:lang w:eastAsia="en-PH"/>
              </w:rPr>
            </w:pPr>
            <w:r w:rsidRPr="00CE1519">
              <w:rPr>
                <w:rFonts w:ascii="Arial Narrow" w:eastAsia="Times New Roman" w:hAnsi="Arial Narrow" w:cs="Arial"/>
                <w:color w:val="000000"/>
                <w:sz w:val="16"/>
                <w:szCs w:val="16"/>
                <w:lang w:eastAsia="en-PH"/>
              </w:rPr>
              <w:t>-</w:t>
            </w:r>
          </w:p>
        </w:tc>
        <w:tc>
          <w:tcPr>
            <w:tcW w:w="1112" w:type="dxa"/>
            <w:shd w:val="clear" w:color="auto" w:fill="auto"/>
            <w:noWrap/>
            <w:vAlign w:val="center"/>
            <w:hideMark/>
          </w:tcPr>
          <w:p w:rsidR="00180611" w:rsidRPr="00CE1519" w:rsidRDefault="00180611" w:rsidP="001D442C">
            <w:pPr>
              <w:spacing w:after="0" w:line="240" w:lineRule="auto"/>
              <w:jc w:val="right"/>
              <w:rPr>
                <w:rFonts w:ascii="Arial Narrow" w:eastAsia="Times New Roman" w:hAnsi="Arial Narrow" w:cs="Arial"/>
                <w:b/>
                <w:bCs/>
                <w:color w:val="000000"/>
                <w:sz w:val="16"/>
                <w:szCs w:val="16"/>
                <w:lang w:eastAsia="en-PH"/>
              </w:rPr>
            </w:pPr>
            <w:r w:rsidRPr="00CE1519">
              <w:rPr>
                <w:rFonts w:ascii="Arial Narrow" w:eastAsia="Times New Roman" w:hAnsi="Arial Narrow" w:cs="Arial"/>
                <w:color w:val="000000"/>
                <w:sz w:val="16"/>
                <w:szCs w:val="16"/>
                <w:lang w:eastAsia="en-PH"/>
              </w:rPr>
              <w:t>-</w:t>
            </w:r>
          </w:p>
        </w:tc>
        <w:tc>
          <w:tcPr>
            <w:tcW w:w="1190" w:type="dxa"/>
            <w:shd w:val="clear" w:color="auto" w:fill="auto"/>
            <w:noWrap/>
            <w:vAlign w:val="center"/>
            <w:hideMark/>
          </w:tcPr>
          <w:p w:rsidR="00180611" w:rsidRPr="00CE1519" w:rsidRDefault="00180611" w:rsidP="00CE1519">
            <w:pPr>
              <w:spacing w:after="0" w:line="240" w:lineRule="auto"/>
              <w:ind w:right="-56"/>
              <w:jc w:val="right"/>
              <w:rPr>
                <w:rFonts w:ascii="Arial Narrow" w:eastAsia="Times New Roman" w:hAnsi="Arial Narrow" w:cs="Arial"/>
                <w:b/>
                <w:bCs/>
                <w:color w:val="000000"/>
                <w:sz w:val="16"/>
                <w:szCs w:val="16"/>
                <w:lang w:eastAsia="en-PH"/>
              </w:rPr>
            </w:pPr>
            <w:r w:rsidRPr="00CE1519">
              <w:rPr>
                <w:rFonts w:ascii="Arial Narrow" w:eastAsia="Times New Roman" w:hAnsi="Arial Narrow" w:cs="Arial"/>
                <w:color w:val="000000"/>
                <w:sz w:val="16"/>
                <w:szCs w:val="16"/>
                <w:lang w:eastAsia="en-PH"/>
              </w:rPr>
              <w:t>387,476,394.24</w:t>
            </w:r>
          </w:p>
        </w:tc>
      </w:tr>
      <w:tr w:rsidR="00180611" w:rsidRPr="00180611" w:rsidTr="00CE1519">
        <w:trPr>
          <w:trHeight w:val="197"/>
        </w:trPr>
        <w:tc>
          <w:tcPr>
            <w:tcW w:w="2165" w:type="dxa"/>
            <w:tcBorders>
              <w:bottom w:val="nil"/>
            </w:tcBorders>
            <w:shd w:val="clear" w:color="auto" w:fill="auto"/>
            <w:noWrap/>
            <w:vAlign w:val="center"/>
            <w:hideMark/>
          </w:tcPr>
          <w:p w:rsidR="00180611" w:rsidRPr="00CE1519" w:rsidRDefault="00180611" w:rsidP="00CE1519">
            <w:pPr>
              <w:spacing w:after="0" w:line="240" w:lineRule="auto"/>
              <w:ind w:right="-108"/>
              <w:rPr>
                <w:rFonts w:ascii="Arial Narrow" w:eastAsia="Times New Roman" w:hAnsi="Arial Narrow" w:cs="Arial"/>
                <w:b/>
                <w:bCs/>
                <w:color w:val="000000"/>
                <w:sz w:val="16"/>
                <w:szCs w:val="16"/>
                <w:lang w:eastAsia="en-PH"/>
              </w:rPr>
            </w:pPr>
            <w:r w:rsidRPr="00CE1519">
              <w:rPr>
                <w:rFonts w:ascii="Arial Narrow" w:eastAsia="Times New Roman" w:hAnsi="Arial Narrow" w:cs="Arial"/>
                <w:color w:val="000000"/>
                <w:sz w:val="16"/>
                <w:szCs w:val="16"/>
                <w:lang w:eastAsia="en-PH"/>
              </w:rPr>
              <w:t>b. Bank Error*</w:t>
            </w:r>
          </w:p>
        </w:tc>
        <w:tc>
          <w:tcPr>
            <w:tcW w:w="1260" w:type="dxa"/>
            <w:tcBorders>
              <w:bottom w:val="nil"/>
            </w:tcBorders>
            <w:shd w:val="clear" w:color="auto" w:fill="auto"/>
            <w:noWrap/>
            <w:vAlign w:val="center"/>
            <w:hideMark/>
          </w:tcPr>
          <w:p w:rsidR="00180611" w:rsidRPr="00CE1519" w:rsidRDefault="00180611" w:rsidP="001D442C">
            <w:pPr>
              <w:spacing w:after="0" w:line="240" w:lineRule="auto"/>
              <w:jc w:val="right"/>
              <w:rPr>
                <w:rFonts w:ascii="Arial Narrow" w:eastAsia="Times New Roman" w:hAnsi="Arial Narrow" w:cs="Arial"/>
                <w:b/>
                <w:bCs/>
                <w:color w:val="000000"/>
                <w:sz w:val="16"/>
                <w:szCs w:val="16"/>
                <w:lang w:eastAsia="en-PH"/>
              </w:rPr>
            </w:pPr>
            <w:r w:rsidRPr="00CE1519">
              <w:rPr>
                <w:rFonts w:ascii="Arial Narrow" w:eastAsia="Times New Roman" w:hAnsi="Arial Narrow" w:cs="Arial"/>
                <w:color w:val="000000"/>
                <w:sz w:val="16"/>
                <w:szCs w:val="16"/>
                <w:lang w:eastAsia="en-PH"/>
              </w:rPr>
              <w:t>-</w:t>
            </w:r>
          </w:p>
        </w:tc>
        <w:tc>
          <w:tcPr>
            <w:tcW w:w="1127" w:type="dxa"/>
            <w:tcBorders>
              <w:bottom w:val="nil"/>
            </w:tcBorders>
            <w:shd w:val="clear" w:color="auto" w:fill="auto"/>
            <w:noWrap/>
            <w:vAlign w:val="center"/>
            <w:hideMark/>
          </w:tcPr>
          <w:p w:rsidR="00180611" w:rsidRPr="00CE1519" w:rsidRDefault="00180611" w:rsidP="001D442C">
            <w:pPr>
              <w:spacing w:after="0" w:line="240" w:lineRule="auto"/>
              <w:jc w:val="right"/>
              <w:rPr>
                <w:rFonts w:ascii="Arial Narrow" w:eastAsia="Times New Roman" w:hAnsi="Arial Narrow" w:cs="Arial"/>
                <w:b/>
                <w:bCs/>
                <w:color w:val="000000"/>
                <w:sz w:val="16"/>
                <w:szCs w:val="16"/>
                <w:lang w:eastAsia="en-PH"/>
              </w:rPr>
            </w:pPr>
            <w:r w:rsidRPr="00CE1519">
              <w:rPr>
                <w:rFonts w:ascii="Arial Narrow" w:eastAsia="Times New Roman" w:hAnsi="Arial Narrow" w:cs="Arial"/>
                <w:color w:val="000000"/>
                <w:sz w:val="16"/>
                <w:szCs w:val="16"/>
                <w:lang w:eastAsia="en-PH"/>
              </w:rPr>
              <w:t>-</w:t>
            </w:r>
          </w:p>
        </w:tc>
        <w:tc>
          <w:tcPr>
            <w:tcW w:w="1034" w:type="dxa"/>
            <w:tcBorders>
              <w:bottom w:val="nil"/>
            </w:tcBorders>
            <w:shd w:val="clear" w:color="auto" w:fill="auto"/>
            <w:noWrap/>
            <w:vAlign w:val="center"/>
            <w:hideMark/>
          </w:tcPr>
          <w:p w:rsidR="00180611" w:rsidRPr="00CE1519" w:rsidRDefault="00180611" w:rsidP="001D442C">
            <w:pPr>
              <w:spacing w:after="0" w:line="240" w:lineRule="auto"/>
              <w:jc w:val="right"/>
              <w:rPr>
                <w:rFonts w:ascii="Arial Narrow" w:eastAsia="Times New Roman" w:hAnsi="Arial Narrow" w:cs="Arial"/>
                <w:b/>
                <w:bCs/>
                <w:color w:val="000000"/>
                <w:sz w:val="16"/>
                <w:szCs w:val="16"/>
                <w:lang w:eastAsia="en-PH"/>
              </w:rPr>
            </w:pPr>
            <w:r w:rsidRPr="00CE1519">
              <w:rPr>
                <w:rFonts w:ascii="Arial Narrow" w:eastAsia="Times New Roman" w:hAnsi="Arial Narrow" w:cs="Arial"/>
                <w:color w:val="000000"/>
                <w:sz w:val="16"/>
                <w:szCs w:val="16"/>
                <w:lang w:eastAsia="en-PH"/>
              </w:rPr>
              <w:t>-</w:t>
            </w:r>
          </w:p>
        </w:tc>
        <w:tc>
          <w:tcPr>
            <w:tcW w:w="1169" w:type="dxa"/>
            <w:tcBorders>
              <w:bottom w:val="nil"/>
            </w:tcBorders>
            <w:shd w:val="clear" w:color="auto" w:fill="auto"/>
            <w:noWrap/>
            <w:vAlign w:val="center"/>
            <w:hideMark/>
          </w:tcPr>
          <w:p w:rsidR="00180611" w:rsidRPr="00CE1519" w:rsidRDefault="00180611" w:rsidP="001D442C">
            <w:pPr>
              <w:spacing w:after="0" w:line="240" w:lineRule="auto"/>
              <w:jc w:val="right"/>
              <w:rPr>
                <w:rFonts w:ascii="Arial Narrow" w:eastAsia="Times New Roman" w:hAnsi="Arial Narrow" w:cs="Arial"/>
                <w:b/>
                <w:bCs/>
                <w:color w:val="000000"/>
                <w:sz w:val="16"/>
                <w:szCs w:val="16"/>
                <w:lang w:eastAsia="en-PH"/>
              </w:rPr>
            </w:pPr>
            <w:r w:rsidRPr="00CE1519">
              <w:rPr>
                <w:rFonts w:ascii="Arial Narrow" w:eastAsia="Times New Roman" w:hAnsi="Arial Narrow" w:cs="Arial"/>
                <w:color w:val="000000"/>
                <w:sz w:val="16"/>
                <w:szCs w:val="16"/>
                <w:lang w:eastAsia="en-PH"/>
              </w:rPr>
              <w:t>-</w:t>
            </w:r>
          </w:p>
        </w:tc>
        <w:tc>
          <w:tcPr>
            <w:tcW w:w="1112" w:type="dxa"/>
            <w:tcBorders>
              <w:bottom w:val="nil"/>
            </w:tcBorders>
            <w:shd w:val="clear" w:color="auto" w:fill="auto"/>
            <w:noWrap/>
            <w:vAlign w:val="center"/>
            <w:hideMark/>
          </w:tcPr>
          <w:p w:rsidR="00180611" w:rsidRPr="00CE1519" w:rsidRDefault="00180611" w:rsidP="001D442C">
            <w:pPr>
              <w:spacing w:after="0" w:line="240" w:lineRule="auto"/>
              <w:jc w:val="right"/>
              <w:rPr>
                <w:rFonts w:ascii="Arial Narrow" w:eastAsia="Times New Roman" w:hAnsi="Arial Narrow" w:cs="Arial"/>
                <w:b/>
                <w:bCs/>
                <w:color w:val="000000"/>
                <w:sz w:val="16"/>
                <w:szCs w:val="16"/>
                <w:lang w:eastAsia="en-PH"/>
              </w:rPr>
            </w:pPr>
            <w:r w:rsidRPr="00CE1519">
              <w:rPr>
                <w:rFonts w:ascii="Arial Narrow" w:eastAsia="Times New Roman" w:hAnsi="Arial Narrow" w:cs="Arial"/>
                <w:color w:val="000000"/>
                <w:sz w:val="16"/>
                <w:szCs w:val="16"/>
                <w:lang w:eastAsia="en-PH"/>
              </w:rPr>
              <w:t xml:space="preserve">       31,020.00</w:t>
            </w:r>
          </w:p>
        </w:tc>
        <w:tc>
          <w:tcPr>
            <w:tcW w:w="1190" w:type="dxa"/>
            <w:tcBorders>
              <w:bottom w:val="nil"/>
            </w:tcBorders>
            <w:shd w:val="clear" w:color="auto" w:fill="auto"/>
            <w:noWrap/>
            <w:vAlign w:val="center"/>
            <w:hideMark/>
          </w:tcPr>
          <w:p w:rsidR="00180611" w:rsidRPr="00CE1519" w:rsidRDefault="00180611" w:rsidP="00CE1519">
            <w:pPr>
              <w:spacing w:after="0" w:line="240" w:lineRule="auto"/>
              <w:ind w:right="-56"/>
              <w:jc w:val="right"/>
              <w:rPr>
                <w:rFonts w:ascii="Arial Narrow" w:eastAsia="Times New Roman" w:hAnsi="Arial Narrow" w:cs="Arial"/>
                <w:b/>
                <w:bCs/>
                <w:color w:val="000000"/>
                <w:sz w:val="16"/>
                <w:szCs w:val="16"/>
                <w:lang w:eastAsia="en-PH"/>
              </w:rPr>
            </w:pPr>
            <w:r w:rsidRPr="00CE1519">
              <w:rPr>
                <w:rFonts w:ascii="Arial Narrow" w:eastAsia="Times New Roman" w:hAnsi="Arial Narrow" w:cs="Arial"/>
                <w:color w:val="000000"/>
                <w:sz w:val="16"/>
                <w:szCs w:val="16"/>
                <w:lang w:eastAsia="en-PH"/>
              </w:rPr>
              <w:t xml:space="preserve">   31,020.00</w:t>
            </w:r>
          </w:p>
        </w:tc>
      </w:tr>
      <w:tr w:rsidR="00180611" w:rsidRPr="00180611" w:rsidTr="00CE1519">
        <w:trPr>
          <w:trHeight w:val="197"/>
        </w:trPr>
        <w:tc>
          <w:tcPr>
            <w:tcW w:w="2165" w:type="dxa"/>
            <w:tcBorders>
              <w:top w:val="nil"/>
              <w:bottom w:val="single" w:sz="4" w:space="0" w:color="auto"/>
            </w:tcBorders>
            <w:shd w:val="clear" w:color="auto" w:fill="auto"/>
            <w:noWrap/>
            <w:vAlign w:val="center"/>
            <w:hideMark/>
          </w:tcPr>
          <w:p w:rsidR="00180611" w:rsidRPr="00CE1519" w:rsidRDefault="00180611" w:rsidP="00CE1519">
            <w:pPr>
              <w:spacing w:after="0" w:line="240" w:lineRule="auto"/>
              <w:ind w:right="-108"/>
              <w:rPr>
                <w:rFonts w:ascii="Arial Narrow" w:eastAsia="Times New Roman" w:hAnsi="Arial Narrow" w:cs="Arial"/>
                <w:b/>
                <w:bCs/>
                <w:color w:val="000000"/>
                <w:sz w:val="16"/>
                <w:szCs w:val="16"/>
                <w:lang w:eastAsia="en-PH"/>
              </w:rPr>
            </w:pPr>
            <w:r w:rsidRPr="00CE1519">
              <w:rPr>
                <w:rFonts w:ascii="Arial Narrow" w:eastAsia="Times New Roman" w:hAnsi="Arial Narrow" w:cs="Arial"/>
                <w:color w:val="000000"/>
                <w:sz w:val="16"/>
                <w:szCs w:val="16"/>
                <w:lang w:eastAsia="en-PH"/>
              </w:rPr>
              <w:t>c. Unposted  Deposits</w:t>
            </w:r>
          </w:p>
        </w:tc>
        <w:tc>
          <w:tcPr>
            <w:tcW w:w="1260" w:type="dxa"/>
            <w:tcBorders>
              <w:top w:val="nil"/>
              <w:bottom w:val="single" w:sz="4" w:space="0" w:color="auto"/>
            </w:tcBorders>
            <w:shd w:val="clear" w:color="auto" w:fill="auto"/>
            <w:noWrap/>
            <w:vAlign w:val="center"/>
            <w:hideMark/>
          </w:tcPr>
          <w:p w:rsidR="00180611" w:rsidRPr="00CE1519" w:rsidRDefault="00180611" w:rsidP="001D442C">
            <w:pPr>
              <w:spacing w:after="0" w:line="240" w:lineRule="auto"/>
              <w:jc w:val="right"/>
              <w:rPr>
                <w:rFonts w:ascii="Arial Narrow" w:eastAsia="Times New Roman" w:hAnsi="Arial Narrow" w:cs="Arial"/>
                <w:b/>
                <w:bCs/>
                <w:color w:val="000000"/>
                <w:sz w:val="16"/>
                <w:szCs w:val="16"/>
                <w:lang w:eastAsia="en-PH"/>
              </w:rPr>
            </w:pPr>
            <w:r w:rsidRPr="00CE1519">
              <w:rPr>
                <w:rFonts w:ascii="Arial Narrow" w:eastAsia="Times New Roman" w:hAnsi="Arial Narrow" w:cs="Arial"/>
                <w:color w:val="000000"/>
                <w:sz w:val="16"/>
                <w:szCs w:val="16"/>
                <w:lang w:eastAsia="en-PH"/>
              </w:rPr>
              <w:t>26,841,023.14</w:t>
            </w:r>
          </w:p>
        </w:tc>
        <w:tc>
          <w:tcPr>
            <w:tcW w:w="1127" w:type="dxa"/>
            <w:tcBorders>
              <w:top w:val="nil"/>
              <w:bottom w:val="single" w:sz="4" w:space="0" w:color="auto"/>
            </w:tcBorders>
            <w:shd w:val="clear" w:color="auto" w:fill="auto"/>
            <w:noWrap/>
            <w:vAlign w:val="center"/>
            <w:hideMark/>
          </w:tcPr>
          <w:p w:rsidR="00180611" w:rsidRPr="00CE1519" w:rsidRDefault="00180611" w:rsidP="001D442C">
            <w:pPr>
              <w:spacing w:after="0" w:line="240" w:lineRule="auto"/>
              <w:jc w:val="right"/>
              <w:rPr>
                <w:rFonts w:ascii="Arial Narrow" w:eastAsia="Times New Roman" w:hAnsi="Arial Narrow" w:cs="Arial"/>
                <w:b/>
                <w:bCs/>
                <w:color w:val="000000"/>
                <w:sz w:val="16"/>
                <w:szCs w:val="16"/>
                <w:lang w:eastAsia="en-PH"/>
              </w:rPr>
            </w:pPr>
            <w:r w:rsidRPr="00CE1519">
              <w:rPr>
                <w:rFonts w:ascii="Arial Narrow" w:eastAsia="Times New Roman" w:hAnsi="Arial Narrow" w:cs="Arial"/>
                <w:color w:val="000000"/>
                <w:sz w:val="16"/>
                <w:szCs w:val="16"/>
                <w:lang w:eastAsia="en-PH"/>
              </w:rPr>
              <w:t>-</w:t>
            </w:r>
          </w:p>
        </w:tc>
        <w:tc>
          <w:tcPr>
            <w:tcW w:w="1034" w:type="dxa"/>
            <w:tcBorders>
              <w:top w:val="nil"/>
              <w:bottom w:val="single" w:sz="4" w:space="0" w:color="auto"/>
            </w:tcBorders>
            <w:shd w:val="clear" w:color="auto" w:fill="auto"/>
            <w:noWrap/>
            <w:vAlign w:val="center"/>
            <w:hideMark/>
          </w:tcPr>
          <w:p w:rsidR="00180611" w:rsidRPr="00CE1519" w:rsidRDefault="00180611" w:rsidP="001D442C">
            <w:pPr>
              <w:spacing w:after="0" w:line="240" w:lineRule="auto"/>
              <w:jc w:val="right"/>
              <w:rPr>
                <w:rFonts w:ascii="Arial Narrow" w:eastAsia="Times New Roman" w:hAnsi="Arial Narrow" w:cs="Arial"/>
                <w:b/>
                <w:bCs/>
                <w:color w:val="000000"/>
                <w:sz w:val="16"/>
                <w:szCs w:val="16"/>
                <w:lang w:eastAsia="en-PH"/>
              </w:rPr>
            </w:pPr>
            <w:r w:rsidRPr="00CE1519">
              <w:rPr>
                <w:rFonts w:ascii="Arial Narrow" w:eastAsia="Times New Roman" w:hAnsi="Arial Narrow" w:cs="Arial"/>
                <w:color w:val="000000"/>
                <w:sz w:val="16"/>
                <w:szCs w:val="16"/>
                <w:lang w:eastAsia="en-PH"/>
              </w:rPr>
              <w:t>-</w:t>
            </w:r>
          </w:p>
        </w:tc>
        <w:tc>
          <w:tcPr>
            <w:tcW w:w="1169" w:type="dxa"/>
            <w:tcBorders>
              <w:top w:val="nil"/>
              <w:bottom w:val="single" w:sz="4" w:space="0" w:color="auto"/>
            </w:tcBorders>
            <w:shd w:val="clear" w:color="auto" w:fill="auto"/>
            <w:noWrap/>
            <w:vAlign w:val="center"/>
            <w:hideMark/>
          </w:tcPr>
          <w:p w:rsidR="00180611" w:rsidRPr="00CE1519" w:rsidRDefault="00180611" w:rsidP="001D442C">
            <w:pPr>
              <w:spacing w:after="0" w:line="240" w:lineRule="auto"/>
              <w:jc w:val="right"/>
              <w:rPr>
                <w:rFonts w:ascii="Arial Narrow" w:eastAsia="Times New Roman" w:hAnsi="Arial Narrow" w:cs="Arial"/>
                <w:b/>
                <w:bCs/>
                <w:color w:val="000000"/>
                <w:sz w:val="16"/>
                <w:szCs w:val="16"/>
                <w:lang w:eastAsia="en-PH"/>
              </w:rPr>
            </w:pPr>
            <w:r w:rsidRPr="00CE1519">
              <w:rPr>
                <w:rFonts w:ascii="Arial Narrow" w:eastAsia="Times New Roman" w:hAnsi="Arial Narrow" w:cs="Arial"/>
                <w:color w:val="000000"/>
                <w:sz w:val="16"/>
                <w:szCs w:val="16"/>
                <w:lang w:eastAsia="en-PH"/>
              </w:rPr>
              <w:t>-</w:t>
            </w:r>
          </w:p>
        </w:tc>
        <w:tc>
          <w:tcPr>
            <w:tcW w:w="1112" w:type="dxa"/>
            <w:tcBorders>
              <w:top w:val="nil"/>
              <w:bottom w:val="single" w:sz="4" w:space="0" w:color="auto"/>
            </w:tcBorders>
            <w:shd w:val="clear" w:color="auto" w:fill="auto"/>
            <w:noWrap/>
            <w:vAlign w:val="center"/>
            <w:hideMark/>
          </w:tcPr>
          <w:p w:rsidR="00180611" w:rsidRPr="00CE1519" w:rsidRDefault="00180611" w:rsidP="001D442C">
            <w:pPr>
              <w:spacing w:after="0" w:line="240" w:lineRule="auto"/>
              <w:jc w:val="right"/>
              <w:rPr>
                <w:rFonts w:ascii="Arial Narrow" w:eastAsia="Times New Roman" w:hAnsi="Arial Narrow" w:cs="Arial"/>
                <w:b/>
                <w:bCs/>
                <w:color w:val="000000"/>
                <w:sz w:val="16"/>
                <w:szCs w:val="16"/>
                <w:lang w:eastAsia="en-PH"/>
              </w:rPr>
            </w:pPr>
            <w:r w:rsidRPr="00CE1519">
              <w:rPr>
                <w:rFonts w:ascii="Arial Narrow" w:eastAsia="Times New Roman" w:hAnsi="Arial Narrow" w:cs="Arial"/>
                <w:color w:val="000000"/>
                <w:sz w:val="16"/>
                <w:szCs w:val="16"/>
                <w:lang w:eastAsia="en-PH"/>
              </w:rPr>
              <w:t>-</w:t>
            </w:r>
          </w:p>
        </w:tc>
        <w:tc>
          <w:tcPr>
            <w:tcW w:w="1190" w:type="dxa"/>
            <w:tcBorders>
              <w:top w:val="nil"/>
              <w:bottom w:val="single" w:sz="4" w:space="0" w:color="auto"/>
            </w:tcBorders>
            <w:shd w:val="clear" w:color="auto" w:fill="auto"/>
            <w:noWrap/>
            <w:vAlign w:val="center"/>
            <w:hideMark/>
          </w:tcPr>
          <w:p w:rsidR="00180611" w:rsidRPr="00CE1519" w:rsidRDefault="00180611" w:rsidP="00CE1519">
            <w:pPr>
              <w:spacing w:after="0" w:line="240" w:lineRule="auto"/>
              <w:ind w:right="-56"/>
              <w:jc w:val="right"/>
              <w:rPr>
                <w:rFonts w:ascii="Arial Narrow" w:eastAsia="Times New Roman" w:hAnsi="Arial Narrow" w:cs="Arial"/>
                <w:b/>
                <w:bCs/>
                <w:color w:val="000000"/>
                <w:sz w:val="16"/>
                <w:szCs w:val="16"/>
                <w:lang w:eastAsia="en-PH"/>
              </w:rPr>
            </w:pPr>
            <w:r w:rsidRPr="00CE1519">
              <w:rPr>
                <w:rFonts w:ascii="Arial Narrow" w:eastAsia="Times New Roman" w:hAnsi="Arial Narrow" w:cs="Arial"/>
                <w:color w:val="000000"/>
                <w:sz w:val="16"/>
                <w:szCs w:val="16"/>
                <w:lang w:eastAsia="en-PH"/>
              </w:rPr>
              <w:t>26,841,023.14</w:t>
            </w:r>
          </w:p>
        </w:tc>
      </w:tr>
      <w:tr w:rsidR="00180611" w:rsidRPr="00180611" w:rsidTr="00CE1519">
        <w:trPr>
          <w:trHeight w:val="197"/>
        </w:trPr>
        <w:tc>
          <w:tcPr>
            <w:tcW w:w="2165" w:type="dxa"/>
            <w:tcBorders>
              <w:top w:val="single" w:sz="4" w:space="0" w:color="auto"/>
              <w:bottom w:val="double" w:sz="4" w:space="0" w:color="auto"/>
            </w:tcBorders>
            <w:shd w:val="clear" w:color="auto" w:fill="auto"/>
            <w:noWrap/>
            <w:vAlign w:val="center"/>
            <w:hideMark/>
          </w:tcPr>
          <w:p w:rsidR="00180611" w:rsidRPr="00CE1519" w:rsidRDefault="00180611" w:rsidP="001D442C">
            <w:pPr>
              <w:spacing w:after="0" w:line="240" w:lineRule="auto"/>
              <w:rPr>
                <w:rFonts w:ascii="Arial Narrow" w:eastAsia="Times New Roman" w:hAnsi="Arial Narrow" w:cs="Arial"/>
                <w:b/>
                <w:bCs/>
                <w:color w:val="000000"/>
                <w:sz w:val="16"/>
                <w:szCs w:val="16"/>
                <w:lang w:eastAsia="en-PH"/>
              </w:rPr>
            </w:pPr>
            <w:r w:rsidRPr="00CE1519">
              <w:rPr>
                <w:rFonts w:ascii="Arial Narrow" w:eastAsia="Times New Roman" w:hAnsi="Arial Narrow" w:cs="Arial"/>
                <w:b/>
                <w:bCs/>
                <w:color w:val="000000"/>
                <w:sz w:val="16"/>
                <w:szCs w:val="16"/>
                <w:lang w:eastAsia="en-PH"/>
              </w:rPr>
              <w:t>Total</w:t>
            </w:r>
          </w:p>
        </w:tc>
        <w:tc>
          <w:tcPr>
            <w:tcW w:w="1260" w:type="dxa"/>
            <w:tcBorders>
              <w:top w:val="single" w:sz="4" w:space="0" w:color="auto"/>
              <w:bottom w:val="double" w:sz="4" w:space="0" w:color="auto"/>
            </w:tcBorders>
            <w:shd w:val="clear" w:color="auto" w:fill="auto"/>
            <w:noWrap/>
            <w:vAlign w:val="center"/>
            <w:hideMark/>
          </w:tcPr>
          <w:p w:rsidR="00180611" w:rsidRPr="00CE1519" w:rsidRDefault="00180611" w:rsidP="001D442C">
            <w:pPr>
              <w:spacing w:after="0" w:line="240" w:lineRule="auto"/>
              <w:jc w:val="right"/>
              <w:rPr>
                <w:rFonts w:ascii="Arial Narrow" w:eastAsia="Times New Roman" w:hAnsi="Arial Narrow" w:cs="Arial"/>
                <w:b/>
                <w:bCs/>
                <w:color w:val="000000"/>
                <w:sz w:val="16"/>
                <w:szCs w:val="16"/>
                <w:lang w:eastAsia="en-PH"/>
              </w:rPr>
            </w:pPr>
            <w:r w:rsidRPr="00CE1519">
              <w:rPr>
                <w:rFonts w:ascii="Arial Narrow" w:eastAsia="Times New Roman" w:hAnsi="Arial Narrow" w:cs="Arial"/>
                <w:b/>
                <w:bCs/>
                <w:color w:val="000000"/>
                <w:sz w:val="16"/>
                <w:szCs w:val="16"/>
                <w:lang w:eastAsia="en-PH"/>
              </w:rPr>
              <w:t>360,614,371.10</w:t>
            </w:r>
          </w:p>
        </w:tc>
        <w:tc>
          <w:tcPr>
            <w:tcW w:w="1127" w:type="dxa"/>
            <w:tcBorders>
              <w:top w:val="single" w:sz="4" w:space="0" w:color="auto"/>
              <w:bottom w:val="double" w:sz="4" w:space="0" w:color="auto"/>
            </w:tcBorders>
            <w:shd w:val="clear" w:color="auto" w:fill="auto"/>
            <w:noWrap/>
            <w:vAlign w:val="center"/>
            <w:hideMark/>
          </w:tcPr>
          <w:p w:rsidR="00180611" w:rsidRPr="00CE1519" w:rsidRDefault="00180611" w:rsidP="001D442C">
            <w:pPr>
              <w:spacing w:after="0" w:line="240" w:lineRule="auto"/>
              <w:jc w:val="right"/>
              <w:rPr>
                <w:rFonts w:ascii="Arial Narrow" w:eastAsia="Times New Roman" w:hAnsi="Arial Narrow" w:cs="Arial"/>
                <w:b/>
                <w:bCs/>
                <w:color w:val="000000"/>
                <w:sz w:val="16"/>
                <w:szCs w:val="16"/>
                <w:lang w:eastAsia="en-PH"/>
              </w:rPr>
            </w:pPr>
            <w:r w:rsidRPr="00CE1519">
              <w:rPr>
                <w:rFonts w:ascii="Arial Narrow" w:eastAsia="Times New Roman" w:hAnsi="Arial Narrow" w:cs="Arial"/>
                <w:b/>
                <w:bCs/>
                <w:color w:val="000000"/>
                <w:sz w:val="16"/>
                <w:szCs w:val="16"/>
                <w:lang w:eastAsia="en-PH"/>
              </w:rPr>
              <w:t>21,000.00</w:t>
            </w:r>
          </w:p>
        </w:tc>
        <w:tc>
          <w:tcPr>
            <w:tcW w:w="1034" w:type="dxa"/>
            <w:tcBorders>
              <w:top w:val="single" w:sz="4" w:space="0" w:color="auto"/>
              <w:bottom w:val="double" w:sz="4" w:space="0" w:color="auto"/>
            </w:tcBorders>
            <w:shd w:val="clear" w:color="auto" w:fill="auto"/>
            <w:noWrap/>
            <w:vAlign w:val="center"/>
            <w:hideMark/>
          </w:tcPr>
          <w:p w:rsidR="00180611" w:rsidRPr="00CE1519" w:rsidRDefault="00180611" w:rsidP="001D442C">
            <w:pPr>
              <w:spacing w:after="0" w:line="240" w:lineRule="auto"/>
              <w:jc w:val="right"/>
              <w:rPr>
                <w:rFonts w:ascii="Arial Narrow" w:eastAsia="Times New Roman" w:hAnsi="Arial Narrow" w:cs="Arial"/>
                <w:b/>
                <w:bCs/>
                <w:color w:val="000000"/>
                <w:sz w:val="16"/>
                <w:szCs w:val="16"/>
                <w:lang w:eastAsia="en-PH"/>
              </w:rPr>
            </w:pPr>
            <w:r w:rsidRPr="00CE1519">
              <w:rPr>
                <w:rFonts w:ascii="Arial Narrow" w:eastAsia="Times New Roman" w:hAnsi="Arial Narrow" w:cs="Arial"/>
                <w:b/>
                <w:color w:val="000000"/>
                <w:sz w:val="16"/>
                <w:szCs w:val="16"/>
                <w:lang w:eastAsia="en-PH"/>
              </w:rPr>
              <w:t>-</w:t>
            </w:r>
          </w:p>
        </w:tc>
        <w:tc>
          <w:tcPr>
            <w:tcW w:w="1169" w:type="dxa"/>
            <w:tcBorders>
              <w:top w:val="single" w:sz="4" w:space="0" w:color="auto"/>
              <w:bottom w:val="double" w:sz="4" w:space="0" w:color="auto"/>
            </w:tcBorders>
            <w:shd w:val="clear" w:color="auto" w:fill="auto"/>
            <w:noWrap/>
            <w:vAlign w:val="center"/>
            <w:hideMark/>
          </w:tcPr>
          <w:p w:rsidR="00180611" w:rsidRPr="00CE1519" w:rsidRDefault="00180611" w:rsidP="001D442C">
            <w:pPr>
              <w:spacing w:after="0" w:line="240" w:lineRule="auto"/>
              <w:jc w:val="right"/>
              <w:rPr>
                <w:rFonts w:ascii="Arial Narrow" w:eastAsia="Times New Roman" w:hAnsi="Arial Narrow" w:cs="Arial"/>
                <w:b/>
                <w:bCs/>
                <w:color w:val="000000"/>
                <w:sz w:val="16"/>
                <w:szCs w:val="16"/>
                <w:lang w:eastAsia="en-PH"/>
              </w:rPr>
            </w:pPr>
            <w:r w:rsidRPr="00CE1519">
              <w:rPr>
                <w:rFonts w:ascii="Arial Narrow" w:eastAsia="Times New Roman" w:hAnsi="Arial Narrow" w:cs="Arial"/>
                <w:b/>
                <w:color w:val="000000"/>
                <w:sz w:val="16"/>
                <w:szCs w:val="16"/>
                <w:lang w:eastAsia="en-PH"/>
              </w:rPr>
              <w:t>-</w:t>
            </w:r>
          </w:p>
        </w:tc>
        <w:tc>
          <w:tcPr>
            <w:tcW w:w="1112" w:type="dxa"/>
            <w:tcBorders>
              <w:top w:val="single" w:sz="4" w:space="0" w:color="auto"/>
              <w:bottom w:val="double" w:sz="4" w:space="0" w:color="auto"/>
            </w:tcBorders>
            <w:shd w:val="clear" w:color="auto" w:fill="auto"/>
            <w:noWrap/>
            <w:vAlign w:val="center"/>
            <w:hideMark/>
          </w:tcPr>
          <w:p w:rsidR="00180611" w:rsidRPr="00CE1519" w:rsidRDefault="00180611" w:rsidP="001D442C">
            <w:pPr>
              <w:spacing w:after="0" w:line="240" w:lineRule="auto"/>
              <w:jc w:val="right"/>
              <w:rPr>
                <w:rFonts w:ascii="Arial Narrow" w:eastAsia="Times New Roman" w:hAnsi="Arial Narrow" w:cs="Arial"/>
                <w:b/>
                <w:bCs/>
                <w:color w:val="000000"/>
                <w:sz w:val="16"/>
                <w:szCs w:val="16"/>
                <w:lang w:eastAsia="en-PH"/>
              </w:rPr>
            </w:pPr>
            <w:r w:rsidRPr="00CE1519">
              <w:rPr>
                <w:rFonts w:ascii="Arial Narrow" w:eastAsia="Times New Roman" w:hAnsi="Arial Narrow" w:cs="Arial"/>
                <w:b/>
                <w:bCs/>
                <w:color w:val="000000"/>
                <w:sz w:val="16"/>
                <w:szCs w:val="16"/>
                <w:lang w:eastAsia="en-PH"/>
              </w:rPr>
              <w:t>31,020.00</w:t>
            </w:r>
          </w:p>
        </w:tc>
        <w:tc>
          <w:tcPr>
            <w:tcW w:w="1190" w:type="dxa"/>
            <w:tcBorders>
              <w:top w:val="single" w:sz="4" w:space="0" w:color="auto"/>
              <w:bottom w:val="double" w:sz="4" w:space="0" w:color="auto"/>
            </w:tcBorders>
            <w:shd w:val="clear" w:color="auto" w:fill="auto"/>
            <w:noWrap/>
            <w:vAlign w:val="center"/>
            <w:hideMark/>
          </w:tcPr>
          <w:p w:rsidR="00180611" w:rsidRPr="00CE1519" w:rsidRDefault="00180611" w:rsidP="00CE1519">
            <w:pPr>
              <w:spacing w:after="0" w:line="240" w:lineRule="auto"/>
              <w:ind w:right="-56"/>
              <w:jc w:val="right"/>
              <w:rPr>
                <w:rFonts w:ascii="Arial Narrow" w:eastAsia="Times New Roman" w:hAnsi="Arial Narrow" w:cs="Arial"/>
                <w:b/>
                <w:bCs/>
                <w:color w:val="000000"/>
                <w:sz w:val="16"/>
                <w:szCs w:val="16"/>
                <w:lang w:eastAsia="en-PH"/>
              </w:rPr>
            </w:pPr>
            <w:r w:rsidRPr="00CE1519">
              <w:rPr>
                <w:rFonts w:ascii="Arial Narrow" w:eastAsia="Times New Roman" w:hAnsi="Arial Narrow" w:cs="Arial"/>
                <w:b/>
                <w:bCs/>
                <w:color w:val="000000"/>
                <w:sz w:val="16"/>
                <w:szCs w:val="16"/>
                <w:lang w:eastAsia="en-PH"/>
              </w:rPr>
              <w:t>360,604,351.10</w:t>
            </w:r>
          </w:p>
        </w:tc>
      </w:tr>
    </w:tbl>
    <w:p w:rsidR="00180611" w:rsidRDefault="00180611" w:rsidP="00180611">
      <w:pPr>
        <w:spacing w:after="0" w:line="240" w:lineRule="auto"/>
        <w:ind w:left="720"/>
        <w:jc w:val="both"/>
        <w:rPr>
          <w:rFonts w:ascii="Arial Narrow" w:eastAsia="Calibri" w:hAnsi="Arial Narrow" w:cs="Arial"/>
          <w:i/>
          <w:sz w:val="17"/>
          <w:szCs w:val="17"/>
          <w:lang w:val="en-US"/>
        </w:rPr>
      </w:pPr>
      <w:r w:rsidRPr="004F6C55">
        <w:rPr>
          <w:rFonts w:ascii="Arial Narrow" w:eastAsia="Calibri" w:hAnsi="Arial Narrow" w:cs="Arial"/>
          <w:i/>
          <w:sz w:val="17"/>
          <w:szCs w:val="17"/>
          <w:lang w:val="en-US"/>
        </w:rPr>
        <w:t>*Bank Error - 2014 and below</w:t>
      </w:r>
    </w:p>
    <w:p w:rsidR="000B3DC2" w:rsidRDefault="000B3DC2" w:rsidP="00180611">
      <w:pPr>
        <w:spacing w:after="0" w:line="240" w:lineRule="auto"/>
        <w:ind w:left="720"/>
        <w:jc w:val="both"/>
        <w:rPr>
          <w:rFonts w:ascii="Arial Narrow" w:eastAsia="Calibri" w:hAnsi="Arial Narrow" w:cs="Arial"/>
          <w:i/>
          <w:sz w:val="17"/>
          <w:szCs w:val="17"/>
          <w:lang w:val="en-US"/>
        </w:rPr>
      </w:pPr>
    </w:p>
    <w:p w:rsidR="00A84DDE" w:rsidRPr="007E7778" w:rsidRDefault="00A84DDE" w:rsidP="00DA78B4">
      <w:pPr>
        <w:pStyle w:val="ListParagraph"/>
        <w:numPr>
          <w:ilvl w:val="1"/>
          <w:numId w:val="1"/>
        </w:numPr>
        <w:ind w:left="1440"/>
        <w:contextualSpacing/>
        <w:jc w:val="both"/>
        <w:rPr>
          <w:rFonts w:ascii="Arial" w:eastAsia="Calibri" w:hAnsi="Arial" w:cs="Arial"/>
          <w:color w:val="000000" w:themeColor="text1"/>
          <w:sz w:val="22"/>
          <w:szCs w:val="22"/>
        </w:rPr>
      </w:pPr>
      <w:r w:rsidRPr="007E7778">
        <w:rPr>
          <w:rFonts w:ascii="Arial" w:hAnsi="Arial" w:cs="Arial"/>
          <w:color w:val="000000" w:themeColor="text1"/>
          <w:sz w:val="22"/>
          <w:szCs w:val="22"/>
        </w:rPr>
        <w:t>A</w:t>
      </w:r>
      <w:r w:rsidRPr="007E7778">
        <w:rPr>
          <w:rFonts w:ascii="Arial" w:eastAsia="Calibri" w:hAnsi="Arial" w:cs="Arial"/>
          <w:color w:val="000000" w:themeColor="text1"/>
          <w:sz w:val="22"/>
          <w:szCs w:val="22"/>
        </w:rPr>
        <w:t xml:space="preserve">s presented in </w:t>
      </w:r>
      <w:r w:rsidR="00972DD8" w:rsidRPr="007E7778">
        <w:rPr>
          <w:rFonts w:ascii="Arial" w:eastAsia="Calibri" w:hAnsi="Arial" w:cs="Arial"/>
          <w:color w:val="000000" w:themeColor="text1"/>
          <w:sz w:val="22"/>
          <w:szCs w:val="22"/>
        </w:rPr>
        <w:t>T</w:t>
      </w:r>
      <w:r w:rsidRPr="007E7778">
        <w:rPr>
          <w:rFonts w:ascii="Arial" w:eastAsia="Calibri" w:hAnsi="Arial" w:cs="Arial"/>
          <w:color w:val="000000" w:themeColor="text1"/>
          <w:sz w:val="22"/>
          <w:szCs w:val="22"/>
        </w:rPr>
        <w:t>able</w:t>
      </w:r>
      <w:r w:rsidR="00972DD8" w:rsidRPr="007E7778">
        <w:rPr>
          <w:rFonts w:ascii="Arial" w:eastAsia="Calibri" w:hAnsi="Arial" w:cs="Arial"/>
          <w:color w:val="000000" w:themeColor="text1"/>
          <w:sz w:val="22"/>
          <w:szCs w:val="22"/>
        </w:rPr>
        <w:t xml:space="preserve"> </w:t>
      </w:r>
      <w:r w:rsidR="000B3DC2">
        <w:rPr>
          <w:rFonts w:ascii="Arial" w:eastAsia="Calibri" w:hAnsi="Arial" w:cs="Arial"/>
          <w:color w:val="000000" w:themeColor="text1"/>
          <w:sz w:val="22"/>
          <w:szCs w:val="22"/>
        </w:rPr>
        <w:t>5</w:t>
      </w:r>
      <w:r w:rsidRPr="007E7778">
        <w:rPr>
          <w:rFonts w:ascii="Arial" w:eastAsia="Calibri" w:hAnsi="Arial" w:cs="Arial"/>
          <w:color w:val="000000" w:themeColor="text1"/>
          <w:sz w:val="22"/>
          <w:szCs w:val="22"/>
        </w:rPr>
        <w:t>, more th</w:t>
      </w:r>
      <w:r w:rsidR="00ED277D" w:rsidRPr="007E7778">
        <w:rPr>
          <w:rFonts w:ascii="Arial" w:eastAsia="Calibri" w:hAnsi="Arial" w:cs="Arial"/>
          <w:color w:val="000000" w:themeColor="text1"/>
          <w:sz w:val="22"/>
          <w:szCs w:val="22"/>
        </w:rPr>
        <w:t xml:space="preserve">an half of the total amount of book reconciling items </w:t>
      </w:r>
      <w:r w:rsidRPr="007E7778">
        <w:rPr>
          <w:rFonts w:ascii="Arial" w:eastAsia="Calibri" w:hAnsi="Arial" w:cs="Arial"/>
          <w:color w:val="000000" w:themeColor="text1"/>
          <w:sz w:val="22"/>
          <w:szCs w:val="22"/>
        </w:rPr>
        <w:t xml:space="preserve">pertained to prior years which remained unadjusted in the books despite being reiterated to Management for the past two years.  In addition, </w:t>
      </w:r>
      <w:r w:rsidR="00A408E9" w:rsidRPr="007E7778">
        <w:rPr>
          <w:rFonts w:ascii="Arial" w:eastAsia="Calibri" w:hAnsi="Arial" w:cs="Arial"/>
          <w:color w:val="000000" w:themeColor="text1"/>
          <w:sz w:val="22"/>
          <w:szCs w:val="22"/>
        </w:rPr>
        <w:t xml:space="preserve">we noted that </w:t>
      </w:r>
      <w:r w:rsidR="003B0209" w:rsidRPr="007E7778">
        <w:rPr>
          <w:rFonts w:ascii="Arial" w:eastAsia="Calibri" w:hAnsi="Arial" w:cs="Arial"/>
          <w:color w:val="000000" w:themeColor="text1"/>
          <w:sz w:val="22"/>
          <w:szCs w:val="22"/>
        </w:rPr>
        <w:t>the</w:t>
      </w:r>
      <w:r w:rsidRPr="007E7778">
        <w:rPr>
          <w:rFonts w:ascii="Arial" w:eastAsia="Calibri" w:hAnsi="Arial" w:cs="Arial"/>
          <w:color w:val="000000" w:themeColor="text1"/>
          <w:sz w:val="22"/>
          <w:szCs w:val="22"/>
        </w:rPr>
        <w:t xml:space="preserve"> same nature of reconciling items</w:t>
      </w:r>
      <w:r w:rsidR="00A408E9" w:rsidRPr="007E7778">
        <w:rPr>
          <w:rFonts w:ascii="Arial" w:eastAsia="Calibri" w:hAnsi="Arial" w:cs="Arial"/>
          <w:color w:val="000000" w:themeColor="text1"/>
          <w:sz w:val="22"/>
          <w:szCs w:val="22"/>
        </w:rPr>
        <w:t>,</w:t>
      </w:r>
      <w:r w:rsidRPr="007E7778">
        <w:rPr>
          <w:rFonts w:ascii="Arial" w:eastAsia="Calibri" w:hAnsi="Arial" w:cs="Arial"/>
          <w:color w:val="000000" w:themeColor="text1"/>
          <w:sz w:val="22"/>
          <w:szCs w:val="22"/>
        </w:rPr>
        <w:t xml:space="preserve"> </w:t>
      </w:r>
      <w:r w:rsidR="00FB22E1" w:rsidRPr="007E7778">
        <w:rPr>
          <w:rFonts w:ascii="Arial" w:eastAsia="Calibri" w:hAnsi="Arial" w:cs="Arial"/>
          <w:color w:val="000000" w:themeColor="text1"/>
          <w:sz w:val="22"/>
          <w:szCs w:val="22"/>
        </w:rPr>
        <w:t>in substantial amounts</w:t>
      </w:r>
      <w:r w:rsidR="00A408E9" w:rsidRPr="007E7778">
        <w:rPr>
          <w:rFonts w:ascii="Arial" w:eastAsia="Calibri" w:hAnsi="Arial" w:cs="Arial"/>
          <w:color w:val="000000" w:themeColor="text1"/>
          <w:sz w:val="22"/>
          <w:szCs w:val="22"/>
        </w:rPr>
        <w:t>,</w:t>
      </w:r>
      <w:r w:rsidR="00FB22E1" w:rsidRPr="007E7778">
        <w:rPr>
          <w:rFonts w:ascii="Arial" w:eastAsia="Calibri" w:hAnsi="Arial" w:cs="Arial"/>
          <w:color w:val="000000" w:themeColor="text1"/>
          <w:sz w:val="22"/>
          <w:szCs w:val="22"/>
        </w:rPr>
        <w:t xml:space="preserve"> </w:t>
      </w:r>
      <w:r w:rsidR="00A408E9" w:rsidRPr="007E7778">
        <w:rPr>
          <w:rFonts w:ascii="Arial" w:eastAsia="Calibri" w:hAnsi="Arial" w:cs="Arial"/>
          <w:color w:val="000000" w:themeColor="text1"/>
          <w:sz w:val="22"/>
          <w:szCs w:val="22"/>
        </w:rPr>
        <w:t>were identified during CY</w:t>
      </w:r>
      <w:r w:rsidRPr="007E7778">
        <w:rPr>
          <w:rFonts w:ascii="Arial" w:eastAsia="Calibri" w:hAnsi="Arial" w:cs="Arial"/>
          <w:color w:val="000000" w:themeColor="text1"/>
          <w:sz w:val="22"/>
          <w:szCs w:val="22"/>
        </w:rPr>
        <w:t xml:space="preserve"> 2018</w:t>
      </w:r>
      <w:r w:rsidR="00A408E9" w:rsidRPr="007E7778">
        <w:rPr>
          <w:rFonts w:ascii="Arial" w:eastAsia="Calibri" w:hAnsi="Arial" w:cs="Arial"/>
          <w:color w:val="000000" w:themeColor="text1"/>
          <w:sz w:val="22"/>
          <w:szCs w:val="22"/>
        </w:rPr>
        <w:t xml:space="preserve"> but remai</w:t>
      </w:r>
      <w:r w:rsidR="007558FF" w:rsidRPr="007E7778">
        <w:rPr>
          <w:rFonts w:ascii="Arial" w:eastAsia="Calibri" w:hAnsi="Arial" w:cs="Arial"/>
          <w:color w:val="000000" w:themeColor="text1"/>
          <w:sz w:val="22"/>
          <w:szCs w:val="22"/>
        </w:rPr>
        <w:t xml:space="preserve">ned unadjusted as of year-end.  </w:t>
      </w:r>
      <w:r w:rsidR="00A408E9" w:rsidRPr="007E7778">
        <w:rPr>
          <w:rFonts w:ascii="Arial" w:eastAsia="Calibri" w:hAnsi="Arial" w:cs="Arial"/>
          <w:color w:val="000000" w:themeColor="text1"/>
          <w:sz w:val="22"/>
          <w:szCs w:val="22"/>
        </w:rPr>
        <w:t>C</w:t>
      </w:r>
      <w:r w:rsidRPr="007E7778">
        <w:rPr>
          <w:rFonts w:ascii="Arial" w:eastAsia="Calibri" w:hAnsi="Arial" w:cs="Arial"/>
          <w:color w:val="000000" w:themeColor="text1"/>
          <w:sz w:val="22"/>
          <w:szCs w:val="22"/>
        </w:rPr>
        <w:t>onsidering the avail</w:t>
      </w:r>
      <w:r w:rsidR="00A408E9" w:rsidRPr="007E7778">
        <w:rPr>
          <w:rFonts w:ascii="Arial" w:eastAsia="Calibri" w:hAnsi="Arial" w:cs="Arial"/>
          <w:color w:val="000000" w:themeColor="text1"/>
          <w:sz w:val="22"/>
          <w:szCs w:val="22"/>
        </w:rPr>
        <w:t>ability of supporting documents, said reconciling items should have already been promptly adjusted.</w:t>
      </w:r>
      <w:r w:rsidRPr="007E7778">
        <w:rPr>
          <w:rFonts w:ascii="Arial" w:eastAsia="Calibri" w:hAnsi="Arial" w:cs="Arial"/>
          <w:color w:val="000000" w:themeColor="text1"/>
          <w:sz w:val="22"/>
          <w:szCs w:val="22"/>
        </w:rPr>
        <w:t xml:space="preserve"> </w:t>
      </w:r>
    </w:p>
    <w:p w:rsidR="00A84DDE" w:rsidRPr="00EF4855" w:rsidRDefault="00A84DDE" w:rsidP="004C39E3">
      <w:pPr>
        <w:pStyle w:val="ListParagraph"/>
        <w:ind w:left="1080"/>
        <w:jc w:val="both"/>
        <w:rPr>
          <w:rFonts w:ascii="Arial" w:eastAsia="Calibri" w:hAnsi="Arial" w:cs="Arial"/>
          <w:sz w:val="22"/>
          <w:szCs w:val="22"/>
        </w:rPr>
      </w:pPr>
    </w:p>
    <w:p w:rsidR="00267409" w:rsidRPr="00EF4855" w:rsidRDefault="007558FF" w:rsidP="00DA78B4">
      <w:pPr>
        <w:pStyle w:val="ListParagraph"/>
        <w:numPr>
          <w:ilvl w:val="1"/>
          <w:numId w:val="1"/>
        </w:numPr>
        <w:ind w:left="1440"/>
        <w:contextualSpacing/>
        <w:jc w:val="both"/>
        <w:rPr>
          <w:rFonts w:ascii="Arial" w:hAnsi="Arial" w:cs="Arial"/>
          <w:sz w:val="22"/>
          <w:szCs w:val="22"/>
        </w:rPr>
      </w:pPr>
      <w:r w:rsidRPr="00581CD0">
        <w:rPr>
          <w:rFonts w:ascii="Arial" w:eastAsia="Calibri" w:hAnsi="Arial" w:cs="Arial"/>
          <w:sz w:val="22"/>
          <w:szCs w:val="22"/>
        </w:rPr>
        <w:t>Moreover</w:t>
      </w:r>
      <w:r w:rsidR="00823ACD" w:rsidRPr="00EF4855">
        <w:rPr>
          <w:rFonts w:ascii="Arial" w:hAnsi="Arial" w:cs="Arial"/>
          <w:sz w:val="22"/>
          <w:szCs w:val="22"/>
          <w:lang w:eastAsia="en-PH"/>
        </w:rPr>
        <w:t xml:space="preserve">, </w:t>
      </w:r>
      <w:r w:rsidR="002C4666" w:rsidRPr="00EF4855">
        <w:rPr>
          <w:rFonts w:ascii="Arial" w:hAnsi="Arial" w:cs="Arial"/>
          <w:sz w:val="22"/>
          <w:szCs w:val="22"/>
          <w:lang w:eastAsia="en-PH"/>
        </w:rPr>
        <w:t>the b</w:t>
      </w:r>
      <w:r w:rsidR="00A84DDE" w:rsidRPr="00EF4855">
        <w:rPr>
          <w:rFonts w:ascii="Arial" w:hAnsi="Arial" w:cs="Arial"/>
          <w:sz w:val="22"/>
          <w:szCs w:val="22"/>
          <w:lang w:eastAsia="en-PH"/>
        </w:rPr>
        <w:t>ank reconciling items of P360</w:t>
      </w:r>
      <w:r w:rsidR="00C40836" w:rsidRPr="00EF4855">
        <w:rPr>
          <w:rFonts w:ascii="Arial" w:hAnsi="Arial" w:cs="Arial"/>
          <w:sz w:val="22"/>
          <w:szCs w:val="22"/>
          <w:lang w:eastAsia="en-PH"/>
        </w:rPr>
        <w:t>.</w:t>
      </w:r>
      <w:r w:rsidR="00A84DDE" w:rsidRPr="00EF4855">
        <w:rPr>
          <w:rFonts w:ascii="Arial" w:hAnsi="Arial" w:cs="Arial"/>
          <w:sz w:val="22"/>
          <w:szCs w:val="22"/>
          <w:lang w:eastAsia="en-PH"/>
        </w:rPr>
        <w:t>604</w:t>
      </w:r>
      <w:r w:rsidR="00C40836" w:rsidRPr="00EF4855">
        <w:rPr>
          <w:rFonts w:ascii="Arial" w:hAnsi="Arial" w:cs="Arial"/>
          <w:sz w:val="22"/>
          <w:szCs w:val="22"/>
          <w:lang w:eastAsia="en-PH"/>
        </w:rPr>
        <w:t xml:space="preserve"> million</w:t>
      </w:r>
      <w:r w:rsidR="00A84DDE" w:rsidRPr="00EF4855">
        <w:rPr>
          <w:rFonts w:ascii="Arial" w:hAnsi="Arial" w:cs="Arial"/>
          <w:sz w:val="22"/>
          <w:szCs w:val="22"/>
          <w:lang w:eastAsia="en-PH"/>
        </w:rPr>
        <w:t xml:space="preserve"> included unadjusted bank errors and staled checks</w:t>
      </w:r>
      <w:r w:rsidR="00267409" w:rsidRPr="00EF4855">
        <w:rPr>
          <w:rFonts w:ascii="Arial" w:hAnsi="Arial" w:cs="Arial"/>
          <w:sz w:val="22"/>
          <w:szCs w:val="22"/>
          <w:lang w:eastAsia="en-PH"/>
        </w:rPr>
        <w:t xml:space="preserve">. </w:t>
      </w:r>
      <w:r w:rsidR="008572EF" w:rsidRPr="00EF4855">
        <w:rPr>
          <w:rFonts w:ascii="Arial" w:hAnsi="Arial" w:cs="Arial"/>
          <w:sz w:val="22"/>
          <w:szCs w:val="22"/>
          <w:lang w:eastAsia="en-PH"/>
        </w:rPr>
        <w:t xml:space="preserve">For </w:t>
      </w:r>
      <w:r w:rsidR="00267409" w:rsidRPr="00EF4855">
        <w:rPr>
          <w:rFonts w:ascii="Arial" w:hAnsi="Arial" w:cs="Arial"/>
          <w:sz w:val="22"/>
          <w:szCs w:val="22"/>
        </w:rPr>
        <w:t>the outstanding checks, forty</w:t>
      </w:r>
      <w:r w:rsidR="008572EF" w:rsidRPr="00EF4855">
        <w:rPr>
          <w:rFonts w:ascii="Arial" w:hAnsi="Arial" w:cs="Arial"/>
          <w:sz w:val="22"/>
          <w:szCs w:val="22"/>
        </w:rPr>
        <w:t>-</w:t>
      </w:r>
      <w:r w:rsidR="00267409" w:rsidRPr="00EF4855">
        <w:rPr>
          <w:rFonts w:ascii="Arial" w:hAnsi="Arial" w:cs="Arial"/>
          <w:sz w:val="22"/>
          <w:szCs w:val="22"/>
        </w:rPr>
        <w:t>two (42) of the 1,420 outstanding checks in the total amount of P3</w:t>
      </w:r>
      <w:r w:rsidR="00C40836" w:rsidRPr="00EF4855">
        <w:rPr>
          <w:rFonts w:ascii="Arial" w:hAnsi="Arial" w:cs="Arial"/>
          <w:sz w:val="22"/>
          <w:szCs w:val="22"/>
        </w:rPr>
        <w:t>.</w:t>
      </w:r>
      <w:r w:rsidR="00267409" w:rsidRPr="00EF4855">
        <w:rPr>
          <w:rFonts w:ascii="Arial" w:hAnsi="Arial" w:cs="Arial"/>
          <w:sz w:val="22"/>
          <w:szCs w:val="22"/>
        </w:rPr>
        <w:t>189</w:t>
      </w:r>
      <w:r w:rsidR="00C40836" w:rsidRPr="00EF4855">
        <w:rPr>
          <w:rFonts w:ascii="Arial" w:hAnsi="Arial" w:cs="Arial"/>
          <w:sz w:val="22"/>
          <w:szCs w:val="22"/>
        </w:rPr>
        <w:t xml:space="preserve"> million</w:t>
      </w:r>
      <w:r w:rsidR="00267409" w:rsidRPr="00EF4855">
        <w:rPr>
          <w:rFonts w:ascii="Arial" w:hAnsi="Arial" w:cs="Arial"/>
          <w:i/>
          <w:sz w:val="22"/>
          <w:szCs w:val="22"/>
        </w:rPr>
        <w:t xml:space="preserve"> </w:t>
      </w:r>
      <w:r w:rsidR="00267409" w:rsidRPr="00EF4855">
        <w:rPr>
          <w:rFonts w:ascii="Arial" w:hAnsi="Arial" w:cs="Arial"/>
          <w:sz w:val="22"/>
          <w:szCs w:val="22"/>
        </w:rPr>
        <w:t>were already staled as of December 31, 2018.  No adjustments were effected in the books to revert the same to the CIB account, hence, resulted in the understatement and overstatement of the Cash in Bank and Accounts Payable accounts, respectively, by P3</w:t>
      </w:r>
      <w:r w:rsidR="00C40836" w:rsidRPr="00EF4855">
        <w:rPr>
          <w:rFonts w:ascii="Arial" w:hAnsi="Arial" w:cs="Arial"/>
          <w:sz w:val="22"/>
          <w:szCs w:val="22"/>
        </w:rPr>
        <w:t>.</w:t>
      </w:r>
      <w:r w:rsidR="00267409" w:rsidRPr="00EF4855">
        <w:rPr>
          <w:rFonts w:ascii="Arial" w:hAnsi="Arial" w:cs="Arial"/>
          <w:sz w:val="22"/>
          <w:szCs w:val="22"/>
        </w:rPr>
        <w:t>189</w:t>
      </w:r>
      <w:r w:rsidR="00C40836" w:rsidRPr="00EF4855">
        <w:rPr>
          <w:rFonts w:ascii="Arial" w:hAnsi="Arial" w:cs="Arial"/>
          <w:sz w:val="22"/>
          <w:szCs w:val="22"/>
        </w:rPr>
        <w:t xml:space="preserve"> million</w:t>
      </w:r>
      <w:r w:rsidR="00267409" w:rsidRPr="00EF4855">
        <w:rPr>
          <w:rFonts w:ascii="Arial" w:hAnsi="Arial" w:cs="Arial"/>
          <w:sz w:val="22"/>
          <w:szCs w:val="22"/>
        </w:rPr>
        <w:t xml:space="preserve"> as of December 31, 2018. </w:t>
      </w:r>
    </w:p>
    <w:p w:rsidR="007C3A3A" w:rsidRPr="00EF4855" w:rsidRDefault="007C3A3A" w:rsidP="004C39E3">
      <w:pPr>
        <w:pStyle w:val="ListParagraph"/>
        <w:autoSpaceDE w:val="0"/>
        <w:autoSpaceDN w:val="0"/>
        <w:adjustRightInd w:val="0"/>
        <w:ind w:left="1080"/>
        <w:jc w:val="both"/>
        <w:rPr>
          <w:rFonts w:ascii="Arial" w:hAnsi="Arial" w:cs="Arial"/>
          <w:sz w:val="22"/>
          <w:szCs w:val="22"/>
        </w:rPr>
      </w:pPr>
    </w:p>
    <w:p w:rsidR="00A84DDE" w:rsidRDefault="00A84DDE" w:rsidP="00DA78B4">
      <w:pPr>
        <w:pStyle w:val="ListParagraph"/>
        <w:numPr>
          <w:ilvl w:val="1"/>
          <w:numId w:val="1"/>
        </w:numPr>
        <w:ind w:left="1440"/>
        <w:contextualSpacing/>
        <w:jc w:val="both"/>
        <w:rPr>
          <w:rFonts w:ascii="Arial" w:hAnsi="Arial" w:cs="Arial"/>
          <w:color w:val="000000" w:themeColor="text1"/>
          <w:sz w:val="22"/>
          <w:szCs w:val="22"/>
        </w:rPr>
      </w:pPr>
      <w:r w:rsidRPr="00DE2BD4">
        <w:rPr>
          <w:rFonts w:ascii="Arial" w:hAnsi="Arial" w:cs="Arial"/>
          <w:color w:val="000000" w:themeColor="text1"/>
          <w:sz w:val="22"/>
          <w:szCs w:val="22"/>
        </w:rPr>
        <w:t>The unposted deposits of P26</w:t>
      </w:r>
      <w:r w:rsidR="00C40836" w:rsidRPr="00DE2BD4">
        <w:rPr>
          <w:rFonts w:ascii="Arial" w:hAnsi="Arial" w:cs="Arial"/>
          <w:color w:val="000000" w:themeColor="text1"/>
          <w:sz w:val="22"/>
          <w:szCs w:val="22"/>
        </w:rPr>
        <w:t>.</w:t>
      </w:r>
      <w:r w:rsidRPr="00DE2BD4">
        <w:rPr>
          <w:rFonts w:ascii="Arial" w:hAnsi="Arial" w:cs="Arial"/>
          <w:color w:val="000000" w:themeColor="text1"/>
          <w:sz w:val="22"/>
          <w:szCs w:val="22"/>
        </w:rPr>
        <w:t>841</w:t>
      </w:r>
      <w:r w:rsidR="00C40836" w:rsidRPr="00DE2BD4">
        <w:rPr>
          <w:rFonts w:ascii="Arial" w:hAnsi="Arial" w:cs="Arial"/>
          <w:color w:val="000000" w:themeColor="text1"/>
          <w:sz w:val="22"/>
          <w:szCs w:val="22"/>
        </w:rPr>
        <w:t xml:space="preserve"> million</w:t>
      </w:r>
      <w:r w:rsidRPr="00DE2BD4">
        <w:rPr>
          <w:rFonts w:ascii="Arial" w:hAnsi="Arial" w:cs="Arial"/>
          <w:color w:val="000000" w:themeColor="text1"/>
          <w:sz w:val="22"/>
          <w:szCs w:val="22"/>
        </w:rPr>
        <w:t xml:space="preserve">, as shown in </w:t>
      </w:r>
      <w:r w:rsidR="00DE2BD4">
        <w:rPr>
          <w:rFonts w:ascii="Arial" w:hAnsi="Arial" w:cs="Arial"/>
          <w:color w:val="000000" w:themeColor="text1"/>
          <w:sz w:val="22"/>
          <w:szCs w:val="22"/>
        </w:rPr>
        <w:t>Table 6</w:t>
      </w:r>
      <w:r w:rsidRPr="00DE2BD4">
        <w:rPr>
          <w:rFonts w:ascii="Arial" w:hAnsi="Arial" w:cs="Arial"/>
          <w:color w:val="000000" w:themeColor="text1"/>
          <w:sz w:val="22"/>
          <w:szCs w:val="22"/>
        </w:rPr>
        <w:t>, pertained to deposits made for the period June to December 2018 under bank account 111-U (C</w:t>
      </w:r>
      <w:r w:rsidR="00C40836" w:rsidRPr="00DE2BD4">
        <w:rPr>
          <w:rFonts w:ascii="Arial" w:hAnsi="Arial" w:cs="Arial"/>
          <w:color w:val="000000" w:themeColor="text1"/>
          <w:sz w:val="22"/>
          <w:szCs w:val="22"/>
        </w:rPr>
        <w:t xml:space="preserve">harity </w:t>
      </w:r>
      <w:r w:rsidRPr="00DE2BD4">
        <w:rPr>
          <w:rFonts w:ascii="Arial" w:hAnsi="Arial" w:cs="Arial"/>
          <w:color w:val="000000" w:themeColor="text1"/>
          <w:sz w:val="22"/>
          <w:szCs w:val="22"/>
        </w:rPr>
        <w:t>F</w:t>
      </w:r>
      <w:r w:rsidR="00C40836" w:rsidRPr="00DE2BD4">
        <w:rPr>
          <w:rFonts w:ascii="Arial" w:hAnsi="Arial" w:cs="Arial"/>
          <w:color w:val="000000" w:themeColor="text1"/>
          <w:sz w:val="22"/>
          <w:szCs w:val="22"/>
        </w:rPr>
        <w:t>und</w:t>
      </w:r>
      <w:r w:rsidRPr="00DE2BD4">
        <w:rPr>
          <w:rFonts w:ascii="Arial" w:hAnsi="Arial" w:cs="Arial"/>
          <w:color w:val="000000" w:themeColor="text1"/>
          <w:sz w:val="22"/>
          <w:szCs w:val="22"/>
        </w:rPr>
        <w:t xml:space="preserve">-STL) and 111-R1 (Prize Fund-STL) which remained unadjusted but could have been corrected by the bank had the concerned personnel promptly brought the matter to their attention </w:t>
      </w:r>
      <w:r w:rsidRPr="00DE2BD4">
        <w:rPr>
          <w:rFonts w:ascii="Arial" w:hAnsi="Arial" w:cs="Arial"/>
          <w:color w:val="000000" w:themeColor="text1"/>
          <w:sz w:val="22"/>
          <w:szCs w:val="22"/>
        </w:rPr>
        <w:lastRenderedPageBreak/>
        <w:t xml:space="preserve">considering the substantial amount involved and the length of time they </w:t>
      </w:r>
      <w:r w:rsidR="00823ACD" w:rsidRPr="00DE2BD4">
        <w:rPr>
          <w:rFonts w:ascii="Arial" w:hAnsi="Arial" w:cs="Arial"/>
          <w:color w:val="000000" w:themeColor="text1"/>
          <w:sz w:val="22"/>
          <w:szCs w:val="22"/>
        </w:rPr>
        <w:t xml:space="preserve">have </w:t>
      </w:r>
      <w:r w:rsidRPr="00DE2BD4">
        <w:rPr>
          <w:rFonts w:ascii="Arial" w:hAnsi="Arial" w:cs="Arial"/>
          <w:color w:val="000000" w:themeColor="text1"/>
          <w:sz w:val="22"/>
          <w:szCs w:val="22"/>
        </w:rPr>
        <w:t xml:space="preserve">remained unposted. </w:t>
      </w:r>
    </w:p>
    <w:p w:rsidR="007F4F7E" w:rsidRPr="00DE2BD4" w:rsidRDefault="007F4F7E" w:rsidP="007F4F7E">
      <w:pPr>
        <w:pStyle w:val="ListParagraph"/>
        <w:ind w:left="1440"/>
        <w:contextualSpacing/>
        <w:jc w:val="both"/>
        <w:rPr>
          <w:rFonts w:ascii="Arial" w:hAnsi="Arial" w:cs="Arial"/>
          <w:color w:val="000000" w:themeColor="text1"/>
          <w:sz w:val="22"/>
          <w:szCs w:val="22"/>
        </w:rPr>
      </w:pPr>
    </w:p>
    <w:p w:rsidR="006F213F" w:rsidRPr="00EF4855" w:rsidRDefault="00A408E9" w:rsidP="000B3DC2">
      <w:pPr>
        <w:pStyle w:val="NoSpacing"/>
        <w:tabs>
          <w:tab w:val="left" w:pos="5040"/>
        </w:tabs>
        <w:ind w:left="720" w:right="3600"/>
        <w:jc w:val="both"/>
        <w:rPr>
          <w:rFonts w:ascii="Arial" w:hAnsi="Arial" w:cs="Arial"/>
          <w:i/>
        </w:rPr>
      </w:pPr>
      <w:r>
        <w:rPr>
          <w:rFonts w:ascii="Arial" w:hAnsi="Arial" w:cs="Arial"/>
          <w:i/>
        </w:rPr>
        <w:t xml:space="preserve">Closed accounts still having </w:t>
      </w:r>
      <w:r w:rsidR="00F40CAF" w:rsidRPr="00EF4855">
        <w:rPr>
          <w:rFonts w:ascii="Arial" w:hAnsi="Arial" w:cs="Arial"/>
          <w:i/>
        </w:rPr>
        <w:t xml:space="preserve">outstanding </w:t>
      </w:r>
      <w:r w:rsidR="000957DD">
        <w:rPr>
          <w:rFonts w:ascii="Arial" w:hAnsi="Arial" w:cs="Arial"/>
          <w:i/>
        </w:rPr>
        <w:t xml:space="preserve">balances in the books </w:t>
      </w:r>
      <w:r>
        <w:rPr>
          <w:rFonts w:ascii="Arial" w:hAnsi="Arial" w:cs="Arial"/>
          <w:i/>
        </w:rPr>
        <w:t xml:space="preserve">in the amounts of </w:t>
      </w:r>
      <w:r w:rsidR="00F40CAF" w:rsidRPr="00EF4855">
        <w:rPr>
          <w:rFonts w:ascii="Arial" w:hAnsi="Arial" w:cs="Arial"/>
          <w:i/>
        </w:rPr>
        <w:t xml:space="preserve">P22.254 million and </w:t>
      </w:r>
      <w:r w:rsidR="005B60DC" w:rsidRPr="00EF4855">
        <w:rPr>
          <w:rFonts w:ascii="Arial" w:hAnsi="Arial" w:cs="Arial"/>
          <w:i/>
        </w:rPr>
        <w:t>P18.178 million (negative</w:t>
      </w:r>
      <w:r w:rsidR="00361653">
        <w:rPr>
          <w:rFonts w:ascii="Arial" w:hAnsi="Arial" w:cs="Arial"/>
          <w:i/>
        </w:rPr>
        <w:t>)</w:t>
      </w:r>
    </w:p>
    <w:p w:rsidR="006F213F" w:rsidRPr="00EF4855" w:rsidRDefault="006F213F" w:rsidP="004C39E3">
      <w:pPr>
        <w:pStyle w:val="NoSpacing"/>
        <w:ind w:left="720"/>
        <w:jc w:val="both"/>
        <w:rPr>
          <w:rFonts w:ascii="Arial" w:hAnsi="Arial" w:cs="Arial"/>
        </w:rPr>
      </w:pPr>
    </w:p>
    <w:p w:rsidR="00B37387" w:rsidRPr="002241BA" w:rsidRDefault="007558FF" w:rsidP="00DA78B4">
      <w:pPr>
        <w:pStyle w:val="ListParagraph"/>
        <w:numPr>
          <w:ilvl w:val="1"/>
          <w:numId w:val="1"/>
        </w:numPr>
        <w:ind w:left="1440"/>
        <w:contextualSpacing/>
        <w:jc w:val="both"/>
        <w:rPr>
          <w:rFonts w:ascii="Arial" w:hAnsi="Arial" w:cs="Arial"/>
          <w:color w:val="000000" w:themeColor="text1"/>
          <w:sz w:val="22"/>
          <w:szCs w:val="22"/>
        </w:rPr>
      </w:pPr>
      <w:r w:rsidRPr="002241BA">
        <w:rPr>
          <w:rFonts w:ascii="Arial" w:hAnsi="Arial" w:cs="Arial"/>
          <w:color w:val="000000" w:themeColor="text1"/>
          <w:sz w:val="22"/>
          <w:szCs w:val="22"/>
        </w:rPr>
        <w:t xml:space="preserve">Verification disclosed that </w:t>
      </w:r>
      <w:r w:rsidR="00A408E9" w:rsidRPr="002241BA">
        <w:rPr>
          <w:rFonts w:ascii="Arial" w:hAnsi="Arial" w:cs="Arial"/>
          <w:color w:val="000000" w:themeColor="text1"/>
          <w:sz w:val="22"/>
          <w:szCs w:val="22"/>
        </w:rPr>
        <w:t xml:space="preserve">the </w:t>
      </w:r>
      <w:r w:rsidR="00B37387" w:rsidRPr="002241BA">
        <w:rPr>
          <w:rFonts w:ascii="Arial" w:hAnsi="Arial" w:cs="Arial"/>
          <w:color w:val="000000" w:themeColor="text1"/>
          <w:sz w:val="22"/>
          <w:szCs w:val="22"/>
        </w:rPr>
        <w:t xml:space="preserve">balance of the </w:t>
      </w:r>
      <w:r w:rsidR="001364AC" w:rsidRPr="002241BA">
        <w:rPr>
          <w:rFonts w:ascii="Arial" w:hAnsi="Arial" w:cs="Arial"/>
          <w:color w:val="000000" w:themeColor="text1"/>
          <w:sz w:val="22"/>
          <w:szCs w:val="22"/>
        </w:rPr>
        <w:t xml:space="preserve">Cash and Cash Equivalents account </w:t>
      </w:r>
      <w:r w:rsidRPr="002241BA">
        <w:rPr>
          <w:rFonts w:ascii="Arial" w:hAnsi="Arial" w:cs="Arial"/>
          <w:color w:val="000000" w:themeColor="text1"/>
          <w:sz w:val="22"/>
          <w:szCs w:val="22"/>
        </w:rPr>
        <w:t xml:space="preserve">amounting </w:t>
      </w:r>
      <w:r w:rsidR="00B37387" w:rsidRPr="002241BA">
        <w:rPr>
          <w:rFonts w:ascii="Arial" w:hAnsi="Arial" w:cs="Arial"/>
          <w:color w:val="000000" w:themeColor="text1"/>
          <w:sz w:val="22"/>
          <w:szCs w:val="22"/>
        </w:rPr>
        <w:t xml:space="preserve">to </w:t>
      </w:r>
      <w:r w:rsidR="001364AC" w:rsidRPr="002241BA">
        <w:rPr>
          <w:rFonts w:ascii="Arial" w:hAnsi="Arial" w:cs="Arial"/>
          <w:color w:val="000000" w:themeColor="text1"/>
          <w:sz w:val="22"/>
          <w:szCs w:val="22"/>
        </w:rPr>
        <w:t>P9.815 billion</w:t>
      </w:r>
      <w:r w:rsidRPr="002241BA">
        <w:rPr>
          <w:rFonts w:ascii="Arial" w:hAnsi="Arial" w:cs="Arial"/>
          <w:color w:val="000000" w:themeColor="text1"/>
          <w:sz w:val="22"/>
          <w:szCs w:val="22"/>
        </w:rPr>
        <w:t xml:space="preserve"> as of December 31, 2018 included </w:t>
      </w:r>
      <w:r w:rsidR="00A408E9" w:rsidRPr="002241BA">
        <w:rPr>
          <w:rFonts w:ascii="Arial" w:hAnsi="Arial" w:cs="Arial"/>
          <w:color w:val="000000" w:themeColor="text1"/>
          <w:sz w:val="22"/>
          <w:szCs w:val="22"/>
        </w:rPr>
        <w:t xml:space="preserve">the balances of P22.254 million and P18.178 million (negative) of </w:t>
      </w:r>
      <w:r w:rsidR="00B37387" w:rsidRPr="002241BA">
        <w:rPr>
          <w:rFonts w:ascii="Arial" w:hAnsi="Arial" w:cs="Arial"/>
          <w:color w:val="000000" w:themeColor="text1"/>
          <w:sz w:val="22"/>
          <w:szCs w:val="22"/>
        </w:rPr>
        <w:t xml:space="preserve">PNB bank account </w:t>
      </w:r>
      <w:r w:rsidR="00A97B68" w:rsidRPr="002241BA">
        <w:rPr>
          <w:rFonts w:ascii="Arial" w:hAnsi="Arial" w:cs="Arial"/>
          <w:color w:val="000000" w:themeColor="text1"/>
          <w:sz w:val="22"/>
          <w:szCs w:val="22"/>
        </w:rPr>
        <w:t xml:space="preserve">nos. </w:t>
      </w:r>
      <w:r w:rsidR="00B37387" w:rsidRPr="002241BA">
        <w:rPr>
          <w:rFonts w:ascii="Arial" w:hAnsi="Arial" w:cs="Arial"/>
          <w:color w:val="000000" w:themeColor="text1"/>
          <w:sz w:val="22"/>
          <w:szCs w:val="22"/>
        </w:rPr>
        <w:t>121270002159 and 374394300014</w:t>
      </w:r>
      <w:r w:rsidRPr="002241BA">
        <w:rPr>
          <w:rFonts w:ascii="Arial" w:hAnsi="Arial" w:cs="Arial"/>
          <w:color w:val="000000" w:themeColor="text1"/>
          <w:sz w:val="22"/>
          <w:szCs w:val="22"/>
        </w:rPr>
        <w:t xml:space="preserve">, </w:t>
      </w:r>
      <w:r w:rsidR="00A408E9" w:rsidRPr="002241BA">
        <w:rPr>
          <w:rFonts w:ascii="Arial" w:hAnsi="Arial" w:cs="Arial"/>
          <w:color w:val="000000" w:themeColor="text1"/>
          <w:sz w:val="22"/>
          <w:szCs w:val="22"/>
        </w:rPr>
        <w:t>respectively, both</w:t>
      </w:r>
      <w:r w:rsidR="00B37387" w:rsidRPr="002241BA">
        <w:rPr>
          <w:rFonts w:ascii="Arial" w:hAnsi="Arial" w:cs="Arial"/>
          <w:color w:val="000000" w:themeColor="text1"/>
          <w:sz w:val="22"/>
          <w:szCs w:val="22"/>
        </w:rPr>
        <w:t xml:space="preserve"> maintain</w:t>
      </w:r>
      <w:r w:rsidR="00A408E9" w:rsidRPr="002241BA">
        <w:rPr>
          <w:rFonts w:ascii="Arial" w:hAnsi="Arial" w:cs="Arial"/>
          <w:color w:val="000000" w:themeColor="text1"/>
          <w:sz w:val="22"/>
          <w:szCs w:val="22"/>
        </w:rPr>
        <w:t xml:space="preserve">ed by PCSO with the </w:t>
      </w:r>
      <w:r w:rsidR="00021CA9">
        <w:rPr>
          <w:rFonts w:ascii="Arial" w:hAnsi="Arial" w:cs="Arial"/>
          <w:color w:val="000000" w:themeColor="text1"/>
          <w:sz w:val="22"/>
          <w:szCs w:val="22"/>
        </w:rPr>
        <w:t>PNB-Mandaluyong Shaw-Princeton B</w:t>
      </w:r>
      <w:r w:rsidR="00A408E9" w:rsidRPr="002241BA">
        <w:rPr>
          <w:rFonts w:ascii="Arial" w:hAnsi="Arial" w:cs="Arial"/>
          <w:color w:val="000000" w:themeColor="text1"/>
          <w:sz w:val="22"/>
          <w:szCs w:val="22"/>
        </w:rPr>
        <w:t xml:space="preserve">ranch, </w:t>
      </w:r>
      <w:r w:rsidR="00021CA9">
        <w:rPr>
          <w:rFonts w:ascii="Arial" w:hAnsi="Arial" w:cs="Arial"/>
          <w:color w:val="000000" w:themeColor="text1"/>
          <w:sz w:val="22"/>
          <w:szCs w:val="22"/>
        </w:rPr>
        <w:t>S</w:t>
      </w:r>
      <w:r w:rsidR="002E708D" w:rsidRPr="002241BA">
        <w:rPr>
          <w:rFonts w:ascii="Arial" w:hAnsi="Arial" w:cs="Arial"/>
          <w:color w:val="000000" w:themeColor="text1"/>
          <w:sz w:val="22"/>
          <w:szCs w:val="22"/>
        </w:rPr>
        <w:t>aid accounts</w:t>
      </w:r>
      <w:r w:rsidR="00A408E9" w:rsidRPr="002241BA">
        <w:rPr>
          <w:rFonts w:ascii="Arial" w:hAnsi="Arial" w:cs="Arial"/>
          <w:color w:val="000000" w:themeColor="text1"/>
          <w:sz w:val="22"/>
          <w:szCs w:val="22"/>
        </w:rPr>
        <w:t xml:space="preserve"> have already been closed </w:t>
      </w:r>
      <w:r w:rsidR="001653DA" w:rsidRPr="002241BA">
        <w:rPr>
          <w:rFonts w:ascii="Arial" w:hAnsi="Arial" w:cs="Arial"/>
          <w:color w:val="000000" w:themeColor="text1"/>
          <w:sz w:val="22"/>
          <w:szCs w:val="22"/>
        </w:rPr>
        <w:t>in September 2018</w:t>
      </w:r>
      <w:r w:rsidR="008501B7" w:rsidRPr="002241BA">
        <w:rPr>
          <w:rFonts w:ascii="Arial" w:hAnsi="Arial" w:cs="Arial"/>
          <w:color w:val="000000" w:themeColor="text1"/>
          <w:sz w:val="22"/>
          <w:szCs w:val="22"/>
        </w:rPr>
        <w:t xml:space="preserve"> </w:t>
      </w:r>
    </w:p>
    <w:p w:rsidR="00FE4A37" w:rsidRPr="00EF4855" w:rsidRDefault="00FE4A37" w:rsidP="004C39E3">
      <w:pPr>
        <w:pStyle w:val="ListParagraph"/>
        <w:ind w:left="360"/>
        <w:jc w:val="both"/>
        <w:rPr>
          <w:rFonts w:ascii="Arial" w:hAnsi="Arial" w:cs="Arial"/>
          <w:sz w:val="22"/>
          <w:szCs w:val="22"/>
        </w:rPr>
      </w:pPr>
    </w:p>
    <w:p w:rsidR="008501B7" w:rsidRPr="00EF4855" w:rsidRDefault="00FE4A37" w:rsidP="00DA78B4">
      <w:pPr>
        <w:pStyle w:val="ListParagraph"/>
        <w:numPr>
          <w:ilvl w:val="1"/>
          <w:numId w:val="1"/>
        </w:numPr>
        <w:ind w:left="1440"/>
        <w:contextualSpacing/>
        <w:jc w:val="both"/>
        <w:rPr>
          <w:rFonts w:ascii="Arial" w:hAnsi="Arial" w:cs="Arial"/>
          <w:sz w:val="22"/>
          <w:szCs w:val="22"/>
        </w:rPr>
      </w:pPr>
      <w:r w:rsidRPr="00EF4855">
        <w:rPr>
          <w:rFonts w:ascii="Arial" w:hAnsi="Arial" w:cs="Arial"/>
          <w:sz w:val="22"/>
          <w:szCs w:val="22"/>
        </w:rPr>
        <w:t xml:space="preserve">Further verification disclosed that the </w:t>
      </w:r>
      <w:r w:rsidR="001653DA">
        <w:rPr>
          <w:rFonts w:ascii="Arial" w:hAnsi="Arial" w:cs="Arial"/>
          <w:sz w:val="22"/>
          <w:szCs w:val="22"/>
        </w:rPr>
        <w:t xml:space="preserve">said </w:t>
      </w:r>
      <w:r w:rsidRPr="00EF4855">
        <w:rPr>
          <w:rFonts w:ascii="Arial" w:hAnsi="Arial" w:cs="Arial"/>
          <w:sz w:val="22"/>
          <w:szCs w:val="22"/>
        </w:rPr>
        <w:t xml:space="preserve">balance </w:t>
      </w:r>
      <w:r w:rsidR="00717451" w:rsidRPr="00EF4855">
        <w:rPr>
          <w:rFonts w:ascii="Arial" w:hAnsi="Arial" w:cs="Arial"/>
          <w:sz w:val="22"/>
          <w:szCs w:val="22"/>
        </w:rPr>
        <w:t xml:space="preserve">of </w:t>
      </w:r>
      <w:r w:rsidR="001821A5" w:rsidRPr="00EF4855">
        <w:rPr>
          <w:rFonts w:ascii="Arial" w:hAnsi="Arial" w:cs="Arial"/>
          <w:sz w:val="22"/>
          <w:szCs w:val="22"/>
        </w:rPr>
        <w:t>P22.254 million</w:t>
      </w:r>
      <w:r w:rsidR="001653DA">
        <w:rPr>
          <w:rFonts w:ascii="Arial" w:hAnsi="Arial" w:cs="Arial"/>
          <w:sz w:val="22"/>
          <w:szCs w:val="22"/>
        </w:rPr>
        <w:t xml:space="preserve"> of the above-stated closed account </w:t>
      </w:r>
      <w:r w:rsidRPr="00EF4855">
        <w:rPr>
          <w:rFonts w:ascii="Arial" w:hAnsi="Arial" w:cs="Arial"/>
          <w:sz w:val="22"/>
          <w:szCs w:val="22"/>
        </w:rPr>
        <w:t xml:space="preserve">consisted of </w:t>
      </w:r>
      <w:r w:rsidR="00717451" w:rsidRPr="00EF4855">
        <w:rPr>
          <w:rFonts w:ascii="Arial" w:hAnsi="Arial" w:cs="Arial"/>
          <w:sz w:val="22"/>
          <w:szCs w:val="22"/>
        </w:rPr>
        <w:t xml:space="preserve">unrecorded CYs 2017-2018 transactions and </w:t>
      </w:r>
      <w:r w:rsidRPr="00EF4855">
        <w:rPr>
          <w:rFonts w:ascii="Arial" w:hAnsi="Arial" w:cs="Arial"/>
          <w:sz w:val="22"/>
          <w:szCs w:val="22"/>
        </w:rPr>
        <w:t>long-outstanding book reconciling items which remained unadjusted to date due to deficient and/or lack of necessary supporting documents</w:t>
      </w:r>
      <w:r w:rsidR="00DD48BE" w:rsidRPr="00EF4855">
        <w:rPr>
          <w:rFonts w:ascii="Arial" w:hAnsi="Arial" w:cs="Arial"/>
          <w:sz w:val="22"/>
          <w:szCs w:val="22"/>
        </w:rPr>
        <w:t>, resulting in the overstatement of the Cash and Cash Equivalents account by P22.254 million</w:t>
      </w:r>
      <w:r w:rsidR="001653DA">
        <w:rPr>
          <w:rFonts w:ascii="Arial" w:hAnsi="Arial" w:cs="Arial"/>
          <w:sz w:val="22"/>
          <w:szCs w:val="22"/>
        </w:rPr>
        <w:t xml:space="preserve">.  </w:t>
      </w:r>
      <w:r w:rsidR="001821A5" w:rsidRPr="00EF4855">
        <w:rPr>
          <w:rFonts w:ascii="Arial" w:hAnsi="Arial" w:cs="Arial"/>
          <w:sz w:val="22"/>
          <w:szCs w:val="22"/>
        </w:rPr>
        <w:t xml:space="preserve">On the other hand, the cause/s of discrepancy of the negative balance of P18.178 million cannot be determined due to absence of bank reconciliation statements for the period July to December 2018. </w:t>
      </w:r>
    </w:p>
    <w:p w:rsidR="00021CA9" w:rsidRPr="00EF4855" w:rsidRDefault="00021CA9" w:rsidP="004C39E3">
      <w:pPr>
        <w:pStyle w:val="ListParagraph"/>
        <w:ind w:left="1080"/>
        <w:jc w:val="both"/>
        <w:rPr>
          <w:rFonts w:ascii="Arial" w:hAnsi="Arial" w:cs="Arial"/>
          <w:sz w:val="22"/>
          <w:szCs w:val="22"/>
        </w:rPr>
      </w:pPr>
    </w:p>
    <w:p w:rsidR="00B97E5D" w:rsidRPr="00EF4855" w:rsidRDefault="002E708D" w:rsidP="000B3DC2">
      <w:pPr>
        <w:pStyle w:val="NoSpacing"/>
        <w:ind w:left="720" w:right="3600"/>
        <w:jc w:val="both"/>
        <w:rPr>
          <w:rFonts w:ascii="Arial" w:hAnsi="Arial" w:cs="Arial"/>
          <w:i/>
        </w:rPr>
      </w:pPr>
      <w:r w:rsidRPr="002E708D">
        <w:rPr>
          <w:rFonts w:ascii="Arial" w:hAnsi="Arial" w:cs="Arial"/>
          <w:i/>
        </w:rPr>
        <w:t xml:space="preserve">Checks totalling P8.631 million already presented to and cleared by bank </w:t>
      </w:r>
      <w:r w:rsidR="001B5C73">
        <w:rPr>
          <w:rFonts w:ascii="Arial" w:hAnsi="Arial" w:cs="Arial"/>
          <w:i/>
        </w:rPr>
        <w:t>were</w:t>
      </w:r>
      <w:r w:rsidRPr="002E708D">
        <w:rPr>
          <w:rFonts w:ascii="Arial" w:hAnsi="Arial" w:cs="Arial"/>
          <w:i/>
        </w:rPr>
        <w:t xml:space="preserve"> erroneously included as unreleased checks </w:t>
      </w:r>
      <w:r w:rsidR="000B3DC2">
        <w:rPr>
          <w:rFonts w:ascii="Arial" w:hAnsi="Arial" w:cs="Arial"/>
          <w:i/>
        </w:rPr>
        <w:t>that were reverted back to cash</w:t>
      </w:r>
    </w:p>
    <w:p w:rsidR="001B6AB1" w:rsidRPr="004F6C55" w:rsidRDefault="001B6AB1" w:rsidP="004F6C55">
      <w:pPr>
        <w:pStyle w:val="NoSpacing"/>
        <w:ind w:left="540" w:right="2403"/>
        <w:jc w:val="both"/>
        <w:rPr>
          <w:rFonts w:ascii="Arial" w:hAnsi="Arial" w:cs="Arial"/>
          <w:i/>
        </w:rPr>
      </w:pPr>
    </w:p>
    <w:p w:rsidR="00166B4C" w:rsidRDefault="00C15143" w:rsidP="00DA78B4">
      <w:pPr>
        <w:pStyle w:val="ListParagraph"/>
        <w:numPr>
          <w:ilvl w:val="1"/>
          <w:numId w:val="1"/>
        </w:numPr>
        <w:ind w:left="1440"/>
        <w:contextualSpacing/>
        <w:jc w:val="both"/>
        <w:rPr>
          <w:rFonts w:ascii="Arial" w:hAnsi="Arial" w:cs="Arial"/>
          <w:sz w:val="22"/>
          <w:szCs w:val="22"/>
        </w:rPr>
      </w:pPr>
      <w:r w:rsidRPr="00361653">
        <w:rPr>
          <w:rFonts w:ascii="Arial" w:hAnsi="Arial" w:cs="Arial"/>
          <w:sz w:val="22"/>
          <w:szCs w:val="22"/>
        </w:rPr>
        <w:t>Examination of accounting records disclosed that journal entries were effected on December 31, 2018 to revert back to the corresponding cash and payable accounts</w:t>
      </w:r>
      <w:r w:rsidR="00361653" w:rsidRPr="00361653">
        <w:rPr>
          <w:rFonts w:ascii="Arial" w:hAnsi="Arial" w:cs="Arial"/>
          <w:sz w:val="22"/>
          <w:szCs w:val="22"/>
        </w:rPr>
        <w:t xml:space="preserve"> the unreleased checks totaling </w:t>
      </w:r>
      <w:r w:rsidRPr="00361653">
        <w:rPr>
          <w:rFonts w:ascii="Arial" w:hAnsi="Arial" w:cs="Arial"/>
          <w:sz w:val="22"/>
          <w:szCs w:val="22"/>
        </w:rPr>
        <w:t>P</w:t>
      </w:r>
      <w:r w:rsidR="004C5B51" w:rsidRPr="00361653">
        <w:rPr>
          <w:rFonts w:ascii="Arial" w:hAnsi="Arial" w:cs="Arial"/>
          <w:sz w:val="22"/>
          <w:szCs w:val="22"/>
        </w:rPr>
        <w:t>480.39 m</w:t>
      </w:r>
      <w:r w:rsidR="00BD70AF" w:rsidRPr="00361653">
        <w:rPr>
          <w:rFonts w:ascii="Arial" w:hAnsi="Arial" w:cs="Arial"/>
          <w:sz w:val="22"/>
          <w:szCs w:val="22"/>
        </w:rPr>
        <w:t xml:space="preserve">illion </w:t>
      </w:r>
      <w:r w:rsidRPr="00361653">
        <w:rPr>
          <w:rFonts w:ascii="Arial" w:hAnsi="Arial" w:cs="Arial"/>
          <w:sz w:val="22"/>
          <w:szCs w:val="22"/>
        </w:rPr>
        <w:t>under the Operating and Charity Fund</w:t>
      </w:r>
      <w:r w:rsidR="00C234F5" w:rsidRPr="00361653">
        <w:rPr>
          <w:rFonts w:ascii="Arial" w:hAnsi="Arial" w:cs="Arial"/>
          <w:sz w:val="22"/>
          <w:szCs w:val="22"/>
        </w:rPr>
        <w:t>s</w:t>
      </w:r>
      <w:r w:rsidR="00361653" w:rsidRPr="00361653">
        <w:rPr>
          <w:rFonts w:ascii="Arial" w:hAnsi="Arial" w:cs="Arial"/>
          <w:sz w:val="22"/>
          <w:szCs w:val="22"/>
        </w:rPr>
        <w:t>. However, v</w:t>
      </w:r>
      <w:r w:rsidRPr="00361653">
        <w:rPr>
          <w:rFonts w:ascii="Arial" w:hAnsi="Arial" w:cs="Arial"/>
          <w:sz w:val="22"/>
          <w:szCs w:val="22"/>
        </w:rPr>
        <w:t>erification of the bank statements for the subject account</w:t>
      </w:r>
      <w:r w:rsidR="00E3035B" w:rsidRPr="00361653">
        <w:rPr>
          <w:rFonts w:ascii="Arial" w:hAnsi="Arial" w:cs="Arial"/>
          <w:sz w:val="22"/>
          <w:szCs w:val="22"/>
        </w:rPr>
        <w:t>s</w:t>
      </w:r>
      <w:r w:rsidR="00361653" w:rsidRPr="00361653">
        <w:rPr>
          <w:rFonts w:ascii="Arial" w:hAnsi="Arial" w:cs="Arial"/>
          <w:sz w:val="22"/>
          <w:szCs w:val="22"/>
        </w:rPr>
        <w:t xml:space="preserve"> revealed that P8.631</w:t>
      </w:r>
      <w:r w:rsidRPr="00361653">
        <w:rPr>
          <w:rFonts w:ascii="Arial" w:hAnsi="Arial" w:cs="Arial"/>
          <w:sz w:val="22"/>
          <w:szCs w:val="22"/>
        </w:rPr>
        <w:t xml:space="preserve"> of the said amount were already cleared by the bank and debited from the </w:t>
      </w:r>
      <w:r w:rsidR="009A3634" w:rsidRPr="00361653">
        <w:rPr>
          <w:rFonts w:ascii="Arial" w:hAnsi="Arial" w:cs="Arial"/>
          <w:sz w:val="22"/>
          <w:szCs w:val="22"/>
        </w:rPr>
        <w:t xml:space="preserve">same </w:t>
      </w:r>
      <w:r w:rsidRPr="00361653">
        <w:rPr>
          <w:rFonts w:ascii="Arial" w:hAnsi="Arial" w:cs="Arial"/>
          <w:sz w:val="22"/>
          <w:szCs w:val="22"/>
        </w:rPr>
        <w:t>bank account</w:t>
      </w:r>
      <w:r w:rsidR="00A97B68" w:rsidRPr="00361653">
        <w:rPr>
          <w:rFonts w:ascii="Arial" w:hAnsi="Arial" w:cs="Arial"/>
          <w:sz w:val="22"/>
          <w:szCs w:val="22"/>
        </w:rPr>
        <w:t>s</w:t>
      </w:r>
      <w:r w:rsidRPr="00361653">
        <w:rPr>
          <w:rFonts w:ascii="Arial" w:hAnsi="Arial" w:cs="Arial"/>
          <w:sz w:val="22"/>
          <w:szCs w:val="22"/>
        </w:rPr>
        <w:t xml:space="preserve"> during the months of Septembe</w:t>
      </w:r>
      <w:r w:rsidR="006012FE" w:rsidRPr="00361653">
        <w:rPr>
          <w:rFonts w:ascii="Arial" w:hAnsi="Arial" w:cs="Arial"/>
          <w:sz w:val="22"/>
          <w:szCs w:val="22"/>
        </w:rPr>
        <w:t xml:space="preserve">r to December 2018, resulting in the overstatement of both the Cash </w:t>
      </w:r>
      <w:r w:rsidR="00132592" w:rsidRPr="00361653">
        <w:rPr>
          <w:rFonts w:ascii="Arial" w:hAnsi="Arial" w:cs="Arial"/>
          <w:sz w:val="22"/>
          <w:szCs w:val="22"/>
        </w:rPr>
        <w:t>&amp;</w:t>
      </w:r>
      <w:r w:rsidR="00021CA9">
        <w:rPr>
          <w:rFonts w:ascii="Arial" w:hAnsi="Arial" w:cs="Arial"/>
          <w:sz w:val="22"/>
          <w:szCs w:val="22"/>
        </w:rPr>
        <w:t xml:space="preserve"> Cash E</w:t>
      </w:r>
      <w:r w:rsidR="006012FE" w:rsidRPr="00361653">
        <w:rPr>
          <w:rFonts w:ascii="Arial" w:hAnsi="Arial" w:cs="Arial"/>
          <w:sz w:val="22"/>
          <w:szCs w:val="22"/>
        </w:rPr>
        <w:t>quivalents</w:t>
      </w:r>
      <w:r w:rsidR="00132592" w:rsidRPr="00361653">
        <w:rPr>
          <w:rFonts w:ascii="Arial" w:hAnsi="Arial" w:cs="Arial"/>
          <w:sz w:val="22"/>
          <w:szCs w:val="22"/>
        </w:rPr>
        <w:t xml:space="preserve"> and Accounts Payable accounts</w:t>
      </w:r>
      <w:r w:rsidR="00361653" w:rsidRPr="00361653">
        <w:rPr>
          <w:rFonts w:ascii="Arial" w:hAnsi="Arial" w:cs="Arial"/>
          <w:sz w:val="22"/>
          <w:szCs w:val="22"/>
        </w:rPr>
        <w:t xml:space="preserve"> by P8.631 million. </w:t>
      </w:r>
    </w:p>
    <w:p w:rsidR="00361653" w:rsidRDefault="00361653" w:rsidP="00361653">
      <w:pPr>
        <w:pStyle w:val="ListParagraph"/>
        <w:ind w:left="1296"/>
        <w:contextualSpacing/>
        <w:jc w:val="both"/>
        <w:rPr>
          <w:rFonts w:ascii="Arial" w:hAnsi="Arial" w:cs="Arial"/>
          <w:sz w:val="22"/>
          <w:szCs w:val="22"/>
        </w:rPr>
      </w:pPr>
    </w:p>
    <w:p w:rsidR="00BB7557" w:rsidRPr="00361653" w:rsidRDefault="00BB7557" w:rsidP="00DA78B4">
      <w:pPr>
        <w:pStyle w:val="ListParagraph"/>
        <w:numPr>
          <w:ilvl w:val="1"/>
          <w:numId w:val="1"/>
        </w:numPr>
        <w:ind w:left="1440"/>
        <w:contextualSpacing/>
        <w:jc w:val="both"/>
        <w:rPr>
          <w:rFonts w:ascii="Arial" w:hAnsi="Arial" w:cs="Arial"/>
          <w:sz w:val="22"/>
          <w:szCs w:val="22"/>
        </w:rPr>
      </w:pPr>
      <w:r w:rsidRPr="00021CA9">
        <w:rPr>
          <w:rFonts w:ascii="Arial" w:hAnsi="Arial" w:cs="Arial"/>
          <w:color w:val="000000" w:themeColor="text1"/>
          <w:sz w:val="22"/>
          <w:szCs w:val="22"/>
        </w:rPr>
        <w:t>The concerned personnel from the Accounting and Budget Department</w:t>
      </w:r>
      <w:r w:rsidR="001B5C73" w:rsidRPr="00021CA9">
        <w:rPr>
          <w:rFonts w:ascii="Arial" w:hAnsi="Arial" w:cs="Arial"/>
          <w:color w:val="000000" w:themeColor="text1"/>
          <w:sz w:val="22"/>
          <w:szCs w:val="22"/>
        </w:rPr>
        <w:t xml:space="preserve"> (ABD)</w:t>
      </w:r>
      <w:r w:rsidRPr="00021CA9">
        <w:rPr>
          <w:rFonts w:ascii="Arial" w:hAnsi="Arial" w:cs="Arial"/>
          <w:color w:val="000000" w:themeColor="text1"/>
          <w:sz w:val="22"/>
          <w:szCs w:val="22"/>
        </w:rPr>
        <w:t xml:space="preserve"> explained that they relied on the list of unreleased checks submitted by the Treasury Department (TD).  Hence, the journal entry prepared w</w:t>
      </w:r>
      <w:r w:rsidR="00021CA9">
        <w:rPr>
          <w:rFonts w:ascii="Arial" w:hAnsi="Arial" w:cs="Arial"/>
          <w:color w:val="000000" w:themeColor="text1"/>
          <w:sz w:val="22"/>
          <w:szCs w:val="22"/>
        </w:rPr>
        <w:t>as</w:t>
      </w:r>
      <w:r w:rsidRPr="00021CA9">
        <w:rPr>
          <w:rFonts w:ascii="Arial" w:hAnsi="Arial" w:cs="Arial"/>
          <w:color w:val="000000" w:themeColor="text1"/>
          <w:sz w:val="22"/>
          <w:szCs w:val="22"/>
        </w:rPr>
        <w:t xml:space="preserve"> merely based on information contained therein</w:t>
      </w:r>
      <w:r w:rsidRPr="00361653">
        <w:rPr>
          <w:rFonts w:ascii="Arial" w:hAnsi="Arial" w:cs="Arial"/>
          <w:sz w:val="22"/>
          <w:szCs w:val="22"/>
        </w:rPr>
        <w:t xml:space="preserve">.   </w:t>
      </w:r>
    </w:p>
    <w:p w:rsidR="00C234F5" w:rsidRPr="00EF4855" w:rsidRDefault="00C234F5" w:rsidP="00C234F5">
      <w:pPr>
        <w:pStyle w:val="ListParagraph"/>
        <w:rPr>
          <w:rFonts w:ascii="Arial" w:hAnsi="Arial" w:cs="Arial"/>
          <w:sz w:val="22"/>
          <w:szCs w:val="22"/>
        </w:rPr>
      </w:pPr>
    </w:p>
    <w:p w:rsidR="006012FE" w:rsidRPr="00021CA9" w:rsidRDefault="00EB7EB0" w:rsidP="00DA78B4">
      <w:pPr>
        <w:pStyle w:val="ListParagraph"/>
        <w:numPr>
          <w:ilvl w:val="1"/>
          <w:numId w:val="1"/>
        </w:numPr>
        <w:ind w:left="1440"/>
        <w:contextualSpacing/>
        <w:jc w:val="both"/>
        <w:rPr>
          <w:rFonts w:ascii="Arial" w:hAnsi="Arial" w:cs="Arial"/>
          <w:color w:val="000000" w:themeColor="text1"/>
          <w:sz w:val="22"/>
          <w:szCs w:val="22"/>
        </w:rPr>
      </w:pPr>
      <w:r w:rsidRPr="00021CA9">
        <w:rPr>
          <w:rFonts w:ascii="Arial" w:hAnsi="Arial" w:cs="Arial"/>
          <w:color w:val="000000" w:themeColor="text1"/>
          <w:sz w:val="22"/>
          <w:szCs w:val="22"/>
        </w:rPr>
        <w:t xml:space="preserve">In view of the </w:t>
      </w:r>
      <w:r w:rsidR="00E95881" w:rsidRPr="00021CA9">
        <w:rPr>
          <w:rFonts w:ascii="Arial" w:hAnsi="Arial" w:cs="Arial"/>
          <w:color w:val="000000" w:themeColor="text1"/>
          <w:sz w:val="22"/>
          <w:szCs w:val="22"/>
        </w:rPr>
        <w:t>above</w:t>
      </w:r>
      <w:r w:rsidR="00361653" w:rsidRPr="00021CA9">
        <w:rPr>
          <w:rFonts w:ascii="Arial" w:hAnsi="Arial" w:cs="Arial"/>
          <w:color w:val="000000" w:themeColor="text1"/>
          <w:sz w:val="22"/>
          <w:szCs w:val="22"/>
        </w:rPr>
        <w:t>-</w:t>
      </w:r>
      <w:r w:rsidR="00E95881" w:rsidRPr="00021CA9">
        <w:rPr>
          <w:rFonts w:ascii="Arial" w:hAnsi="Arial" w:cs="Arial"/>
          <w:color w:val="000000" w:themeColor="text1"/>
          <w:sz w:val="22"/>
          <w:szCs w:val="22"/>
        </w:rPr>
        <w:t xml:space="preserve">mentioned </w:t>
      </w:r>
      <w:r w:rsidR="006012FE" w:rsidRPr="00021CA9">
        <w:rPr>
          <w:rFonts w:ascii="Arial" w:hAnsi="Arial" w:cs="Arial"/>
          <w:color w:val="000000" w:themeColor="text1"/>
          <w:sz w:val="22"/>
          <w:szCs w:val="22"/>
        </w:rPr>
        <w:t>deficiencies</w:t>
      </w:r>
      <w:r w:rsidRPr="00021CA9">
        <w:rPr>
          <w:rFonts w:ascii="Arial" w:hAnsi="Arial" w:cs="Arial"/>
          <w:color w:val="000000" w:themeColor="text1"/>
          <w:sz w:val="22"/>
          <w:szCs w:val="22"/>
        </w:rPr>
        <w:t xml:space="preserve">, </w:t>
      </w:r>
      <w:r w:rsidR="00361653" w:rsidRPr="00021CA9">
        <w:rPr>
          <w:rFonts w:ascii="Arial" w:hAnsi="Arial" w:cs="Arial"/>
          <w:color w:val="000000" w:themeColor="text1"/>
          <w:sz w:val="22"/>
          <w:szCs w:val="22"/>
        </w:rPr>
        <w:t xml:space="preserve">the </w:t>
      </w:r>
      <w:r w:rsidR="001B5C73" w:rsidRPr="00021CA9">
        <w:rPr>
          <w:rFonts w:ascii="Arial" w:hAnsi="Arial" w:cs="Arial"/>
          <w:color w:val="000000" w:themeColor="text1"/>
          <w:sz w:val="22"/>
          <w:szCs w:val="22"/>
        </w:rPr>
        <w:t>faithful</w:t>
      </w:r>
      <w:r w:rsidR="00361653" w:rsidRPr="00021CA9">
        <w:rPr>
          <w:rFonts w:ascii="Arial" w:hAnsi="Arial" w:cs="Arial"/>
          <w:color w:val="000000" w:themeColor="text1"/>
          <w:sz w:val="22"/>
          <w:szCs w:val="22"/>
        </w:rPr>
        <w:t xml:space="preserve"> </w:t>
      </w:r>
      <w:r w:rsidR="006012FE" w:rsidRPr="00021CA9">
        <w:rPr>
          <w:rFonts w:ascii="Arial" w:hAnsi="Arial" w:cs="Arial"/>
          <w:color w:val="000000" w:themeColor="text1"/>
          <w:sz w:val="22"/>
          <w:szCs w:val="22"/>
        </w:rPr>
        <w:t xml:space="preserve">representation of the Cash and Cash Equivalents account </w:t>
      </w:r>
      <w:r w:rsidRPr="00021CA9">
        <w:rPr>
          <w:rFonts w:ascii="Arial" w:hAnsi="Arial" w:cs="Arial"/>
          <w:color w:val="000000" w:themeColor="text1"/>
          <w:sz w:val="22"/>
          <w:szCs w:val="22"/>
        </w:rPr>
        <w:t>with a balance of P9</w:t>
      </w:r>
      <w:r w:rsidR="00C40836" w:rsidRPr="00021CA9">
        <w:rPr>
          <w:rFonts w:ascii="Arial" w:hAnsi="Arial" w:cs="Arial"/>
          <w:color w:val="000000" w:themeColor="text1"/>
          <w:sz w:val="22"/>
          <w:szCs w:val="22"/>
        </w:rPr>
        <w:t>.</w:t>
      </w:r>
      <w:r w:rsidR="00517962" w:rsidRPr="00021CA9">
        <w:rPr>
          <w:rFonts w:ascii="Arial" w:hAnsi="Arial" w:cs="Arial"/>
          <w:color w:val="000000" w:themeColor="text1"/>
          <w:sz w:val="22"/>
          <w:szCs w:val="22"/>
        </w:rPr>
        <w:t>815</w:t>
      </w:r>
      <w:r w:rsidR="00C40836" w:rsidRPr="00021CA9">
        <w:rPr>
          <w:rFonts w:ascii="Arial" w:hAnsi="Arial" w:cs="Arial"/>
          <w:color w:val="000000" w:themeColor="text1"/>
          <w:sz w:val="22"/>
          <w:szCs w:val="22"/>
        </w:rPr>
        <w:t xml:space="preserve"> billion</w:t>
      </w:r>
      <w:r w:rsidRPr="00021CA9">
        <w:rPr>
          <w:rFonts w:ascii="Arial" w:hAnsi="Arial" w:cs="Arial"/>
          <w:color w:val="000000" w:themeColor="text1"/>
          <w:sz w:val="22"/>
          <w:szCs w:val="22"/>
        </w:rPr>
        <w:t xml:space="preserve"> </w:t>
      </w:r>
      <w:r w:rsidR="006012FE" w:rsidRPr="00021CA9">
        <w:rPr>
          <w:rFonts w:ascii="Arial" w:hAnsi="Arial" w:cs="Arial"/>
          <w:color w:val="000000" w:themeColor="text1"/>
          <w:sz w:val="22"/>
          <w:szCs w:val="22"/>
        </w:rPr>
        <w:t>and the related accounts</w:t>
      </w:r>
      <w:r w:rsidRPr="00021CA9">
        <w:rPr>
          <w:rFonts w:ascii="Arial" w:hAnsi="Arial" w:cs="Arial"/>
          <w:color w:val="000000" w:themeColor="text1"/>
          <w:sz w:val="22"/>
          <w:szCs w:val="22"/>
        </w:rPr>
        <w:t xml:space="preserve"> in </w:t>
      </w:r>
      <w:r w:rsidR="006012FE" w:rsidRPr="00021CA9">
        <w:rPr>
          <w:rFonts w:ascii="Arial" w:hAnsi="Arial" w:cs="Arial"/>
          <w:color w:val="000000" w:themeColor="text1"/>
          <w:sz w:val="22"/>
          <w:szCs w:val="22"/>
        </w:rPr>
        <w:t>the financial statements</w:t>
      </w:r>
      <w:r w:rsidR="00361653" w:rsidRPr="00021CA9">
        <w:rPr>
          <w:rFonts w:ascii="Arial" w:hAnsi="Arial" w:cs="Arial"/>
          <w:color w:val="000000" w:themeColor="text1"/>
          <w:sz w:val="22"/>
          <w:szCs w:val="22"/>
        </w:rPr>
        <w:t xml:space="preserve"> as of December 31, 2018 </w:t>
      </w:r>
      <w:r w:rsidR="00C40836" w:rsidRPr="00021CA9">
        <w:rPr>
          <w:rFonts w:ascii="Arial" w:hAnsi="Arial" w:cs="Arial"/>
          <w:color w:val="000000" w:themeColor="text1"/>
          <w:sz w:val="22"/>
          <w:szCs w:val="22"/>
        </w:rPr>
        <w:t xml:space="preserve">was </w:t>
      </w:r>
      <w:r w:rsidR="00622ACA" w:rsidRPr="00021CA9">
        <w:rPr>
          <w:rFonts w:ascii="Arial" w:hAnsi="Arial" w:cs="Arial"/>
          <w:color w:val="000000" w:themeColor="text1"/>
          <w:sz w:val="22"/>
          <w:szCs w:val="22"/>
        </w:rPr>
        <w:t xml:space="preserve">not </w:t>
      </w:r>
      <w:r w:rsidRPr="00021CA9">
        <w:rPr>
          <w:rFonts w:ascii="Arial" w:hAnsi="Arial" w:cs="Arial"/>
          <w:color w:val="000000" w:themeColor="text1"/>
          <w:sz w:val="22"/>
          <w:szCs w:val="22"/>
        </w:rPr>
        <w:t>ascertained</w:t>
      </w:r>
      <w:r w:rsidR="00361653" w:rsidRPr="00021CA9">
        <w:rPr>
          <w:rFonts w:ascii="Arial" w:hAnsi="Arial" w:cs="Arial"/>
          <w:color w:val="000000" w:themeColor="text1"/>
          <w:sz w:val="22"/>
          <w:szCs w:val="22"/>
        </w:rPr>
        <w:t>.</w:t>
      </w:r>
    </w:p>
    <w:p w:rsidR="008A230C" w:rsidRDefault="008A230C" w:rsidP="004C39E3">
      <w:pPr>
        <w:pStyle w:val="ListParagraph"/>
        <w:ind w:left="1080"/>
        <w:jc w:val="both"/>
        <w:rPr>
          <w:rFonts w:ascii="Arial" w:hAnsi="Arial" w:cs="Arial"/>
          <w:b/>
          <w:sz w:val="22"/>
          <w:szCs w:val="22"/>
        </w:rPr>
      </w:pPr>
    </w:p>
    <w:p w:rsidR="000B3DC2" w:rsidRDefault="000B3DC2" w:rsidP="004C39E3">
      <w:pPr>
        <w:pStyle w:val="ListParagraph"/>
        <w:ind w:left="1080"/>
        <w:jc w:val="both"/>
        <w:rPr>
          <w:rFonts w:ascii="Arial" w:hAnsi="Arial" w:cs="Arial"/>
          <w:b/>
          <w:sz w:val="22"/>
          <w:szCs w:val="22"/>
        </w:rPr>
      </w:pPr>
    </w:p>
    <w:p w:rsidR="000B3DC2" w:rsidRPr="00EF4855" w:rsidRDefault="000B3DC2" w:rsidP="004C39E3">
      <w:pPr>
        <w:pStyle w:val="ListParagraph"/>
        <w:ind w:left="1080"/>
        <w:jc w:val="both"/>
        <w:rPr>
          <w:rFonts w:ascii="Arial" w:hAnsi="Arial" w:cs="Arial"/>
          <w:b/>
          <w:sz w:val="22"/>
          <w:szCs w:val="22"/>
        </w:rPr>
      </w:pPr>
    </w:p>
    <w:p w:rsidR="008A230C" w:rsidRPr="00EF4855" w:rsidRDefault="008A230C" w:rsidP="00DA78B4">
      <w:pPr>
        <w:pStyle w:val="ListParagraph"/>
        <w:numPr>
          <w:ilvl w:val="1"/>
          <w:numId w:val="1"/>
        </w:numPr>
        <w:ind w:left="1440"/>
        <w:contextualSpacing/>
        <w:jc w:val="both"/>
        <w:rPr>
          <w:rFonts w:ascii="Arial" w:hAnsi="Arial" w:cs="Arial"/>
          <w:b/>
          <w:sz w:val="22"/>
          <w:szCs w:val="22"/>
        </w:rPr>
      </w:pPr>
      <w:r w:rsidRPr="00EF4855">
        <w:rPr>
          <w:rFonts w:ascii="Arial" w:hAnsi="Arial" w:cs="Arial"/>
          <w:b/>
          <w:sz w:val="22"/>
          <w:szCs w:val="22"/>
        </w:rPr>
        <w:t xml:space="preserve">We recommended </w:t>
      </w:r>
      <w:r w:rsidR="0046720F" w:rsidRPr="00EF4855">
        <w:rPr>
          <w:rFonts w:ascii="Arial" w:hAnsi="Arial" w:cs="Arial"/>
          <w:b/>
          <w:sz w:val="22"/>
          <w:szCs w:val="22"/>
        </w:rPr>
        <w:t xml:space="preserve">and </w:t>
      </w:r>
      <w:r w:rsidR="00DD5ABF" w:rsidRPr="00EF4855">
        <w:rPr>
          <w:rFonts w:ascii="Arial" w:hAnsi="Arial" w:cs="Arial"/>
          <w:b/>
          <w:sz w:val="22"/>
          <w:szCs w:val="22"/>
        </w:rPr>
        <w:t>Management</w:t>
      </w:r>
      <w:r w:rsidR="0046720F" w:rsidRPr="00EF4855">
        <w:rPr>
          <w:rFonts w:ascii="Arial" w:hAnsi="Arial" w:cs="Arial"/>
          <w:b/>
          <w:sz w:val="22"/>
          <w:szCs w:val="22"/>
        </w:rPr>
        <w:t xml:space="preserve"> agreed </w:t>
      </w:r>
      <w:r w:rsidR="00225E72" w:rsidRPr="00EF4855">
        <w:rPr>
          <w:rFonts w:ascii="Arial" w:hAnsi="Arial" w:cs="Arial"/>
          <w:b/>
          <w:sz w:val="22"/>
          <w:szCs w:val="22"/>
        </w:rPr>
        <w:t>to</w:t>
      </w:r>
      <w:r w:rsidR="00D51E15" w:rsidRPr="00EF4855">
        <w:rPr>
          <w:rFonts w:ascii="Arial" w:hAnsi="Arial" w:cs="Arial"/>
          <w:b/>
          <w:sz w:val="22"/>
          <w:szCs w:val="22"/>
        </w:rPr>
        <w:t xml:space="preserve"> direc</w:t>
      </w:r>
      <w:r w:rsidR="001653DA">
        <w:rPr>
          <w:rFonts w:ascii="Arial" w:hAnsi="Arial" w:cs="Arial"/>
          <w:b/>
          <w:sz w:val="22"/>
          <w:szCs w:val="22"/>
        </w:rPr>
        <w:t>t the concerned accounting personnel</w:t>
      </w:r>
      <w:r w:rsidR="00D51E15" w:rsidRPr="00EF4855">
        <w:rPr>
          <w:rFonts w:ascii="Arial" w:hAnsi="Arial" w:cs="Arial"/>
          <w:b/>
          <w:sz w:val="22"/>
          <w:szCs w:val="22"/>
        </w:rPr>
        <w:t xml:space="preserve"> to</w:t>
      </w:r>
      <w:r w:rsidRPr="00EF4855">
        <w:rPr>
          <w:rFonts w:ascii="Arial" w:hAnsi="Arial" w:cs="Arial"/>
          <w:b/>
          <w:sz w:val="22"/>
          <w:szCs w:val="22"/>
        </w:rPr>
        <w:t>:</w:t>
      </w:r>
    </w:p>
    <w:p w:rsidR="008A230C" w:rsidRPr="00EF4855" w:rsidRDefault="008A230C" w:rsidP="004C39E3">
      <w:pPr>
        <w:pStyle w:val="ListParagraph"/>
        <w:jc w:val="both"/>
        <w:rPr>
          <w:rFonts w:ascii="Arial" w:hAnsi="Arial" w:cs="Arial"/>
          <w:b/>
          <w:sz w:val="22"/>
          <w:szCs w:val="22"/>
        </w:rPr>
      </w:pPr>
    </w:p>
    <w:p w:rsidR="00E81197" w:rsidRPr="00EF4855" w:rsidRDefault="00D51E15" w:rsidP="00DA78B4">
      <w:pPr>
        <w:pStyle w:val="ListParagraph"/>
        <w:numPr>
          <w:ilvl w:val="0"/>
          <w:numId w:val="11"/>
        </w:numPr>
        <w:ind w:left="1980" w:hanging="540"/>
        <w:contextualSpacing/>
        <w:jc w:val="both"/>
        <w:rPr>
          <w:rFonts w:ascii="Arial" w:hAnsi="Arial" w:cs="Arial"/>
          <w:b/>
          <w:sz w:val="22"/>
          <w:szCs w:val="22"/>
        </w:rPr>
      </w:pPr>
      <w:r w:rsidRPr="00EF4855">
        <w:rPr>
          <w:rFonts w:ascii="Arial" w:hAnsi="Arial" w:cs="Arial"/>
          <w:b/>
          <w:sz w:val="22"/>
          <w:szCs w:val="22"/>
        </w:rPr>
        <w:t>E</w:t>
      </w:r>
      <w:r w:rsidR="0046720F" w:rsidRPr="00EF4855">
        <w:rPr>
          <w:rFonts w:ascii="Arial" w:hAnsi="Arial" w:cs="Arial"/>
          <w:b/>
          <w:sz w:val="22"/>
          <w:szCs w:val="22"/>
        </w:rPr>
        <w:t>ffect the necessary adjustments, after a thorough verification of the book reconciling items for each of the subject bank accounts, in order to present fairly the balance of the Cash in Bank acco</w:t>
      </w:r>
      <w:r w:rsidR="007F4F7E">
        <w:rPr>
          <w:rFonts w:ascii="Arial" w:hAnsi="Arial" w:cs="Arial"/>
          <w:b/>
          <w:sz w:val="22"/>
          <w:szCs w:val="22"/>
        </w:rPr>
        <w:t>unt in the financial statements;</w:t>
      </w:r>
      <w:r w:rsidR="0046720F" w:rsidRPr="00EF4855">
        <w:rPr>
          <w:rFonts w:ascii="Arial" w:hAnsi="Arial" w:cs="Arial"/>
          <w:b/>
          <w:sz w:val="22"/>
          <w:szCs w:val="22"/>
        </w:rPr>
        <w:t xml:space="preserve">  </w:t>
      </w:r>
    </w:p>
    <w:p w:rsidR="00E81197" w:rsidRPr="00EF4855" w:rsidRDefault="00E81197" w:rsidP="00827670">
      <w:pPr>
        <w:pStyle w:val="ListParagraph"/>
        <w:suppressAutoHyphens/>
        <w:ind w:left="1980" w:hanging="540"/>
        <w:jc w:val="both"/>
        <w:rPr>
          <w:rFonts w:ascii="Arial" w:hAnsi="Arial" w:cs="Arial"/>
          <w:b/>
          <w:sz w:val="22"/>
          <w:szCs w:val="22"/>
        </w:rPr>
      </w:pPr>
    </w:p>
    <w:p w:rsidR="00E81197" w:rsidRPr="00EF4855" w:rsidRDefault="00D51E15" w:rsidP="00DA78B4">
      <w:pPr>
        <w:pStyle w:val="ListParagraph"/>
        <w:numPr>
          <w:ilvl w:val="0"/>
          <w:numId w:val="11"/>
        </w:numPr>
        <w:ind w:left="1980" w:hanging="540"/>
        <w:contextualSpacing/>
        <w:jc w:val="both"/>
        <w:rPr>
          <w:rFonts w:ascii="Arial" w:hAnsi="Arial" w:cs="Arial"/>
          <w:b/>
          <w:sz w:val="22"/>
          <w:szCs w:val="22"/>
        </w:rPr>
      </w:pPr>
      <w:r w:rsidRPr="00EF4855">
        <w:rPr>
          <w:rFonts w:ascii="Arial" w:hAnsi="Arial" w:cs="Arial"/>
          <w:b/>
          <w:sz w:val="22"/>
          <w:szCs w:val="22"/>
        </w:rPr>
        <w:t>I</w:t>
      </w:r>
      <w:r w:rsidR="001653DA">
        <w:rPr>
          <w:rFonts w:ascii="Arial" w:hAnsi="Arial" w:cs="Arial"/>
          <w:b/>
          <w:sz w:val="22"/>
          <w:szCs w:val="22"/>
        </w:rPr>
        <w:t xml:space="preserve">ntensify the </w:t>
      </w:r>
      <w:r w:rsidR="0046720F" w:rsidRPr="00EF4855">
        <w:rPr>
          <w:rFonts w:ascii="Arial" w:hAnsi="Arial" w:cs="Arial"/>
          <w:b/>
          <w:sz w:val="22"/>
          <w:szCs w:val="22"/>
        </w:rPr>
        <w:t>efforts in coordinating with the corresponding depository banks to thresh out the details of the bank reconciling items and investigate the cause/s of the alleged unposted deposits totaling P10.574</w:t>
      </w:r>
      <w:r w:rsidRPr="00EF4855">
        <w:rPr>
          <w:rFonts w:ascii="Arial" w:hAnsi="Arial" w:cs="Arial"/>
          <w:b/>
          <w:sz w:val="22"/>
          <w:szCs w:val="22"/>
        </w:rPr>
        <w:t xml:space="preserve"> million </w:t>
      </w:r>
      <w:r w:rsidR="0046720F" w:rsidRPr="00EF4855">
        <w:rPr>
          <w:rFonts w:ascii="Arial" w:hAnsi="Arial" w:cs="Arial"/>
          <w:b/>
          <w:sz w:val="22"/>
          <w:szCs w:val="22"/>
        </w:rPr>
        <w:t>under Operating Fund accounts and P</w:t>
      </w:r>
      <w:r w:rsidR="0046720F" w:rsidRPr="00EF4855">
        <w:rPr>
          <w:rFonts w:ascii="Arial" w:hAnsi="Arial" w:cs="Arial"/>
          <w:b/>
          <w:sz w:val="22"/>
          <w:szCs w:val="22"/>
          <w:lang w:val="en-PH" w:eastAsia="en-PH"/>
        </w:rPr>
        <w:t>26</w:t>
      </w:r>
      <w:r w:rsidRPr="00EF4855">
        <w:rPr>
          <w:rFonts w:ascii="Arial" w:hAnsi="Arial" w:cs="Arial"/>
          <w:b/>
          <w:sz w:val="22"/>
          <w:szCs w:val="22"/>
          <w:lang w:val="en-PH" w:eastAsia="en-PH"/>
        </w:rPr>
        <w:t>.</w:t>
      </w:r>
      <w:r w:rsidR="0046720F" w:rsidRPr="00EF4855">
        <w:rPr>
          <w:rFonts w:ascii="Arial" w:hAnsi="Arial" w:cs="Arial"/>
          <w:b/>
          <w:sz w:val="22"/>
          <w:szCs w:val="22"/>
          <w:lang w:val="en-PH" w:eastAsia="en-PH"/>
        </w:rPr>
        <w:t>841</w:t>
      </w:r>
      <w:r w:rsidRPr="00EF4855">
        <w:rPr>
          <w:rFonts w:ascii="Arial" w:hAnsi="Arial" w:cs="Arial"/>
          <w:b/>
          <w:sz w:val="22"/>
          <w:szCs w:val="22"/>
          <w:lang w:val="en-PH" w:eastAsia="en-PH"/>
        </w:rPr>
        <w:t xml:space="preserve"> million</w:t>
      </w:r>
      <w:r w:rsidR="0046720F" w:rsidRPr="00EF4855">
        <w:rPr>
          <w:rFonts w:ascii="Arial" w:hAnsi="Arial" w:cs="Arial"/>
          <w:b/>
          <w:sz w:val="22"/>
          <w:szCs w:val="22"/>
          <w:lang w:val="en-PH" w:eastAsia="en-PH"/>
        </w:rPr>
        <w:t xml:space="preserve"> under</w:t>
      </w:r>
      <w:r w:rsidR="00361653">
        <w:rPr>
          <w:rFonts w:ascii="Arial" w:hAnsi="Arial" w:cs="Arial"/>
          <w:b/>
          <w:sz w:val="22"/>
          <w:szCs w:val="22"/>
          <w:lang w:val="en-PH" w:eastAsia="en-PH"/>
        </w:rPr>
        <w:t xml:space="preserve"> the Charity Fund/P</w:t>
      </w:r>
      <w:r w:rsidR="0046720F" w:rsidRPr="00EF4855">
        <w:rPr>
          <w:rFonts w:ascii="Arial" w:hAnsi="Arial" w:cs="Arial"/>
          <w:b/>
          <w:sz w:val="22"/>
          <w:szCs w:val="22"/>
          <w:lang w:val="en-PH" w:eastAsia="en-PH"/>
        </w:rPr>
        <w:t xml:space="preserve">rize Fund accounts so that appropriate </w:t>
      </w:r>
      <w:r w:rsidR="007F4F7E">
        <w:rPr>
          <w:rFonts w:ascii="Arial" w:hAnsi="Arial" w:cs="Arial"/>
          <w:b/>
          <w:sz w:val="22"/>
          <w:szCs w:val="22"/>
          <w:lang w:val="en-PH" w:eastAsia="en-PH"/>
        </w:rPr>
        <w:t>action may be taken thereafter;</w:t>
      </w:r>
    </w:p>
    <w:p w:rsidR="00E81197" w:rsidRPr="00EF4855" w:rsidRDefault="00E81197" w:rsidP="004C39E3">
      <w:pPr>
        <w:pStyle w:val="ListParagraph"/>
        <w:rPr>
          <w:rFonts w:ascii="Arial" w:eastAsia="Calibri" w:hAnsi="Arial" w:cs="Arial"/>
          <w:b/>
          <w:sz w:val="22"/>
          <w:szCs w:val="22"/>
        </w:rPr>
      </w:pPr>
    </w:p>
    <w:p w:rsidR="00E81197" w:rsidRPr="00EF4855" w:rsidRDefault="004123E5" w:rsidP="00DA78B4">
      <w:pPr>
        <w:pStyle w:val="ListParagraph"/>
        <w:numPr>
          <w:ilvl w:val="0"/>
          <w:numId w:val="11"/>
        </w:numPr>
        <w:ind w:left="1980" w:hanging="540"/>
        <w:contextualSpacing/>
        <w:jc w:val="both"/>
        <w:rPr>
          <w:rFonts w:ascii="Arial" w:hAnsi="Arial" w:cs="Arial"/>
          <w:b/>
          <w:sz w:val="22"/>
          <w:szCs w:val="22"/>
        </w:rPr>
      </w:pPr>
      <w:r w:rsidRPr="00581CD0">
        <w:rPr>
          <w:rFonts w:ascii="Arial" w:hAnsi="Arial" w:cs="Arial"/>
          <w:b/>
          <w:sz w:val="22"/>
          <w:szCs w:val="22"/>
        </w:rPr>
        <w:t>Effect</w:t>
      </w:r>
      <w:r w:rsidRPr="00EF4855">
        <w:rPr>
          <w:rFonts w:ascii="Arial" w:eastAsia="Calibri" w:hAnsi="Arial" w:cs="Arial"/>
          <w:b/>
          <w:sz w:val="22"/>
          <w:szCs w:val="22"/>
        </w:rPr>
        <w:t xml:space="preserve"> the necessary adjusting entries, after a thorough verification of the long-outstanding reconciling items, in order</w:t>
      </w:r>
      <w:r w:rsidR="001653DA">
        <w:rPr>
          <w:rFonts w:ascii="Arial" w:eastAsia="Calibri" w:hAnsi="Arial" w:cs="Arial"/>
          <w:b/>
          <w:sz w:val="22"/>
          <w:szCs w:val="22"/>
        </w:rPr>
        <w:t xml:space="preserve"> to correct the P22.254 million </w:t>
      </w:r>
      <w:r w:rsidRPr="00EF4855">
        <w:rPr>
          <w:rFonts w:ascii="Arial" w:eastAsia="Calibri" w:hAnsi="Arial" w:cs="Arial"/>
          <w:b/>
          <w:sz w:val="22"/>
          <w:szCs w:val="22"/>
        </w:rPr>
        <w:t xml:space="preserve">overstatement of the Cash and Cash Equivalents account and the </w:t>
      </w:r>
      <w:r w:rsidR="00561AF9" w:rsidRPr="00EF4855">
        <w:rPr>
          <w:rFonts w:ascii="Arial" w:eastAsia="Calibri" w:hAnsi="Arial" w:cs="Arial"/>
          <w:b/>
          <w:sz w:val="22"/>
          <w:szCs w:val="22"/>
        </w:rPr>
        <w:t xml:space="preserve">negative </w:t>
      </w:r>
      <w:r w:rsidR="00B046D7" w:rsidRPr="00EF4855">
        <w:rPr>
          <w:rFonts w:ascii="Arial" w:eastAsia="Calibri" w:hAnsi="Arial" w:cs="Arial"/>
          <w:b/>
          <w:sz w:val="22"/>
          <w:szCs w:val="22"/>
        </w:rPr>
        <w:t xml:space="preserve">balance of </w:t>
      </w:r>
      <w:r w:rsidR="00361653">
        <w:rPr>
          <w:rFonts w:ascii="Arial" w:hAnsi="Arial" w:cs="Arial"/>
          <w:b/>
          <w:sz w:val="22"/>
          <w:szCs w:val="22"/>
        </w:rPr>
        <w:t>P18.178 million, which pertained to book b</w:t>
      </w:r>
      <w:r w:rsidR="007F4F7E">
        <w:rPr>
          <w:rFonts w:ascii="Arial" w:hAnsi="Arial" w:cs="Arial"/>
          <w:b/>
          <w:sz w:val="22"/>
          <w:szCs w:val="22"/>
        </w:rPr>
        <w:t>alances of closed PNB accounts; and</w:t>
      </w:r>
      <w:r w:rsidR="00561AF9" w:rsidRPr="00EF4855">
        <w:rPr>
          <w:rFonts w:ascii="Arial" w:hAnsi="Arial" w:cs="Arial"/>
          <w:b/>
          <w:sz w:val="22"/>
          <w:szCs w:val="22"/>
        </w:rPr>
        <w:t xml:space="preserve"> </w:t>
      </w:r>
    </w:p>
    <w:p w:rsidR="00E81197" w:rsidRPr="00EF4855" w:rsidRDefault="00E81197" w:rsidP="00827670">
      <w:pPr>
        <w:pStyle w:val="ListParagraph"/>
        <w:ind w:left="1980" w:hanging="540"/>
        <w:rPr>
          <w:rFonts w:ascii="Arial" w:eastAsia="Calibri" w:hAnsi="Arial" w:cs="Arial"/>
          <w:b/>
          <w:sz w:val="22"/>
          <w:szCs w:val="22"/>
        </w:rPr>
      </w:pPr>
    </w:p>
    <w:p w:rsidR="00E81197" w:rsidRPr="001B5C73" w:rsidRDefault="00E81D4B" w:rsidP="00DA78B4">
      <w:pPr>
        <w:pStyle w:val="ListParagraph"/>
        <w:numPr>
          <w:ilvl w:val="0"/>
          <w:numId w:val="11"/>
        </w:numPr>
        <w:ind w:left="1980" w:hanging="540"/>
        <w:contextualSpacing/>
        <w:jc w:val="both"/>
        <w:rPr>
          <w:rFonts w:ascii="Arial" w:hAnsi="Arial" w:cs="Arial"/>
          <w:b/>
          <w:sz w:val="22"/>
          <w:szCs w:val="22"/>
        </w:rPr>
      </w:pPr>
      <w:r w:rsidRPr="004F6C55">
        <w:rPr>
          <w:rFonts w:ascii="Arial" w:hAnsi="Arial" w:cs="Arial"/>
          <w:b/>
          <w:sz w:val="22"/>
          <w:szCs w:val="22"/>
        </w:rPr>
        <w:t>Effect</w:t>
      </w:r>
      <w:r w:rsidRPr="00EF4855">
        <w:rPr>
          <w:rFonts w:ascii="Arial" w:eastAsia="Calibri" w:hAnsi="Arial" w:cs="Arial"/>
          <w:b/>
          <w:sz w:val="22"/>
          <w:szCs w:val="22"/>
        </w:rPr>
        <w:t xml:space="preserve"> the necessary adjusting entries that will correct the </w:t>
      </w:r>
      <w:r w:rsidR="00E27A0F">
        <w:rPr>
          <w:rFonts w:ascii="Arial" w:hAnsi="Arial" w:cs="Arial"/>
          <w:b/>
          <w:sz w:val="22"/>
          <w:szCs w:val="22"/>
        </w:rPr>
        <w:t>P8.631</w:t>
      </w:r>
      <w:r w:rsidR="00E27A0F">
        <w:rPr>
          <w:rFonts w:ascii="Arial" w:eastAsia="Calibri" w:hAnsi="Arial" w:cs="Arial"/>
          <w:b/>
          <w:sz w:val="22"/>
          <w:szCs w:val="22"/>
        </w:rPr>
        <w:t xml:space="preserve"> million overstatement</w:t>
      </w:r>
      <w:r w:rsidR="001653DA">
        <w:rPr>
          <w:rFonts w:ascii="Arial" w:eastAsia="Calibri" w:hAnsi="Arial" w:cs="Arial"/>
          <w:b/>
          <w:sz w:val="22"/>
          <w:szCs w:val="22"/>
        </w:rPr>
        <w:t xml:space="preserve"> </w:t>
      </w:r>
      <w:r w:rsidRPr="00EF4855">
        <w:rPr>
          <w:rFonts w:ascii="Arial" w:eastAsia="Calibri" w:hAnsi="Arial" w:cs="Arial"/>
          <w:b/>
          <w:sz w:val="22"/>
          <w:szCs w:val="22"/>
        </w:rPr>
        <w:t>of the Cash and Cash Equivalents and Accounts Payable a</w:t>
      </w:r>
      <w:r w:rsidR="00E27A0F">
        <w:rPr>
          <w:rFonts w:ascii="Arial" w:eastAsia="Calibri" w:hAnsi="Arial" w:cs="Arial"/>
          <w:b/>
          <w:sz w:val="22"/>
          <w:szCs w:val="22"/>
        </w:rPr>
        <w:t>ccount</w:t>
      </w:r>
      <w:r w:rsidR="001653DA">
        <w:rPr>
          <w:rFonts w:ascii="Arial" w:eastAsia="Calibri" w:hAnsi="Arial" w:cs="Arial"/>
          <w:b/>
          <w:sz w:val="22"/>
          <w:szCs w:val="22"/>
        </w:rPr>
        <w:t>s as of December 31, 2018 brought about by the erroneous entry reverting back to cash the issued checks that were already cleared by the concerned depository bank</w:t>
      </w:r>
      <w:r w:rsidR="00325359">
        <w:rPr>
          <w:rFonts w:ascii="Arial" w:eastAsia="Calibri" w:hAnsi="Arial" w:cs="Arial"/>
          <w:b/>
          <w:sz w:val="22"/>
          <w:szCs w:val="22"/>
        </w:rPr>
        <w:t>s</w:t>
      </w:r>
      <w:r w:rsidR="001653DA">
        <w:rPr>
          <w:rFonts w:ascii="Arial" w:eastAsia="Calibri" w:hAnsi="Arial" w:cs="Arial"/>
          <w:b/>
          <w:sz w:val="22"/>
          <w:szCs w:val="22"/>
        </w:rPr>
        <w:t>.</w:t>
      </w:r>
    </w:p>
    <w:p w:rsidR="001B5C73" w:rsidRPr="001B5C73" w:rsidRDefault="001B5C73" w:rsidP="001B5C73">
      <w:pPr>
        <w:pStyle w:val="ListParagraph"/>
        <w:rPr>
          <w:rFonts w:ascii="Arial" w:hAnsi="Arial" w:cs="Arial"/>
          <w:b/>
          <w:sz w:val="22"/>
          <w:szCs w:val="22"/>
        </w:rPr>
      </w:pPr>
    </w:p>
    <w:p w:rsidR="00F66EB3" w:rsidRPr="00827670" w:rsidRDefault="00944D68" w:rsidP="00DA78B4">
      <w:pPr>
        <w:pStyle w:val="ListParagraph"/>
        <w:numPr>
          <w:ilvl w:val="1"/>
          <w:numId w:val="1"/>
        </w:numPr>
        <w:ind w:left="1440"/>
        <w:contextualSpacing/>
        <w:jc w:val="both"/>
        <w:rPr>
          <w:rFonts w:ascii="Arial" w:hAnsi="Arial" w:cs="Arial"/>
          <w:color w:val="000000" w:themeColor="text1"/>
          <w:sz w:val="22"/>
          <w:szCs w:val="22"/>
        </w:rPr>
      </w:pPr>
      <w:r w:rsidRPr="00827670">
        <w:rPr>
          <w:rFonts w:ascii="Arial" w:hAnsi="Arial" w:cs="Arial"/>
          <w:color w:val="000000" w:themeColor="text1"/>
          <w:sz w:val="22"/>
          <w:szCs w:val="22"/>
        </w:rPr>
        <w:t xml:space="preserve">Management </w:t>
      </w:r>
      <w:r w:rsidR="00EC705B" w:rsidRPr="00827670">
        <w:rPr>
          <w:rFonts w:ascii="Arial" w:hAnsi="Arial" w:cs="Arial"/>
          <w:color w:val="000000" w:themeColor="text1"/>
          <w:sz w:val="22"/>
          <w:szCs w:val="22"/>
        </w:rPr>
        <w:t xml:space="preserve">informed </w:t>
      </w:r>
      <w:r w:rsidR="001B5C73" w:rsidRPr="00827670">
        <w:rPr>
          <w:rFonts w:ascii="Arial" w:hAnsi="Arial" w:cs="Arial"/>
          <w:color w:val="000000" w:themeColor="text1"/>
          <w:sz w:val="22"/>
          <w:szCs w:val="22"/>
        </w:rPr>
        <w:t xml:space="preserve">the </w:t>
      </w:r>
      <w:r w:rsidR="00680A31" w:rsidRPr="00827670">
        <w:rPr>
          <w:rFonts w:ascii="Arial" w:hAnsi="Arial" w:cs="Arial"/>
          <w:color w:val="000000" w:themeColor="text1"/>
          <w:sz w:val="22"/>
          <w:szCs w:val="22"/>
        </w:rPr>
        <w:t>Audit Team</w:t>
      </w:r>
      <w:r w:rsidR="001B5C73" w:rsidRPr="00827670">
        <w:rPr>
          <w:rFonts w:ascii="Arial" w:hAnsi="Arial" w:cs="Arial"/>
          <w:color w:val="000000" w:themeColor="text1"/>
          <w:sz w:val="22"/>
          <w:szCs w:val="22"/>
        </w:rPr>
        <w:t xml:space="preserve"> </w:t>
      </w:r>
      <w:r w:rsidR="00EC705B" w:rsidRPr="00827670">
        <w:rPr>
          <w:rFonts w:ascii="Arial" w:hAnsi="Arial" w:cs="Arial"/>
          <w:color w:val="000000" w:themeColor="text1"/>
          <w:sz w:val="22"/>
          <w:szCs w:val="22"/>
        </w:rPr>
        <w:t>that the ABD recorded in Jan</w:t>
      </w:r>
      <w:r w:rsidR="00827670">
        <w:rPr>
          <w:rFonts w:ascii="Arial" w:hAnsi="Arial" w:cs="Arial"/>
          <w:color w:val="000000" w:themeColor="text1"/>
          <w:sz w:val="22"/>
          <w:szCs w:val="22"/>
        </w:rPr>
        <w:t>uary</w:t>
      </w:r>
      <w:r w:rsidR="00EC705B" w:rsidRPr="00827670">
        <w:rPr>
          <w:rFonts w:ascii="Arial" w:hAnsi="Arial" w:cs="Arial"/>
          <w:color w:val="000000" w:themeColor="text1"/>
          <w:sz w:val="22"/>
          <w:szCs w:val="22"/>
        </w:rPr>
        <w:t xml:space="preserve"> 2019</w:t>
      </w:r>
      <w:r w:rsidR="00827670">
        <w:rPr>
          <w:rFonts w:ascii="Arial" w:hAnsi="Arial" w:cs="Arial"/>
          <w:color w:val="000000" w:themeColor="text1"/>
          <w:sz w:val="22"/>
          <w:szCs w:val="22"/>
        </w:rPr>
        <w:t xml:space="preserve"> and </w:t>
      </w:r>
      <w:r w:rsidRPr="00827670">
        <w:rPr>
          <w:rFonts w:ascii="Arial" w:hAnsi="Arial" w:cs="Arial"/>
          <w:color w:val="000000" w:themeColor="text1"/>
          <w:sz w:val="22"/>
          <w:szCs w:val="22"/>
        </w:rPr>
        <w:t xml:space="preserve">April 2019 various adjustments </w:t>
      </w:r>
      <w:r w:rsidR="00EC705B" w:rsidRPr="00827670">
        <w:rPr>
          <w:rFonts w:ascii="Arial" w:hAnsi="Arial" w:cs="Arial"/>
          <w:color w:val="000000" w:themeColor="text1"/>
          <w:sz w:val="22"/>
          <w:szCs w:val="22"/>
        </w:rPr>
        <w:t>pertaining to some of the identified book reconciling items under the Operating Fund accounts, specifically (a) LBP CA</w:t>
      </w:r>
      <w:r w:rsidR="001263A8" w:rsidRPr="00827670">
        <w:rPr>
          <w:rFonts w:ascii="Arial" w:hAnsi="Arial" w:cs="Arial"/>
          <w:color w:val="000000" w:themeColor="text1"/>
          <w:sz w:val="22"/>
          <w:szCs w:val="22"/>
        </w:rPr>
        <w:t xml:space="preserve"> no. </w:t>
      </w:r>
      <w:r w:rsidR="00EC705B" w:rsidRPr="00827670">
        <w:rPr>
          <w:rFonts w:ascii="Arial" w:hAnsi="Arial" w:cs="Arial"/>
          <w:color w:val="000000" w:themeColor="text1"/>
          <w:sz w:val="22"/>
          <w:szCs w:val="22"/>
        </w:rPr>
        <w:t>3102-1000-09 (112-D); (b) LBP CA</w:t>
      </w:r>
      <w:r w:rsidR="001263A8" w:rsidRPr="00827670">
        <w:rPr>
          <w:rFonts w:ascii="Arial" w:hAnsi="Arial" w:cs="Arial"/>
          <w:color w:val="000000" w:themeColor="text1"/>
          <w:sz w:val="22"/>
          <w:szCs w:val="22"/>
        </w:rPr>
        <w:t xml:space="preserve"> no. </w:t>
      </w:r>
      <w:r w:rsidR="00EC705B" w:rsidRPr="00827670">
        <w:rPr>
          <w:rFonts w:ascii="Arial" w:hAnsi="Arial" w:cs="Arial"/>
          <w:color w:val="000000" w:themeColor="text1"/>
          <w:sz w:val="22"/>
          <w:szCs w:val="22"/>
        </w:rPr>
        <w:t>3102-1005-64 (111-V); (c) PNB SA</w:t>
      </w:r>
      <w:r w:rsidR="001263A8" w:rsidRPr="00827670">
        <w:rPr>
          <w:rFonts w:ascii="Arial" w:hAnsi="Arial" w:cs="Arial"/>
          <w:color w:val="000000" w:themeColor="text1"/>
          <w:sz w:val="22"/>
          <w:szCs w:val="22"/>
        </w:rPr>
        <w:t xml:space="preserve"> no </w:t>
      </w:r>
      <w:r w:rsidR="00EC705B" w:rsidRPr="00827670">
        <w:rPr>
          <w:rFonts w:ascii="Arial" w:hAnsi="Arial" w:cs="Arial"/>
          <w:color w:val="000000" w:themeColor="text1"/>
          <w:sz w:val="22"/>
          <w:szCs w:val="22"/>
        </w:rPr>
        <w:t>3742-5360-0014 (112-H); (d) LBP CA</w:t>
      </w:r>
      <w:r w:rsidR="001263A8" w:rsidRPr="00827670">
        <w:rPr>
          <w:rFonts w:ascii="Arial" w:hAnsi="Arial" w:cs="Arial"/>
          <w:color w:val="000000" w:themeColor="text1"/>
          <w:sz w:val="22"/>
          <w:szCs w:val="22"/>
        </w:rPr>
        <w:t xml:space="preserve"> no. </w:t>
      </w:r>
      <w:r w:rsidR="00EC705B" w:rsidRPr="00827670">
        <w:rPr>
          <w:rFonts w:ascii="Arial" w:hAnsi="Arial" w:cs="Arial"/>
          <w:color w:val="000000" w:themeColor="text1"/>
          <w:sz w:val="22"/>
          <w:szCs w:val="22"/>
        </w:rPr>
        <w:t>3102-1000-33 (111-N) and under the Ch</w:t>
      </w:r>
      <w:r w:rsidR="00617DD8" w:rsidRPr="00827670">
        <w:rPr>
          <w:rFonts w:ascii="Arial" w:hAnsi="Arial" w:cs="Arial"/>
          <w:color w:val="000000" w:themeColor="text1"/>
          <w:sz w:val="22"/>
          <w:szCs w:val="22"/>
        </w:rPr>
        <w:t xml:space="preserve">arity Fund/Prize Fund accounts specifically, </w:t>
      </w:r>
      <w:r w:rsidR="00F66EB3" w:rsidRPr="00827670">
        <w:rPr>
          <w:rFonts w:ascii="Arial" w:hAnsi="Arial" w:cs="Arial"/>
          <w:color w:val="000000" w:themeColor="text1"/>
          <w:sz w:val="22"/>
          <w:szCs w:val="22"/>
        </w:rPr>
        <w:t>LBP SA</w:t>
      </w:r>
      <w:r w:rsidR="001263A8" w:rsidRPr="00827670">
        <w:rPr>
          <w:rFonts w:ascii="Arial" w:hAnsi="Arial" w:cs="Arial"/>
          <w:color w:val="000000" w:themeColor="text1"/>
          <w:sz w:val="22"/>
          <w:szCs w:val="22"/>
        </w:rPr>
        <w:t xml:space="preserve"> no. </w:t>
      </w:r>
      <w:r w:rsidR="00F66EB3" w:rsidRPr="00827670">
        <w:rPr>
          <w:rFonts w:ascii="Arial" w:hAnsi="Arial" w:cs="Arial"/>
          <w:color w:val="000000" w:themeColor="text1"/>
          <w:sz w:val="22"/>
          <w:szCs w:val="22"/>
        </w:rPr>
        <w:t>3102-1005-56 (111-U) and LBP SA</w:t>
      </w:r>
      <w:r w:rsidR="001263A8" w:rsidRPr="00827670">
        <w:rPr>
          <w:rFonts w:ascii="Arial" w:hAnsi="Arial" w:cs="Arial"/>
          <w:color w:val="000000" w:themeColor="text1"/>
          <w:sz w:val="22"/>
          <w:szCs w:val="22"/>
        </w:rPr>
        <w:t xml:space="preserve"> no. </w:t>
      </w:r>
      <w:r w:rsidR="00F66EB3" w:rsidRPr="00827670">
        <w:rPr>
          <w:rFonts w:ascii="Arial" w:hAnsi="Arial" w:cs="Arial"/>
          <w:color w:val="000000" w:themeColor="text1"/>
          <w:sz w:val="22"/>
          <w:szCs w:val="22"/>
        </w:rPr>
        <w:t>3102-1006-10 (111-R1).</w:t>
      </w:r>
    </w:p>
    <w:p w:rsidR="00F66EB3" w:rsidRPr="00EF4855" w:rsidRDefault="00F66EB3" w:rsidP="00EC705B">
      <w:pPr>
        <w:pStyle w:val="ListParagraph"/>
        <w:suppressAutoHyphens/>
        <w:ind w:left="1276"/>
        <w:jc w:val="both"/>
        <w:rPr>
          <w:rFonts w:ascii="Arial" w:hAnsi="Arial" w:cs="Arial"/>
          <w:sz w:val="22"/>
          <w:szCs w:val="22"/>
        </w:rPr>
      </w:pPr>
    </w:p>
    <w:p w:rsidR="00EC705B" w:rsidRPr="007866AA" w:rsidRDefault="00EC705B" w:rsidP="00DA78B4">
      <w:pPr>
        <w:pStyle w:val="ListParagraph"/>
        <w:numPr>
          <w:ilvl w:val="1"/>
          <w:numId w:val="1"/>
        </w:numPr>
        <w:ind w:left="1440"/>
        <w:contextualSpacing/>
        <w:jc w:val="both"/>
        <w:rPr>
          <w:rFonts w:ascii="Arial" w:hAnsi="Arial" w:cs="Arial"/>
          <w:color w:val="000000" w:themeColor="text1"/>
          <w:sz w:val="22"/>
          <w:szCs w:val="22"/>
        </w:rPr>
      </w:pPr>
      <w:r w:rsidRPr="007866AA">
        <w:rPr>
          <w:rFonts w:ascii="Arial" w:hAnsi="Arial" w:cs="Arial"/>
          <w:color w:val="000000" w:themeColor="text1"/>
          <w:sz w:val="22"/>
          <w:szCs w:val="22"/>
        </w:rPr>
        <w:t>The ABD also explained that of the P10.574 million and P26.841</w:t>
      </w:r>
      <w:r w:rsidR="001B5C73" w:rsidRPr="007866AA">
        <w:rPr>
          <w:rFonts w:ascii="Arial" w:hAnsi="Arial" w:cs="Arial"/>
          <w:color w:val="000000" w:themeColor="text1"/>
          <w:sz w:val="22"/>
          <w:szCs w:val="22"/>
        </w:rPr>
        <w:t xml:space="preserve"> million</w:t>
      </w:r>
      <w:r w:rsidRPr="007866AA">
        <w:rPr>
          <w:rFonts w:ascii="Arial" w:hAnsi="Arial" w:cs="Arial"/>
          <w:color w:val="000000" w:themeColor="text1"/>
          <w:sz w:val="22"/>
          <w:szCs w:val="22"/>
        </w:rPr>
        <w:t xml:space="preserve"> classified as unposted deposits – bank reconciling items under the Operating Fund and Charity/Prize Fund Accounts, respectively,</w:t>
      </w:r>
      <w:r w:rsidR="001263A8" w:rsidRPr="007866AA">
        <w:rPr>
          <w:rFonts w:ascii="Arial" w:hAnsi="Arial" w:cs="Arial"/>
          <w:color w:val="000000" w:themeColor="text1"/>
          <w:sz w:val="22"/>
          <w:szCs w:val="22"/>
        </w:rPr>
        <w:t xml:space="preserve"> the amounts of</w:t>
      </w:r>
      <w:r w:rsidRPr="007866AA">
        <w:rPr>
          <w:rFonts w:ascii="Arial" w:hAnsi="Arial" w:cs="Arial"/>
          <w:color w:val="000000" w:themeColor="text1"/>
          <w:sz w:val="22"/>
          <w:szCs w:val="22"/>
        </w:rPr>
        <w:t xml:space="preserve"> P8</w:t>
      </w:r>
      <w:r w:rsidR="007866AA">
        <w:rPr>
          <w:rFonts w:ascii="Arial" w:hAnsi="Arial" w:cs="Arial"/>
          <w:color w:val="000000" w:themeColor="text1"/>
          <w:sz w:val="22"/>
          <w:szCs w:val="22"/>
        </w:rPr>
        <w:t>.413 million</w:t>
      </w:r>
      <w:r w:rsidRPr="007866AA">
        <w:rPr>
          <w:rFonts w:ascii="Arial" w:hAnsi="Arial" w:cs="Arial"/>
          <w:color w:val="000000" w:themeColor="text1"/>
          <w:sz w:val="22"/>
          <w:szCs w:val="22"/>
        </w:rPr>
        <w:t xml:space="preserve"> and P</w:t>
      </w:r>
      <w:r w:rsidR="00506BD3" w:rsidRPr="007866AA">
        <w:rPr>
          <w:rFonts w:ascii="Arial" w:hAnsi="Arial" w:cs="Arial"/>
          <w:color w:val="000000" w:themeColor="text1"/>
          <w:sz w:val="22"/>
          <w:szCs w:val="22"/>
        </w:rPr>
        <w:t>20</w:t>
      </w:r>
      <w:r w:rsidR="007866AA">
        <w:rPr>
          <w:rFonts w:ascii="Arial" w:hAnsi="Arial" w:cs="Arial"/>
          <w:color w:val="000000" w:themeColor="text1"/>
          <w:sz w:val="22"/>
          <w:szCs w:val="22"/>
        </w:rPr>
        <w:t>.3</w:t>
      </w:r>
      <w:r w:rsidR="00506BD3" w:rsidRPr="007866AA">
        <w:rPr>
          <w:rFonts w:ascii="Arial" w:hAnsi="Arial" w:cs="Arial"/>
          <w:color w:val="000000" w:themeColor="text1"/>
          <w:sz w:val="22"/>
          <w:szCs w:val="22"/>
        </w:rPr>
        <w:t>00</w:t>
      </w:r>
      <w:r w:rsidR="007866AA">
        <w:rPr>
          <w:rFonts w:ascii="Arial" w:hAnsi="Arial" w:cs="Arial"/>
          <w:color w:val="000000" w:themeColor="text1"/>
          <w:sz w:val="22"/>
          <w:szCs w:val="22"/>
        </w:rPr>
        <w:t xml:space="preserve"> million</w:t>
      </w:r>
      <w:r w:rsidRPr="007866AA">
        <w:rPr>
          <w:rFonts w:ascii="Arial" w:hAnsi="Arial" w:cs="Arial"/>
          <w:color w:val="000000" w:themeColor="text1"/>
          <w:sz w:val="22"/>
          <w:szCs w:val="22"/>
        </w:rPr>
        <w:t xml:space="preserve"> were book errors which were inadvertently included in the Bank column adjustments in the submitted B</w:t>
      </w:r>
      <w:r w:rsidR="007866AA">
        <w:rPr>
          <w:rFonts w:ascii="Arial" w:hAnsi="Arial" w:cs="Arial"/>
          <w:color w:val="000000" w:themeColor="text1"/>
          <w:sz w:val="22"/>
          <w:szCs w:val="22"/>
        </w:rPr>
        <w:t>RSs</w:t>
      </w:r>
      <w:r w:rsidR="00506BD3" w:rsidRPr="007866AA">
        <w:rPr>
          <w:rFonts w:ascii="Arial" w:hAnsi="Arial" w:cs="Arial"/>
          <w:color w:val="000000" w:themeColor="text1"/>
          <w:sz w:val="22"/>
          <w:szCs w:val="22"/>
        </w:rPr>
        <w:t xml:space="preserve">. Said items </w:t>
      </w:r>
      <w:r w:rsidRPr="007866AA">
        <w:rPr>
          <w:rFonts w:ascii="Arial" w:hAnsi="Arial" w:cs="Arial"/>
          <w:color w:val="000000" w:themeColor="text1"/>
          <w:sz w:val="22"/>
          <w:szCs w:val="22"/>
        </w:rPr>
        <w:t>were already adjusted in April and May 2019.  The remaining items were still under review and the ABD is in close coordination with</w:t>
      </w:r>
      <w:r w:rsidR="001263A8" w:rsidRPr="007866AA">
        <w:rPr>
          <w:rFonts w:ascii="Arial" w:hAnsi="Arial" w:cs="Arial"/>
          <w:color w:val="000000" w:themeColor="text1"/>
          <w:sz w:val="22"/>
          <w:szCs w:val="22"/>
        </w:rPr>
        <w:t xml:space="preserve"> the</w:t>
      </w:r>
      <w:r w:rsidRPr="007866AA">
        <w:rPr>
          <w:rFonts w:ascii="Arial" w:hAnsi="Arial" w:cs="Arial"/>
          <w:color w:val="000000" w:themeColor="text1"/>
          <w:sz w:val="22"/>
          <w:szCs w:val="22"/>
        </w:rPr>
        <w:t xml:space="preserve"> PNB and </w:t>
      </w:r>
      <w:r w:rsidR="001263A8" w:rsidRPr="007866AA">
        <w:rPr>
          <w:rFonts w:ascii="Arial" w:hAnsi="Arial" w:cs="Arial"/>
          <w:color w:val="000000" w:themeColor="text1"/>
          <w:sz w:val="22"/>
          <w:szCs w:val="22"/>
        </w:rPr>
        <w:t xml:space="preserve">the </w:t>
      </w:r>
      <w:r w:rsidRPr="007866AA">
        <w:rPr>
          <w:rFonts w:ascii="Arial" w:hAnsi="Arial" w:cs="Arial"/>
          <w:color w:val="000000" w:themeColor="text1"/>
          <w:sz w:val="22"/>
          <w:szCs w:val="22"/>
        </w:rPr>
        <w:t>BOS for the settlement and/or adjustment of the same.</w:t>
      </w:r>
      <w:r w:rsidR="00B51BEE" w:rsidRPr="007866AA">
        <w:rPr>
          <w:rFonts w:ascii="Arial" w:hAnsi="Arial" w:cs="Arial"/>
          <w:color w:val="000000" w:themeColor="text1"/>
          <w:sz w:val="22"/>
          <w:szCs w:val="22"/>
        </w:rPr>
        <w:t xml:space="preserve"> Moreover, the </w:t>
      </w:r>
      <w:r w:rsidR="001337A7">
        <w:rPr>
          <w:rFonts w:ascii="Arial" w:hAnsi="Arial" w:cs="Arial"/>
          <w:color w:val="000000" w:themeColor="text1"/>
          <w:sz w:val="22"/>
          <w:szCs w:val="22"/>
        </w:rPr>
        <w:t>BRSs</w:t>
      </w:r>
      <w:r w:rsidR="001263A8" w:rsidRPr="007866AA">
        <w:rPr>
          <w:rFonts w:ascii="Arial" w:hAnsi="Arial" w:cs="Arial"/>
          <w:color w:val="000000" w:themeColor="text1"/>
          <w:sz w:val="22"/>
          <w:szCs w:val="22"/>
        </w:rPr>
        <w:t xml:space="preserve"> of bank account no. 3101-0076-25 </w:t>
      </w:r>
      <w:r w:rsidR="00B51BEE" w:rsidRPr="007866AA">
        <w:rPr>
          <w:rFonts w:ascii="Arial" w:hAnsi="Arial" w:cs="Arial"/>
          <w:color w:val="000000" w:themeColor="text1"/>
          <w:sz w:val="22"/>
          <w:szCs w:val="22"/>
        </w:rPr>
        <w:t xml:space="preserve">were already </w:t>
      </w:r>
      <w:r w:rsidR="00E27A0F" w:rsidRPr="007866AA">
        <w:rPr>
          <w:rFonts w:ascii="Arial" w:hAnsi="Arial" w:cs="Arial"/>
          <w:color w:val="000000" w:themeColor="text1"/>
          <w:sz w:val="22"/>
          <w:szCs w:val="22"/>
        </w:rPr>
        <w:t xml:space="preserve">submitted </w:t>
      </w:r>
      <w:r w:rsidR="00B51BEE" w:rsidRPr="007866AA">
        <w:rPr>
          <w:rFonts w:ascii="Arial" w:hAnsi="Arial" w:cs="Arial"/>
          <w:color w:val="000000" w:themeColor="text1"/>
          <w:sz w:val="22"/>
          <w:szCs w:val="22"/>
        </w:rPr>
        <w:t>in May 2019.</w:t>
      </w:r>
    </w:p>
    <w:p w:rsidR="00EC705B" w:rsidRDefault="00EC705B" w:rsidP="001337A7">
      <w:pPr>
        <w:pStyle w:val="ListParagraph"/>
        <w:ind w:left="1440"/>
        <w:contextualSpacing/>
        <w:jc w:val="both"/>
        <w:rPr>
          <w:rFonts w:ascii="Arial" w:hAnsi="Arial" w:cs="Arial"/>
          <w:sz w:val="22"/>
          <w:szCs w:val="22"/>
        </w:rPr>
      </w:pPr>
    </w:p>
    <w:p w:rsidR="00922D20" w:rsidRPr="005043B9" w:rsidRDefault="00922D20" w:rsidP="00DA78B4">
      <w:pPr>
        <w:pStyle w:val="ListParagraph"/>
        <w:numPr>
          <w:ilvl w:val="0"/>
          <w:numId w:val="1"/>
        </w:numPr>
        <w:tabs>
          <w:tab w:val="left" w:pos="720"/>
        </w:tabs>
        <w:ind w:left="720" w:hanging="720"/>
        <w:contextualSpacing/>
        <w:jc w:val="both"/>
        <w:rPr>
          <w:rFonts w:ascii="Arial" w:hAnsi="Arial" w:cs="Arial"/>
          <w:b/>
          <w:color w:val="000000" w:themeColor="text1"/>
          <w:sz w:val="22"/>
          <w:szCs w:val="22"/>
          <w:lang w:val="en-PH"/>
        </w:rPr>
      </w:pPr>
      <w:r w:rsidRPr="005043B9">
        <w:rPr>
          <w:rFonts w:ascii="Arial" w:hAnsi="Arial" w:cs="Arial"/>
          <w:b/>
          <w:color w:val="000000" w:themeColor="text1"/>
          <w:sz w:val="22"/>
          <w:szCs w:val="22"/>
          <w:lang w:val="en-PH"/>
        </w:rPr>
        <w:lastRenderedPageBreak/>
        <w:t xml:space="preserve">Assets generated as well as the liabilities incurred from the </w:t>
      </w:r>
      <w:r w:rsidR="00C06984" w:rsidRPr="005043B9">
        <w:rPr>
          <w:rFonts w:ascii="Arial" w:hAnsi="Arial" w:cs="Arial"/>
          <w:b/>
          <w:color w:val="000000" w:themeColor="text1"/>
          <w:sz w:val="22"/>
          <w:szCs w:val="22"/>
          <w:lang w:val="en-PH"/>
        </w:rPr>
        <w:t xml:space="preserve">P2.5 billion </w:t>
      </w:r>
      <w:r w:rsidRPr="005043B9">
        <w:rPr>
          <w:rFonts w:ascii="Arial" w:hAnsi="Arial" w:cs="Arial"/>
          <w:b/>
          <w:color w:val="000000" w:themeColor="text1"/>
          <w:sz w:val="22"/>
          <w:szCs w:val="22"/>
          <w:lang w:val="en-PH"/>
        </w:rPr>
        <w:t xml:space="preserve">trust fund intended for the construction of the PCSO building maintained with the Land Bank of the Philippines (LBP) were not reported separately in the Statement of Financial Position as </w:t>
      </w:r>
      <w:r w:rsidR="00E16817" w:rsidRPr="005043B9">
        <w:rPr>
          <w:rFonts w:ascii="Arial" w:hAnsi="Arial" w:cs="Arial"/>
          <w:b/>
          <w:color w:val="000000" w:themeColor="text1"/>
          <w:sz w:val="22"/>
          <w:szCs w:val="22"/>
          <w:lang w:val="en-PH"/>
        </w:rPr>
        <w:t>at</w:t>
      </w:r>
      <w:r w:rsidRPr="005043B9">
        <w:rPr>
          <w:rFonts w:ascii="Arial" w:hAnsi="Arial" w:cs="Arial"/>
          <w:b/>
          <w:color w:val="000000" w:themeColor="text1"/>
          <w:sz w:val="22"/>
          <w:szCs w:val="22"/>
          <w:lang w:val="en-PH"/>
        </w:rPr>
        <w:t xml:space="preserve"> December 31, 2018.  Instead, the equity from the said trust account in the amount of P2.603 billion was recognized under the Financial Assets at Fair Value through Other Comprehensive Income (FVOCI) account, which </w:t>
      </w:r>
      <w:r w:rsidR="003077B5">
        <w:rPr>
          <w:rFonts w:ascii="Arial" w:hAnsi="Arial" w:cs="Arial"/>
          <w:b/>
          <w:color w:val="000000" w:themeColor="text1"/>
          <w:sz w:val="22"/>
          <w:szCs w:val="22"/>
          <w:lang w:val="en-PH"/>
        </w:rPr>
        <w:t>was</w:t>
      </w:r>
      <w:r w:rsidRPr="005043B9">
        <w:rPr>
          <w:rFonts w:ascii="Arial" w:hAnsi="Arial" w:cs="Arial"/>
          <w:b/>
          <w:color w:val="000000" w:themeColor="text1"/>
          <w:sz w:val="22"/>
          <w:szCs w:val="22"/>
          <w:lang w:val="en-PH"/>
        </w:rPr>
        <w:t xml:space="preserve"> tantamount to offsetting of </w:t>
      </w:r>
      <w:r w:rsidRPr="005043B9">
        <w:rPr>
          <w:rFonts w:ascii="Arial" w:hAnsi="Arial" w:cs="Arial"/>
          <w:color w:val="000000" w:themeColor="text1"/>
          <w:sz w:val="22"/>
          <w:szCs w:val="22"/>
          <w:lang w:val="en-PH"/>
        </w:rPr>
        <w:t xml:space="preserve"> </w:t>
      </w:r>
      <w:r w:rsidRPr="005043B9">
        <w:rPr>
          <w:rFonts w:ascii="Arial" w:hAnsi="Arial" w:cs="Arial"/>
          <w:b/>
          <w:color w:val="000000" w:themeColor="text1"/>
          <w:sz w:val="22"/>
          <w:szCs w:val="22"/>
          <w:lang w:val="en-PH"/>
        </w:rPr>
        <w:t xml:space="preserve">assets and liabilities </w:t>
      </w:r>
      <w:r w:rsidR="001B5C73" w:rsidRPr="005043B9">
        <w:rPr>
          <w:rFonts w:ascii="Arial" w:hAnsi="Arial" w:cs="Arial"/>
          <w:b/>
          <w:color w:val="000000" w:themeColor="text1"/>
          <w:sz w:val="22"/>
          <w:szCs w:val="22"/>
          <w:lang w:val="en-PH"/>
        </w:rPr>
        <w:t xml:space="preserve">that is </w:t>
      </w:r>
      <w:r w:rsidRPr="005043B9">
        <w:rPr>
          <w:rFonts w:ascii="Arial" w:hAnsi="Arial" w:cs="Arial"/>
          <w:b/>
          <w:color w:val="000000" w:themeColor="text1"/>
          <w:sz w:val="22"/>
          <w:szCs w:val="22"/>
          <w:lang w:val="en-PH"/>
        </w:rPr>
        <w:t xml:space="preserve">not allowed under Sections 32 and 33 </w:t>
      </w:r>
      <w:r w:rsidRPr="005043B9">
        <w:rPr>
          <w:rFonts w:ascii="Arial" w:hAnsi="Arial" w:cs="Arial"/>
          <w:b/>
          <w:color w:val="000000" w:themeColor="text1"/>
          <w:sz w:val="22"/>
          <w:szCs w:val="22"/>
        </w:rPr>
        <w:t>of Philippine Accounting Standard (PAS) 1,</w:t>
      </w:r>
      <w:r w:rsidRPr="005043B9">
        <w:rPr>
          <w:rFonts w:ascii="Arial" w:hAnsi="Arial" w:cs="Arial"/>
          <w:b/>
          <w:color w:val="000000" w:themeColor="text1"/>
          <w:sz w:val="22"/>
          <w:szCs w:val="22"/>
          <w:lang w:val="en-PH"/>
        </w:rPr>
        <w:t xml:space="preserve"> resulting in the understatement of Cash and Cash Equivalents, Receivables, Prepayments and Liabilities</w:t>
      </w:r>
      <w:r w:rsidR="009A2996">
        <w:rPr>
          <w:rFonts w:ascii="Arial" w:hAnsi="Arial" w:cs="Arial"/>
          <w:b/>
          <w:color w:val="000000" w:themeColor="text1"/>
          <w:sz w:val="22"/>
          <w:szCs w:val="22"/>
          <w:lang w:val="en-PH"/>
        </w:rPr>
        <w:t xml:space="preserve"> accounts</w:t>
      </w:r>
      <w:r w:rsidRPr="005043B9">
        <w:rPr>
          <w:rFonts w:ascii="Arial" w:hAnsi="Arial" w:cs="Arial"/>
          <w:b/>
          <w:color w:val="000000" w:themeColor="text1"/>
          <w:sz w:val="22"/>
          <w:szCs w:val="22"/>
          <w:lang w:val="en-PH"/>
        </w:rPr>
        <w:t xml:space="preserve"> by P509.424 million, P16.801 million, P1.549 million and P3.438 million, respectively, while the Financial Assets was overstated by P524.33</w:t>
      </w:r>
      <w:r w:rsidR="00676C1D" w:rsidRPr="005043B9">
        <w:rPr>
          <w:rFonts w:ascii="Arial" w:hAnsi="Arial" w:cs="Arial"/>
          <w:b/>
          <w:color w:val="000000" w:themeColor="text1"/>
          <w:sz w:val="22"/>
          <w:szCs w:val="22"/>
          <w:lang w:val="en-PH"/>
        </w:rPr>
        <w:t>6</w:t>
      </w:r>
      <w:r w:rsidRPr="005043B9">
        <w:rPr>
          <w:rFonts w:ascii="Arial" w:hAnsi="Arial" w:cs="Arial"/>
          <w:b/>
          <w:color w:val="000000" w:themeColor="text1"/>
          <w:sz w:val="22"/>
          <w:szCs w:val="22"/>
          <w:lang w:val="en-PH"/>
        </w:rPr>
        <w:t xml:space="preserve"> million. </w:t>
      </w:r>
    </w:p>
    <w:p w:rsidR="00922D20" w:rsidRPr="00B70D71" w:rsidRDefault="00922D20" w:rsidP="00922D20">
      <w:pPr>
        <w:pStyle w:val="ListParagraph"/>
        <w:tabs>
          <w:tab w:val="left" w:pos="567"/>
        </w:tabs>
        <w:ind w:left="576"/>
        <w:contextualSpacing/>
        <w:jc w:val="both"/>
        <w:rPr>
          <w:rFonts w:ascii="Arial" w:hAnsi="Arial" w:cs="Arial"/>
          <w:b/>
          <w:lang w:val="en-PH"/>
        </w:rPr>
      </w:pPr>
    </w:p>
    <w:p w:rsidR="00460A1B" w:rsidRPr="00460A1B" w:rsidRDefault="00460A1B" w:rsidP="00DA78B4">
      <w:pPr>
        <w:pStyle w:val="ListParagraph"/>
        <w:numPr>
          <w:ilvl w:val="0"/>
          <w:numId w:val="6"/>
        </w:numPr>
        <w:contextualSpacing/>
        <w:jc w:val="both"/>
        <w:rPr>
          <w:rFonts w:ascii="Arial" w:eastAsia="Calibri" w:hAnsi="Arial" w:cs="Arial"/>
          <w:vanish/>
          <w:sz w:val="22"/>
          <w:szCs w:val="22"/>
          <w:lang w:val="en-GB"/>
        </w:rPr>
      </w:pPr>
    </w:p>
    <w:p w:rsidR="00460A1B" w:rsidRPr="00460A1B" w:rsidRDefault="00460A1B" w:rsidP="00DA78B4">
      <w:pPr>
        <w:pStyle w:val="ListParagraph"/>
        <w:numPr>
          <w:ilvl w:val="0"/>
          <w:numId w:val="6"/>
        </w:numPr>
        <w:contextualSpacing/>
        <w:jc w:val="both"/>
        <w:rPr>
          <w:rFonts w:ascii="Arial" w:eastAsia="Calibri" w:hAnsi="Arial" w:cs="Arial"/>
          <w:vanish/>
          <w:sz w:val="22"/>
          <w:szCs w:val="22"/>
          <w:lang w:val="en-GB"/>
        </w:rPr>
      </w:pPr>
    </w:p>
    <w:p w:rsidR="00B869E6" w:rsidRPr="000B3DC2" w:rsidRDefault="00B869E6" w:rsidP="00DA78B4">
      <w:pPr>
        <w:pStyle w:val="ListParagraph"/>
        <w:numPr>
          <w:ilvl w:val="1"/>
          <w:numId w:val="1"/>
        </w:numPr>
        <w:ind w:left="1440"/>
        <w:contextualSpacing/>
        <w:jc w:val="both"/>
        <w:rPr>
          <w:rFonts w:ascii="Arial" w:hAnsi="Arial" w:cs="Arial"/>
          <w:sz w:val="22"/>
          <w:szCs w:val="22"/>
        </w:rPr>
      </w:pPr>
      <w:r w:rsidRPr="000B3DC2">
        <w:rPr>
          <w:rFonts w:ascii="Arial" w:eastAsia="Calibri" w:hAnsi="Arial" w:cs="Arial"/>
          <w:sz w:val="22"/>
          <w:szCs w:val="22"/>
          <w:lang w:val="en-GB"/>
        </w:rPr>
        <w:t>Paragraph</w:t>
      </w:r>
      <w:r w:rsidR="00922D20" w:rsidRPr="000B3DC2">
        <w:rPr>
          <w:rFonts w:ascii="Arial" w:hAnsi="Arial" w:cs="Arial"/>
          <w:sz w:val="22"/>
          <w:szCs w:val="22"/>
        </w:rPr>
        <w:t xml:space="preserve"> 15 of PAS 1 provides</w:t>
      </w:r>
      <w:r w:rsidRPr="000B3DC2">
        <w:rPr>
          <w:rFonts w:ascii="Arial" w:hAnsi="Arial" w:cs="Arial"/>
          <w:sz w:val="22"/>
          <w:szCs w:val="22"/>
        </w:rPr>
        <w:t>:</w:t>
      </w:r>
    </w:p>
    <w:p w:rsidR="00B869E6" w:rsidRPr="004F6C55" w:rsidRDefault="00B869E6" w:rsidP="00B869E6">
      <w:pPr>
        <w:pStyle w:val="ListParagraph"/>
        <w:contextualSpacing/>
        <w:jc w:val="both"/>
        <w:rPr>
          <w:rFonts w:ascii="Arial" w:hAnsi="Arial" w:cs="Arial"/>
          <w:sz w:val="22"/>
          <w:szCs w:val="22"/>
        </w:rPr>
      </w:pPr>
    </w:p>
    <w:p w:rsidR="00B869E6" w:rsidRDefault="00B869E6" w:rsidP="000B3DC2">
      <w:pPr>
        <w:spacing w:after="0" w:line="240" w:lineRule="auto"/>
        <w:ind w:left="1800" w:right="720"/>
        <w:jc w:val="both"/>
        <w:rPr>
          <w:rFonts w:ascii="Arial" w:hAnsi="Arial" w:cs="Arial"/>
          <w:i/>
        </w:rPr>
      </w:pPr>
      <w:r w:rsidRPr="00922D20">
        <w:rPr>
          <w:rFonts w:ascii="Arial" w:hAnsi="Arial" w:cs="Arial"/>
          <w:i/>
        </w:rPr>
        <w:t>Financial statements shall present fairly the financial position, financial performance and cash flows of an entity. Fair presentation requires the faithful representation of the effects of transactions, other events and conditions in accordance with the definitions and recognition criteria for assets, lia</w:t>
      </w:r>
      <w:r w:rsidR="005043B9">
        <w:rPr>
          <w:rFonts w:ascii="Arial" w:hAnsi="Arial" w:cs="Arial"/>
          <w:i/>
        </w:rPr>
        <w:t>bilities, income and expenses xxx</w:t>
      </w:r>
    </w:p>
    <w:p w:rsidR="000B3DC2" w:rsidRPr="00922D20" w:rsidRDefault="000B3DC2" w:rsidP="000B3DC2">
      <w:pPr>
        <w:spacing w:after="0" w:line="240" w:lineRule="auto"/>
        <w:ind w:left="1800" w:right="720"/>
        <w:jc w:val="both"/>
        <w:rPr>
          <w:rFonts w:ascii="Arial" w:hAnsi="Arial" w:cs="Arial"/>
          <w:i/>
        </w:rPr>
      </w:pPr>
    </w:p>
    <w:p w:rsidR="00B869E6" w:rsidRDefault="00B869E6" w:rsidP="00DA78B4">
      <w:pPr>
        <w:pStyle w:val="ListParagraph"/>
        <w:numPr>
          <w:ilvl w:val="1"/>
          <w:numId w:val="1"/>
        </w:numPr>
        <w:ind w:left="1440"/>
        <w:contextualSpacing/>
        <w:jc w:val="both"/>
        <w:rPr>
          <w:rFonts w:ascii="Arial" w:hAnsi="Arial" w:cs="Arial"/>
          <w:sz w:val="22"/>
          <w:szCs w:val="22"/>
        </w:rPr>
      </w:pPr>
      <w:r w:rsidRPr="00581CD0">
        <w:rPr>
          <w:rFonts w:ascii="Arial" w:eastAsia="Calibri" w:hAnsi="Arial" w:cs="Arial"/>
          <w:sz w:val="22"/>
          <w:szCs w:val="22"/>
          <w:lang w:val="en-GB"/>
        </w:rPr>
        <w:t>Records</w:t>
      </w:r>
      <w:r w:rsidRPr="004F6C55">
        <w:rPr>
          <w:rFonts w:ascii="Arial" w:hAnsi="Arial" w:cs="Arial"/>
          <w:sz w:val="22"/>
          <w:szCs w:val="22"/>
        </w:rPr>
        <w:t xml:space="preserve"> showed that the PCSO entered into a Trust Agreement with the LBP, through its Trust Banking Group (Trustee) on August 26, 2014</w:t>
      </w:r>
      <w:r w:rsidR="009A2996">
        <w:rPr>
          <w:rFonts w:ascii="Arial" w:hAnsi="Arial" w:cs="Arial"/>
          <w:sz w:val="22"/>
          <w:szCs w:val="22"/>
        </w:rPr>
        <w:t>,</w:t>
      </w:r>
      <w:r w:rsidRPr="004F6C55">
        <w:rPr>
          <w:rFonts w:ascii="Arial" w:hAnsi="Arial" w:cs="Arial"/>
          <w:sz w:val="22"/>
          <w:szCs w:val="22"/>
        </w:rPr>
        <w:t xml:space="preserve"> for the management and administration of the trust fund intended for the construction of the PCSO building. Review of the Trustee’s financial report on the said trust account, as presented in Table </w:t>
      </w:r>
      <w:r w:rsidR="000B3DC2">
        <w:rPr>
          <w:rFonts w:ascii="Arial" w:hAnsi="Arial" w:cs="Arial"/>
          <w:sz w:val="22"/>
          <w:szCs w:val="22"/>
        </w:rPr>
        <w:t>6</w:t>
      </w:r>
      <w:r w:rsidRPr="004F6C55">
        <w:rPr>
          <w:rFonts w:ascii="Arial" w:hAnsi="Arial" w:cs="Arial"/>
          <w:sz w:val="22"/>
          <w:szCs w:val="22"/>
        </w:rPr>
        <w:t>, disclosed that it generated assets, incurred liabilities and had an equity in the amounts of P2.606 billion, P3.438 million and P2.603 billion, respectively, as of December 31, 2018</w:t>
      </w:r>
      <w:r w:rsidR="008166F9">
        <w:rPr>
          <w:rFonts w:ascii="Arial" w:hAnsi="Arial" w:cs="Arial"/>
          <w:sz w:val="22"/>
          <w:szCs w:val="22"/>
        </w:rPr>
        <w:t>.</w:t>
      </w:r>
    </w:p>
    <w:p w:rsidR="004501D5" w:rsidRPr="00EF4855" w:rsidRDefault="004501D5" w:rsidP="004501D5">
      <w:pPr>
        <w:spacing w:after="0" w:line="240" w:lineRule="auto"/>
        <w:jc w:val="both"/>
        <w:rPr>
          <w:rFonts w:ascii="Arial" w:hAnsi="Arial" w:cs="Arial"/>
        </w:rPr>
      </w:pPr>
    </w:p>
    <w:p w:rsidR="004501D5" w:rsidRPr="009A2996" w:rsidRDefault="004501D5" w:rsidP="009A2996">
      <w:pPr>
        <w:spacing w:after="0" w:line="240" w:lineRule="auto"/>
        <w:ind w:left="720"/>
        <w:jc w:val="center"/>
        <w:rPr>
          <w:rFonts w:ascii="Arial" w:hAnsi="Arial" w:cs="Arial"/>
          <w:b/>
          <w:sz w:val="20"/>
          <w:szCs w:val="20"/>
        </w:rPr>
      </w:pPr>
      <w:r w:rsidRPr="009A2996">
        <w:rPr>
          <w:rFonts w:ascii="Arial" w:hAnsi="Arial" w:cs="Arial"/>
          <w:b/>
          <w:sz w:val="20"/>
          <w:szCs w:val="20"/>
        </w:rPr>
        <w:t xml:space="preserve">Table </w:t>
      </w:r>
      <w:r w:rsidR="000B3DC2">
        <w:rPr>
          <w:rFonts w:ascii="Arial" w:hAnsi="Arial" w:cs="Arial"/>
          <w:b/>
          <w:sz w:val="20"/>
          <w:szCs w:val="20"/>
        </w:rPr>
        <w:t>6</w:t>
      </w:r>
      <w:r w:rsidRPr="009A2996">
        <w:rPr>
          <w:rFonts w:ascii="Arial" w:hAnsi="Arial" w:cs="Arial"/>
          <w:b/>
          <w:sz w:val="20"/>
          <w:szCs w:val="20"/>
        </w:rPr>
        <w:t xml:space="preserve"> – PCSO Trust Fund Statement of Financial Position</w:t>
      </w:r>
    </w:p>
    <w:p w:rsidR="004501D5" w:rsidRPr="009A2996" w:rsidRDefault="004501D5" w:rsidP="009A2996">
      <w:pPr>
        <w:spacing w:after="0" w:line="240" w:lineRule="auto"/>
        <w:ind w:left="720"/>
        <w:jc w:val="center"/>
        <w:rPr>
          <w:rFonts w:ascii="Arial" w:hAnsi="Arial" w:cs="Arial"/>
          <w:b/>
          <w:sz w:val="20"/>
          <w:szCs w:val="20"/>
        </w:rPr>
      </w:pPr>
      <w:r w:rsidRPr="009A2996">
        <w:rPr>
          <w:rFonts w:ascii="Arial" w:hAnsi="Arial" w:cs="Arial"/>
          <w:b/>
          <w:sz w:val="20"/>
          <w:szCs w:val="20"/>
        </w:rPr>
        <w:t>as of December 31, 2018</w:t>
      </w:r>
    </w:p>
    <w:p w:rsidR="009A2996" w:rsidRPr="000B3DC2" w:rsidRDefault="009A2996" w:rsidP="009A2996">
      <w:pPr>
        <w:spacing w:after="0" w:line="240" w:lineRule="auto"/>
        <w:jc w:val="center"/>
        <w:rPr>
          <w:rFonts w:ascii="Arial" w:hAnsi="Arial" w:cs="Arial"/>
          <w:b/>
          <w:sz w:val="18"/>
          <w:szCs w:val="18"/>
        </w:rPr>
      </w:pPr>
    </w:p>
    <w:tbl>
      <w:tblPr>
        <w:tblStyle w:val="TableGrid"/>
        <w:tblW w:w="7299" w:type="dxa"/>
        <w:tblInd w:w="14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
        <w:gridCol w:w="4595"/>
        <w:gridCol w:w="372"/>
        <w:gridCol w:w="2096"/>
      </w:tblGrid>
      <w:tr w:rsidR="004501D5" w:rsidRPr="00F262EA" w:rsidTr="009A2996">
        <w:tc>
          <w:tcPr>
            <w:tcW w:w="4831" w:type="dxa"/>
            <w:gridSpan w:val="2"/>
            <w:tcBorders>
              <w:top w:val="single" w:sz="4" w:space="0" w:color="auto"/>
              <w:bottom w:val="single" w:sz="4" w:space="0" w:color="auto"/>
            </w:tcBorders>
          </w:tcPr>
          <w:p w:rsidR="004501D5" w:rsidRPr="00753E6F" w:rsidRDefault="004501D5" w:rsidP="009A2996">
            <w:pPr>
              <w:ind w:hanging="64"/>
              <w:jc w:val="both"/>
              <w:rPr>
                <w:rFonts w:ascii="Arial Narrow" w:hAnsi="Arial Narrow" w:cs="Arial"/>
                <w:b/>
                <w:sz w:val="19"/>
                <w:szCs w:val="19"/>
              </w:rPr>
            </w:pPr>
            <w:r w:rsidRPr="00753E6F">
              <w:rPr>
                <w:rFonts w:ascii="Arial Narrow" w:hAnsi="Arial Narrow" w:cs="Arial"/>
                <w:b/>
                <w:sz w:val="19"/>
                <w:szCs w:val="19"/>
              </w:rPr>
              <w:t>Assets</w:t>
            </w:r>
          </w:p>
        </w:tc>
        <w:tc>
          <w:tcPr>
            <w:tcW w:w="372" w:type="dxa"/>
            <w:tcBorders>
              <w:top w:val="single" w:sz="4" w:space="0" w:color="auto"/>
              <w:bottom w:val="single" w:sz="4" w:space="0" w:color="auto"/>
            </w:tcBorders>
          </w:tcPr>
          <w:p w:rsidR="004501D5" w:rsidRPr="00753E6F" w:rsidRDefault="004501D5" w:rsidP="00405B12">
            <w:pPr>
              <w:jc w:val="both"/>
              <w:rPr>
                <w:rFonts w:ascii="Arial Narrow" w:hAnsi="Arial Narrow" w:cs="Arial"/>
                <w:sz w:val="19"/>
                <w:szCs w:val="19"/>
              </w:rPr>
            </w:pPr>
          </w:p>
        </w:tc>
        <w:tc>
          <w:tcPr>
            <w:tcW w:w="2096" w:type="dxa"/>
            <w:tcBorders>
              <w:top w:val="single" w:sz="4" w:space="0" w:color="auto"/>
              <w:bottom w:val="single" w:sz="4" w:space="0" w:color="auto"/>
            </w:tcBorders>
          </w:tcPr>
          <w:p w:rsidR="004501D5" w:rsidRPr="00753E6F" w:rsidRDefault="009A2996" w:rsidP="009A2996">
            <w:pPr>
              <w:ind w:right="-41"/>
              <w:jc w:val="right"/>
              <w:rPr>
                <w:rFonts w:ascii="Arial Narrow" w:hAnsi="Arial Narrow" w:cs="Arial"/>
                <w:b/>
                <w:sz w:val="19"/>
                <w:szCs w:val="19"/>
              </w:rPr>
            </w:pPr>
            <w:r w:rsidRPr="00753E6F">
              <w:rPr>
                <w:rFonts w:ascii="Arial Narrow" w:hAnsi="Arial Narrow" w:cs="Arial"/>
                <w:b/>
                <w:sz w:val="19"/>
                <w:szCs w:val="19"/>
              </w:rPr>
              <w:t>Amount</w:t>
            </w:r>
          </w:p>
        </w:tc>
      </w:tr>
      <w:tr w:rsidR="004501D5" w:rsidRPr="00F262EA" w:rsidTr="009A2996">
        <w:tc>
          <w:tcPr>
            <w:tcW w:w="236" w:type="dxa"/>
            <w:tcBorders>
              <w:top w:val="single" w:sz="4" w:space="0" w:color="auto"/>
            </w:tcBorders>
          </w:tcPr>
          <w:p w:rsidR="004501D5" w:rsidRPr="00753E6F" w:rsidRDefault="004501D5" w:rsidP="00405B12">
            <w:pPr>
              <w:rPr>
                <w:rFonts w:ascii="Arial Narrow" w:hAnsi="Arial Narrow" w:cs="Arial"/>
                <w:sz w:val="19"/>
                <w:szCs w:val="19"/>
              </w:rPr>
            </w:pPr>
          </w:p>
        </w:tc>
        <w:tc>
          <w:tcPr>
            <w:tcW w:w="4595" w:type="dxa"/>
            <w:tcBorders>
              <w:top w:val="single" w:sz="4" w:space="0" w:color="auto"/>
            </w:tcBorders>
          </w:tcPr>
          <w:p w:rsidR="004501D5" w:rsidRPr="00753E6F" w:rsidRDefault="004501D5" w:rsidP="009A2996">
            <w:pPr>
              <w:rPr>
                <w:rFonts w:ascii="Arial Narrow" w:hAnsi="Arial Narrow" w:cs="Arial"/>
                <w:sz w:val="19"/>
                <w:szCs w:val="19"/>
              </w:rPr>
            </w:pPr>
            <w:r w:rsidRPr="00753E6F">
              <w:rPr>
                <w:rFonts w:ascii="Arial Narrow" w:hAnsi="Arial Narrow" w:cs="Arial"/>
                <w:sz w:val="19"/>
                <w:szCs w:val="19"/>
              </w:rPr>
              <w:t>Time Certificate / High Yield Deposits - Own Bank</w:t>
            </w:r>
          </w:p>
        </w:tc>
        <w:tc>
          <w:tcPr>
            <w:tcW w:w="372" w:type="dxa"/>
            <w:tcBorders>
              <w:top w:val="single" w:sz="4" w:space="0" w:color="auto"/>
            </w:tcBorders>
          </w:tcPr>
          <w:p w:rsidR="004501D5" w:rsidRPr="00753E6F" w:rsidRDefault="004501D5" w:rsidP="00405B12">
            <w:pPr>
              <w:rPr>
                <w:rFonts w:ascii="Arial Narrow" w:hAnsi="Arial Narrow" w:cs="Arial"/>
                <w:sz w:val="19"/>
                <w:szCs w:val="19"/>
              </w:rPr>
            </w:pPr>
            <w:r w:rsidRPr="00753E6F">
              <w:rPr>
                <w:rFonts w:ascii="Arial Narrow" w:hAnsi="Arial Narrow" w:cs="Arial"/>
                <w:sz w:val="19"/>
                <w:szCs w:val="19"/>
              </w:rPr>
              <w:t>P</w:t>
            </w:r>
          </w:p>
        </w:tc>
        <w:tc>
          <w:tcPr>
            <w:tcW w:w="2096" w:type="dxa"/>
            <w:tcBorders>
              <w:top w:val="single" w:sz="4" w:space="0" w:color="auto"/>
            </w:tcBorders>
          </w:tcPr>
          <w:p w:rsidR="004501D5" w:rsidRPr="00753E6F" w:rsidRDefault="004501D5" w:rsidP="009A2996">
            <w:pPr>
              <w:ind w:right="-41"/>
              <w:jc w:val="right"/>
              <w:rPr>
                <w:rFonts w:ascii="Arial Narrow" w:hAnsi="Arial Narrow" w:cs="Arial"/>
                <w:sz w:val="19"/>
                <w:szCs w:val="19"/>
              </w:rPr>
            </w:pPr>
            <w:r w:rsidRPr="00753E6F">
              <w:rPr>
                <w:rFonts w:ascii="Arial Narrow" w:hAnsi="Arial Narrow" w:cs="Arial"/>
                <w:sz w:val="19"/>
                <w:szCs w:val="19"/>
              </w:rPr>
              <w:t>66,000,000.00</w:t>
            </w:r>
          </w:p>
        </w:tc>
      </w:tr>
      <w:tr w:rsidR="004501D5" w:rsidRPr="00F262EA" w:rsidTr="009A2996">
        <w:tc>
          <w:tcPr>
            <w:tcW w:w="236" w:type="dxa"/>
            <w:shd w:val="clear" w:color="auto" w:fill="auto"/>
          </w:tcPr>
          <w:p w:rsidR="004501D5" w:rsidRPr="00753E6F" w:rsidRDefault="004501D5" w:rsidP="00405B12">
            <w:pPr>
              <w:rPr>
                <w:rFonts w:ascii="Arial Narrow" w:hAnsi="Arial Narrow" w:cs="Arial"/>
                <w:sz w:val="19"/>
                <w:szCs w:val="19"/>
              </w:rPr>
            </w:pPr>
          </w:p>
        </w:tc>
        <w:tc>
          <w:tcPr>
            <w:tcW w:w="4595" w:type="dxa"/>
          </w:tcPr>
          <w:p w:rsidR="004501D5" w:rsidRPr="00753E6F" w:rsidRDefault="004501D5" w:rsidP="00405B12">
            <w:pPr>
              <w:rPr>
                <w:rFonts w:ascii="Arial Narrow" w:hAnsi="Arial Narrow" w:cs="Arial"/>
                <w:sz w:val="19"/>
                <w:szCs w:val="19"/>
              </w:rPr>
            </w:pPr>
            <w:r w:rsidRPr="00753E6F">
              <w:rPr>
                <w:rFonts w:ascii="Arial Narrow" w:hAnsi="Arial Narrow" w:cs="Arial"/>
                <w:sz w:val="19"/>
                <w:szCs w:val="19"/>
              </w:rPr>
              <w:t>Savings Account - Own Bank</w:t>
            </w:r>
          </w:p>
        </w:tc>
        <w:tc>
          <w:tcPr>
            <w:tcW w:w="372" w:type="dxa"/>
          </w:tcPr>
          <w:p w:rsidR="004501D5" w:rsidRPr="00753E6F" w:rsidRDefault="004501D5" w:rsidP="00405B12">
            <w:pPr>
              <w:rPr>
                <w:rFonts w:ascii="Arial Narrow" w:hAnsi="Arial Narrow" w:cs="Arial"/>
                <w:sz w:val="19"/>
                <w:szCs w:val="19"/>
              </w:rPr>
            </w:pPr>
          </w:p>
        </w:tc>
        <w:tc>
          <w:tcPr>
            <w:tcW w:w="2096" w:type="dxa"/>
          </w:tcPr>
          <w:p w:rsidR="004501D5" w:rsidRPr="00753E6F" w:rsidRDefault="004501D5" w:rsidP="009A2996">
            <w:pPr>
              <w:ind w:right="-41"/>
              <w:jc w:val="right"/>
              <w:rPr>
                <w:rFonts w:ascii="Arial Narrow" w:hAnsi="Arial Narrow" w:cs="Arial"/>
                <w:sz w:val="19"/>
                <w:szCs w:val="19"/>
              </w:rPr>
            </w:pPr>
            <w:r w:rsidRPr="00753E6F">
              <w:rPr>
                <w:rFonts w:ascii="Arial Narrow" w:hAnsi="Arial Narrow" w:cs="Arial"/>
                <w:sz w:val="19"/>
                <w:szCs w:val="19"/>
              </w:rPr>
              <w:t>314,817.66</w:t>
            </w:r>
          </w:p>
        </w:tc>
      </w:tr>
      <w:tr w:rsidR="004501D5" w:rsidRPr="00F262EA" w:rsidTr="009A2996">
        <w:tc>
          <w:tcPr>
            <w:tcW w:w="236" w:type="dxa"/>
          </w:tcPr>
          <w:p w:rsidR="004501D5" w:rsidRPr="00753E6F" w:rsidRDefault="004501D5" w:rsidP="00405B12">
            <w:pPr>
              <w:rPr>
                <w:rFonts w:ascii="Arial Narrow" w:hAnsi="Arial Narrow" w:cs="Arial"/>
                <w:sz w:val="19"/>
                <w:szCs w:val="19"/>
              </w:rPr>
            </w:pPr>
          </w:p>
        </w:tc>
        <w:tc>
          <w:tcPr>
            <w:tcW w:w="4595" w:type="dxa"/>
          </w:tcPr>
          <w:p w:rsidR="004501D5" w:rsidRPr="00753E6F" w:rsidRDefault="004501D5" w:rsidP="00405B12">
            <w:pPr>
              <w:rPr>
                <w:rFonts w:ascii="Arial Narrow" w:hAnsi="Arial Narrow" w:cs="Arial"/>
                <w:sz w:val="19"/>
                <w:szCs w:val="19"/>
              </w:rPr>
            </w:pPr>
            <w:r w:rsidRPr="00753E6F">
              <w:rPr>
                <w:rFonts w:ascii="Arial Narrow" w:hAnsi="Arial Narrow" w:cs="Arial"/>
                <w:sz w:val="19"/>
                <w:szCs w:val="19"/>
              </w:rPr>
              <w:t>Inte`rest Receivable</w:t>
            </w:r>
          </w:p>
        </w:tc>
        <w:tc>
          <w:tcPr>
            <w:tcW w:w="372" w:type="dxa"/>
          </w:tcPr>
          <w:p w:rsidR="004501D5" w:rsidRPr="00753E6F" w:rsidRDefault="004501D5" w:rsidP="00405B12">
            <w:pPr>
              <w:rPr>
                <w:rFonts w:ascii="Arial Narrow" w:hAnsi="Arial Narrow" w:cs="Arial"/>
                <w:sz w:val="19"/>
                <w:szCs w:val="19"/>
              </w:rPr>
            </w:pPr>
          </w:p>
        </w:tc>
        <w:tc>
          <w:tcPr>
            <w:tcW w:w="2096" w:type="dxa"/>
          </w:tcPr>
          <w:p w:rsidR="004501D5" w:rsidRPr="00753E6F" w:rsidRDefault="004501D5" w:rsidP="009A2996">
            <w:pPr>
              <w:ind w:right="-41"/>
              <w:jc w:val="right"/>
              <w:rPr>
                <w:rFonts w:ascii="Arial Narrow" w:hAnsi="Arial Narrow" w:cs="Arial"/>
                <w:sz w:val="19"/>
                <w:szCs w:val="19"/>
              </w:rPr>
            </w:pPr>
            <w:r w:rsidRPr="00753E6F">
              <w:rPr>
                <w:rFonts w:ascii="Arial Narrow" w:hAnsi="Arial Narrow" w:cs="Arial"/>
                <w:sz w:val="19"/>
                <w:szCs w:val="19"/>
              </w:rPr>
              <w:t>16,801,056.19</w:t>
            </w:r>
          </w:p>
        </w:tc>
      </w:tr>
      <w:tr w:rsidR="004501D5" w:rsidRPr="00F262EA" w:rsidTr="009A2996">
        <w:tc>
          <w:tcPr>
            <w:tcW w:w="236" w:type="dxa"/>
          </w:tcPr>
          <w:p w:rsidR="004501D5" w:rsidRPr="00753E6F" w:rsidRDefault="004501D5" w:rsidP="00405B12">
            <w:pPr>
              <w:rPr>
                <w:rFonts w:ascii="Arial Narrow" w:hAnsi="Arial Narrow" w:cs="Arial"/>
                <w:sz w:val="19"/>
                <w:szCs w:val="19"/>
              </w:rPr>
            </w:pPr>
          </w:p>
        </w:tc>
        <w:tc>
          <w:tcPr>
            <w:tcW w:w="4595" w:type="dxa"/>
          </w:tcPr>
          <w:p w:rsidR="004501D5" w:rsidRPr="00753E6F" w:rsidRDefault="004501D5" w:rsidP="00405B12">
            <w:pPr>
              <w:rPr>
                <w:rFonts w:ascii="Arial Narrow" w:hAnsi="Arial Narrow" w:cs="Arial"/>
                <w:sz w:val="19"/>
                <w:szCs w:val="19"/>
              </w:rPr>
            </w:pPr>
            <w:r w:rsidRPr="00753E6F">
              <w:rPr>
                <w:rFonts w:ascii="Arial Narrow" w:hAnsi="Arial Narrow" w:cs="Arial"/>
                <w:sz w:val="19"/>
                <w:szCs w:val="19"/>
              </w:rPr>
              <w:t>Reserve Deposit Account</w:t>
            </w:r>
          </w:p>
        </w:tc>
        <w:tc>
          <w:tcPr>
            <w:tcW w:w="372" w:type="dxa"/>
          </w:tcPr>
          <w:p w:rsidR="004501D5" w:rsidRPr="00753E6F" w:rsidRDefault="004501D5" w:rsidP="00405B12">
            <w:pPr>
              <w:rPr>
                <w:rFonts w:ascii="Arial Narrow" w:hAnsi="Arial Narrow" w:cs="Arial"/>
                <w:sz w:val="19"/>
                <w:szCs w:val="19"/>
              </w:rPr>
            </w:pPr>
          </w:p>
        </w:tc>
        <w:tc>
          <w:tcPr>
            <w:tcW w:w="2096" w:type="dxa"/>
          </w:tcPr>
          <w:p w:rsidR="004501D5" w:rsidRPr="00753E6F" w:rsidRDefault="004501D5" w:rsidP="009A2996">
            <w:pPr>
              <w:ind w:right="-41"/>
              <w:jc w:val="right"/>
              <w:rPr>
                <w:rFonts w:ascii="Arial Narrow" w:hAnsi="Arial Narrow" w:cs="Arial"/>
                <w:sz w:val="19"/>
                <w:szCs w:val="19"/>
              </w:rPr>
            </w:pPr>
            <w:r w:rsidRPr="00753E6F">
              <w:rPr>
                <w:rFonts w:ascii="Arial Narrow" w:hAnsi="Arial Narrow" w:cs="Arial"/>
                <w:sz w:val="19"/>
                <w:szCs w:val="19"/>
              </w:rPr>
              <w:t>443,109,000.00</w:t>
            </w:r>
          </w:p>
        </w:tc>
      </w:tr>
      <w:tr w:rsidR="004501D5" w:rsidRPr="00F262EA" w:rsidTr="009A2996">
        <w:tc>
          <w:tcPr>
            <w:tcW w:w="236" w:type="dxa"/>
          </w:tcPr>
          <w:p w:rsidR="004501D5" w:rsidRPr="00753E6F" w:rsidRDefault="004501D5" w:rsidP="00405B12">
            <w:pPr>
              <w:rPr>
                <w:rFonts w:ascii="Arial Narrow" w:hAnsi="Arial Narrow" w:cs="Arial"/>
                <w:sz w:val="19"/>
                <w:szCs w:val="19"/>
              </w:rPr>
            </w:pPr>
          </w:p>
        </w:tc>
        <w:tc>
          <w:tcPr>
            <w:tcW w:w="4595" w:type="dxa"/>
          </w:tcPr>
          <w:p w:rsidR="004501D5" w:rsidRPr="00753E6F" w:rsidRDefault="004501D5" w:rsidP="00405B12">
            <w:pPr>
              <w:rPr>
                <w:rFonts w:ascii="Arial Narrow" w:hAnsi="Arial Narrow" w:cs="Arial"/>
                <w:sz w:val="19"/>
                <w:szCs w:val="19"/>
              </w:rPr>
            </w:pPr>
            <w:r w:rsidRPr="00753E6F">
              <w:rPr>
                <w:rFonts w:ascii="Arial Narrow" w:hAnsi="Arial Narrow" w:cs="Arial"/>
                <w:sz w:val="19"/>
                <w:szCs w:val="19"/>
              </w:rPr>
              <w:t>Financial Assets at FVOCI</w:t>
            </w:r>
          </w:p>
        </w:tc>
        <w:tc>
          <w:tcPr>
            <w:tcW w:w="372" w:type="dxa"/>
          </w:tcPr>
          <w:p w:rsidR="004501D5" w:rsidRPr="00753E6F" w:rsidRDefault="004501D5" w:rsidP="00405B12">
            <w:pPr>
              <w:rPr>
                <w:rFonts w:ascii="Arial Narrow" w:hAnsi="Arial Narrow" w:cs="Arial"/>
                <w:sz w:val="19"/>
                <w:szCs w:val="19"/>
              </w:rPr>
            </w:pPr>
          </w:p>
        </w:tc>
        <w:tc>
          <w:tcPr>
            <w:tcW w:w="2096" w:type="dxa"/>
          </w:tcPr>
          <w:p w:rsidR="004501D5" w:rsidRPr="00753E6F" w:rsidRDefault="004501D5" w:rsidP="009A2996">
            <w:pPr>
              <w:ind w:right="-41"/>
              <w:jc w:val="right"/>
              <w:rPr>
                <w:rFonts w:ascii="Arial Narrow" w:hAnsi="Arial Narrow" w:cs="Arial"/>
                <w:sz w:val="19"/>
                <w:szCs w:val="19"/>
              </w:rPr>
            </w:pPr>
            <w:r w:rsidRPr="00753E6F">
              <w:rPr>
                <w:rFonts w:ascii="Arial Narrow" w:hAnsi="Arial Narrow" w:cs="Arial"/>
                <w:sz w:val="19"/>
                <w:szCs w:val="19"/>
              </w:rPr>
              <w:t>2,078,177,379.26</w:t>
            </w:r>
          </w:p>
        </w:tc>
      </w:tr>
      <w:tr w:rsidR="004501D5" w:rsidRPr="00F262EA" w:rsidTr="009A2996">
        <w:tc>
          <w:tcPr>
            <w:tcW w:w="236" w:type="dxa"/>
            <w:tcBorders>
              <w:bottom w:val="single" w:sz="4" w:space="0" w:color="auto"/>
            </w:tcBorders>
          </w:tcPr>
          <w:p w:rsidR="004501D5" w:rsidRPr="00753E6F" w:rsidRDefault="004501D5" w:rsidP="00405B12">
            <w:pPr>
              <w:rPr>
                <w:rFonts w:ascii="Arial Narrow" w:hAnsi="Arial Narrow" w:cs="Arial"/>
                <w:sz w:val="19"/>
                <w:szCs w:val="19"/>
              </w:rPr>
            </w:pPr>
          </w:p>
        </w:tc>
        <w:tc>
          <w:tcPr>
            <w:tcW w:w="4595" w:type="dxa"/>
            <w:tcBorders>
              <w:bottom w:val="single" w:sz="4" w:space="0" w:color="auto"/>
            </w:tcBorders>
          </w:tcPr>
          <w:p w:rsidR="004501D5" w:rsidRPr="00753E6F" w:rsidRDefault="004501D5" w:rsidP="00405B12">
            <w:pPr>
              <w:rPr>
                <w:rFonts w:ascii="Arial Narrow" w:hAnsi="Arial Narrow" w:cs="Arial"/>
                <w:sz w:val="19"/>
                <w:szCs w:val="19"/>
              </w:rPr>
            </w:pPr>
            <w:r w:rsidRPr="00753E6F">
              <w:rPr>
                <w:rFonts w:ascii="Arial Narrow" w:hAnsi="Arial Narrow" w:cs="Arial"/>
                <w:sz w:val="19"/>
                <w:szCs w:val="19"/>
              </w:rPr>
              <w:t>Prepaid Tax, Inv. In Treasury bills</w:t>
            </w:r>
          </w:p>
        </w:tc>
        <w:tc>
          <w:tcPr>
            <w:tcW w:w="372" w:type="dxa"/>
            <w:tcBorders>
              <w:bottom w:val="single" w:sz="4" w:space="0" w:color="auto"/>
            </w:tcBorders>
          </w:tcPr>
          <w:p w:rsidR="004501D5" w:rsidRPr="00753E6F" w:rsidRDefault="004501D5" w:rsidP="00405B12">
            <w:pPr>
              <w:rPr>
                <w:rFonts w:ascii="Arial Narrow" w:hAnsi="Arial Narrow" w:cs="Arial"/>
                <w:sz w:val="19"/>
                <w:szCs w:val="19"/>
              </w:rPr>
            </w:pPr>
          </w:p>
        </w:tc>
        <w:tc>
          <w:tcPr>
            <w:tcW w:w="2096" w:type="dxa"/>
            <w:tcBorders>
              <w:bottom w:val="single" w:sz="4" w:space="0" w:color="auto"/>
            </w:tcBorders>
          </w:tcPr>
          <w:p w:rsidR="004501D5" w:rsidRPr="00753E6F" w:rsidRDefault="004501D5" w:rsidP="009A2996">
            <w:pPr>
              <w:ind w:right="-41"/>
              <w:jc w:val="right"/>
              <w:rPr>
                <w:rFonts w:ascii="Arial Narrow" w:hAnsi="Arial Narrow" w:cs="Arial"/>
                <w:sz w:val="19"/>
                <w:szCs w:val="19"/>
              </w:rPr>
            </w:pPr>
            <w:r w:rsidRPr="00753E6F">
              <w:rPr>
                <w:rFonts w:ascii="Arial Narrow" w:hAnsi="Arial Narrow" w:cs="Arial"/>
                <w:sz w:val="19"/>
                <w:szCs w:val="19"/>
              </w:rPr>
              <w:t>1,548,754.60</w:t>
            </w:r>
          </w:p>
        </w:tc>
      </w:tr>
      <w:tr w:rsidR="004501D5" w:rsidRPr="00F262EA" w:rsidTr="009A2996">
        <w:trPr>
          <w:trHeight w:val="188"/>
        </w:trPr>
        <w:tc>
          <w:tcPr>
            <w:tcW w:w="236" w:type="dxa"/>
            <w:tcBorders>
              <w:bottom w:val="single" w:sz="4" w:space="0" w:color="auto"/>
            </w:tcBorders>
          </w:tcPr>
          <w:p w:rsidR="004501D5" w:rsidRPr="00753E6F" w:rsidRDefault="004501D5" w:rsidP="00405B12">
            <w:pPr>
              <w:rPr>
                <w:rFonts w:ascii="Arial Narrow" w:hAnsi="Arial Narrow" w:cs="Arial"/>
                <w:sz w:val="19"/>
                <w:szCs w:val="19"/>
              </w:rPr>
            </w:pPr>
          </w:p>
        </w:tc>
        <w:tc>
          <w:tcPr>
            <w:tcW w:w="4595" w:type="dxa"/>
            <w:tcBorders>
              <w:bottom w:val="single" w:sz="4" w:space="0" w:color="auto"/>
            </w:tcBorders>
          </w:tcPr>
          <w:p w:rsidR="004501D5" w:rsidRPr="00753E6F" w:rsidRDefault="004501D5" w:rsidP="009A2996">
            <w:pPr>
              <w:rPr>
                <w:rFonts w:ascii="Arial Narrow" w:hAnsi="Arial Narrow" w:cs="Arial"/>
                <w:b/>
                <w:sz w:val="19"/>
                <w:szCs w:val="19"/>
              </w:rPr>
            </w:pPr>
            <w:r w:rsidRPr="00753E6F">
              <w:rPr>
                <w:rFonts w:ascii="Arial Narrow" w:hAnsi="Arial Narrow" w:cs="Arial"/>
                <w:b/>
                <w:sz w:val="19"/>
                <w:szCs w:val="19"/>
              </w:rPr>
              <w:t>Total Assets</w:t>
            </w:r>
          </w:p>
        </w:tc>
        <w:tc>
          <w:tcPr>
            <w:tcW w:w="372" w:type="dxa"/>
            <w:tcBorders>
              <w:bottom w:val="single" w:sz="4" w:space="0" w:color="auto"/>
            </w:tcBorders>
          </w:tcPr>
          <w:p w:rsidR="004501D5" w:rsidRPr="00753E6F" w:rsidRDefault="004501D5" w:rsidP="00405B12">
            <w:pPr>
              <w:rPr>
                <w:rFonts w:ascii="Arial Narrow" w:hAnsi="Arial Narrow" w:cs="Arial"/>
                <w:sz w:val="19"/>
                <w:szCs w:val="19"/>
              </w:rPr>
            </w:pPr>
          </w:p>
        </w:tc>
        <w:tc>
          <w:tcPr>
            <w:tcW w:w="2096" w:type="dxa"/>
            <w:tcBorders>
              <w:bottom w:val="single" w:sz="4" w:space="0" w:color="auto"/>
            </w:tcBorders>
          </w:tcPr>
          <w:p w:rsidR="004501D5" w:rsidRPr="00753E6F" w:rsidRDefault="00CD62E3" w:rsidP="009A2996">
            <w:pPr>
              <w:ind w:right="-41"/>
              <w:jc w:val="right"/>
              <w:rPr>
                <w:rFonts w:ascii="Arial Narrow" w:hAnsi="Arial Narrow" w:cs="Arial"/>
                <w:b/>
                <w:sz w:val="19"/>
                <w:szCs w:val="19"/>
              </w:rPr>
            </w:pPr>
            <w:r w:rsidRPr="00753E6F">
              <w:rPr>
                <w:rFonts w:ascii="Arial Narrow" w:hAnsi="Arial Narrow" w:cs="Arial"/>
                <w:b/>
                <w:sz w:val="19"/>
                <w:szCs w:val="19"/>
              </w:rPr>
              <w:fldChar w:fldCharType="begin"/>
            </w:r>
            <w:r w:rsidR="004501D5" w:rsidRPr="00753E6F">
              <w:rPr>
                <w:rFonts w:ascii="Arial Narrow" w:hAnsi="Arial Narrow" w:cs="Arial"/>
                <w:b/>
                <w:sz w:val="19"/>
                <w:szCs w:val="19"/>
              </w:rPr>
              <w:instrText xml:space="preserve"> =SUM(ABOVE) </w:instrText>
            </w:r>
            <w:r w:rsidRPr="00753E6F">
              <w:rPr>
                <w:rFonts w:ascii="Arial Narrow" w:hAnsi="Arial Narrow" w:cs="Arial"/>
                <w:b/>
                <w:sz w:val="19"/>
                <w:szCs w:val="19"/>
              </w:rPr>
              <w:fldChar w:fldCharType="separate"/>
            </w:r>
            <w:r w:rsidR="004501D5" w:rsidRPr="00753E6F">
              <w:rPr>
                <w:rFonts w:ascii="Arial Narrow" w:hAnsi="Arial Narrow" w:cs="Arial"/>
                <w:b/>
                <w:noProof/>
                <w:sz w:val="19"/>
                <w:szCs w:val="19"/>
              </w:rPr>
              <w:t>2,605,951,007.71</w:t>
            </w:r>
            <w:r w:rsidRPr="00753E6F">
              <w:rPr>
                <w:rFonts w:ascii="Arial Narrow" w:hAnsi="Arial Narrow" w:cs="Arial"/>
                <w:b/>
                <w:sz w:val="19"/>
                <w:szCs w:val="19"/>
              </w:rPr>
              <w:fldChar w:fldCharType="end"/>
            </w:r>
          </w:p>
        </w:tc>
      </w:tr>
      <w:tr w:rsidR="004501D5" w:rsidRPr="00F262EA" w:rsidTr="009A2996">
        <w:tc>
          <w:tcPr>
            <w:tcW w:w="4831" w:type="dxa"/>
            <w:gridSpan w:val="2"/>
            <w:tcBorders>
              <w:top w:val="single" w:sz="4" w:space="0" w:color="auto"/>
              <w:bottom w:val="single" w:sz="4" w:space="0" w:color="auto"/>
            </w:tcBorders>
          </w:tcPr>
          <w:p w:rsidR="004501D5" w:rsidRPr="00753E6F" w:rsidRDefault="004501D5" w:rsidP="009A2996">
            <w:pPr>
              <w:ind w:hanging="64"/>
              <w:rPr>
                <w:rFonts w:ascii="Arial Narrow" w:hAnsi="Arial Narrow" w:cs="Arial"/>
                <w:b/>
                <w:sz w:val="19"/>
                <w:szCs w:val="19"/>
              </w:rPr>
            </w:pPr>
            <w:r w:rsidRPr="00753E6F">
              <w:rPr>
                <w:rFonts w:ascii="Arial Narrow" w:hAnsi="Arial Narrow" w:cs="Arial"/>
                <w:b/>
                <w:sz w:val="19"/>
                <w:szCs w:val="19"/>
              </w:rPr>
              <w:t>Liabilities</w:t>
            </w:r>
          </w:p>
        </w:tc>
        <w:tc>
          <w:tcPr>
            <w:tcW w:w="372" w:type="dxa"/>
            <w:tcBorders>
              <w:top w:val="single" w:sz="4" w:space="0" w:color="auto"/>
              <w:bottom w:val="single" w:sz="4" w:space="0" w:color="auto"/>
            </w:tcBorders>
          </w:tcPr>
          <w:p w:rsidR="004501D5" w:rsidRPr="00753E6F" w:rsidRDefault="004501D5" w:rsidP="00405B12">
            <w:pPr>
              <w:rPr>
                <w:rFonts w:ascii="Arial Narrow" w:hAnsi="Arial Narrow" w:cs="Arial"/>
                <w:sz w:val="19"/>
                <w:szCs w:val="19"/>
              </w:rPr>
            </w:pPr>
          </w:p>
        </w:tc>
        <w:tc>
          <w:tcPr>
            <w:tcW w:w="2096" w:type="dxa"/>
            <w:tcBorders>
              <w:top w:val="single" w:sz="4" w:space="0" w:color="auto"/>
              <w:bottom w:val="single" w:sz="4" w:space="0" w:color="auto"/>
            </w:tcBorders>
          </w:tcPr>
          <w:p w:rsidR="004501D5" w:rsidRPr="00753E6F" w:rsidRDefault="004501D5" w:rsidP="009A2996">
            <w:pPr>
              <w:ind w:right="-41"/>
              <w:jc w:val="right"/>
              <w:rPr>
                <w:rFonts w:ascii="Arial Narrow" w:hAnsi="Arial Narrow" w:cs="Arial"/>
                <w:sz w:val="19"/>
                <w:szCs w:val="19"/>
              </w:rPr>
            </w:pPr>
          </w:p>
        </w:tc>
      </w:tr>
      <w:tr w:rsidR="004501D5" w:rsidRPr="00F262EA" w:rsidTr="009A2996">
        <w:tc>
          <w:tcPr>
            <w:tcW w:w="236" w:type="dxa"/>
            <w:tcBorders>
              <w:top w:val="single" w:sz="4" w:space="0" w:color="auto"/>
            </w:tcBorders>
          </w:tcPr>
          <w:p w:rsidR="004501D5" w:rsidRPr="00753E6F" w:rsidRDefault="004501D5" w:rsidP="00405B12">
            <w:pPr>
              <w:rPr>
                <w:rFonts w:ascii="Arial Narrow" w:hAnsi="Arial Narrow" w:cs="Arial"/>
                <w:sz w:val="19"/>
                <w:szCs w:val="19"/>
              </w:rPr>
            </w:pPr>
          </w:p>
        </w:tc>
        <w:tc>
          <w:tcPr>
            <w:tcW w:w="4595" w:type="dxa"/>
            <w:tcBorders>
              <w:top w:val="single" w:sz="4" w:space="0" w:color="auto"/>
            </w:tcBorders>
          </w:tcPr>
          <w:p w:rsidR="004501D5" w:rsidRPr="00753E6F" w:rsidRDefault="004501D5" w:rsidP="00405B12">
            <w:pPr>
              <w:rPr>
                <w:rFonts w:ascii="Arial Narrow" w:hAnsi="Arial Narrow" w:cs="Arial"/>
                <w:sz w:val="19"/>
                <w:szCs w:val="19"/>
              </w:rPr>
            </w:pPr>
            <w:r w:rsidRPr="00753E6F">
              <w:rPr>
                <w:rFonts w:ascii="Arial Narrow" w:hAnsi="Arial Narrow" w:cs="Arial"/>
                <w:sz w:val="19"/>
                <w:szCs w:val="19"/>
              </w:rPr>
              <w:t>Withholding Tax Payable</w:t>
            </w:r>
          </w:p>
        </w:tc>
        <w:tc>
          <w:tcPr>
            <w:tcW w:w="372" w:type="dxa"/>
            <w:tcBorders>
              <w:top w:val="single" w:sz="4" w:space="0" w:color="auto"/>
            </w:tcBorders>
          </w:tcPr>
          <w:p w:rsidR="004501D5" w:rsidRPr="00753E6F" w:rsidRDefault="004501D5" w:rsidP="00405B12">
            <w:pPr>
              <w:rPr>
                <w:rFonts w:ascii="Arial Narrow" w:hAnsi="Arial Narrow" w:cs="Arial"/>
                <w:sz w:val="19"/>
                <w:szCs w:val="19"/>
              </w:rPr>
            </w:pPr>
          </w:p>
        </w:tc>
        <w:tc>
          <w:tcPr>
            <w:tcW w:w="2096" w:type="dxa"/>
            <w:tcBorders>
              <w:top w:val="single" w:sz="4" w:space="0" w:color="auto"/>
            </w:tcBorders>
          </w:tcPr>
          <w:p w:rsidR="004501D5" w:rsidRPr="00753E6F" w:rsidRDefault="004501D5" w:rsidP="009A2996">
            <w:pPr>
              <w:ind w:right="-41"/>
              <w:jc w:val="right"/>
              <w:rPr>
                <w:rFonts w:ascii="Arial Narrow" w:hAnsi="Arial Narrow" w:cs="Arial"/>
                <w:sz w:val="19"/>
                <w:szCs w:val="19"/>
              </w:rPr>
            </w:pPr>
            <w:r w:rsidRPr="00753E6F">
              <w:rPr>
                <w:rFonts w:ascii="Arial Narrow" w:hAnsi="Arial Narrow" w:cs="Arial"/>
                <w:sz w:val="19"/>
                <w:szCs w:val="19"/>
              </w:rPr>
              <w:t>3,360,211.24</w:t>
            </w:r>
          </w:p>
        </w:tc>
      </w:tr>
      <w:tr w:rsidR="004501D5" w:rsidRPr="00F262EA" w:rsidTr="009A2996">
        <w:tc>
          <w:tcPr>
            <w:tcW w:w="236" w:type="dxa"/>
            <w:tcBorders>
              <w:bottom w:val="single" w:sz="4" w:space="0" w:color="auto"/>
            </w:tcBorders>
          </w:tcPr>
          <w:p w:rsidR="004501D5" w:rsidRPr="00753E6F" w:rsidRDefault="004501D5" w:rsidP="00405B12">
            <w:pPr>
              <w:rPr>
                <w:rFonts w:ascii="Arial Narrow" w:hAnsi="Arial Narrow" w:cs="Arial"/>
                <w:sz w:val="19"/>
                <w:szCs w:val="19"/>
              </w:rPr>
            </w:pPr>
          </w:p>
        </w:tc>
        <w:tc>
          <w:tcPr>
            <w:tcW w:w="4595" w:type="dxa"/>
            <w:tcBorders>
              <w:bottom w:val="single" w:sz="4" w:space="0" w:color="auto"/>
            </w:tcBorders>
          </w:tcPr>
          <w:p w:rsidR="004501D5" w:rsidRPr="00753E6F" w:rsidRDefault="004501D5" w:rsidP="00405B12">
            <w:pPr>
              <w:rPr>
                <w:rFonts w:ascii="Arial Narrow" w:hAnsi="Arial Narrow" w:cs="Arial"/>
                <w:sz w:val="19"/>
                <w:szCs w:val="19"/>
              </w:rPr>
            </w:pPr>
            <w:r w:rsidRPr="00753E6F">
              <w:rPr>
                <w:rFonts w:ascii="Arial Narrow" w:hAnsi="Arial Narrow" w:cs="Arial"/>
                <w:sz w:val="19"/>
                <w:szCs w:val="19"/>
              </w:rPr>
              <w:t>Trustee Fee Payable</w:t>
            </w:r>
          </w:p>
        </w:tc>
        <w:tc>
          <w:tcPr>
            <w:tcW w:w="372" w:type="dxa"/>
            <w:tcBorders>
              <w:bottom w:val="single" w:sz="4" w:space="0" w:color="auto"/>
            </w:tcBorders>
          </w:tcPr>
          <w:p w:rsidR="004501D5" w:rsidRPr="00753E6F" w:rsidRDefault="004501D5" w:rsidP="00405B12">
            <w:pPr>
              <w:rPr>
                <w:rFonts w:ascii="Arial Narrow" w:hAnsi="Arial Narrow" w:cs="Arial"/>
                <w:sz w:val="19"/>
                <w:szCs w:val="19"/>
              </w:rPr>
            </w:pPr>
          </w:p>
        </w:tc>
        <w:tc>
          <w:tcPr>
            <w:tcW w:w="2096" w:type="dxa"/>
            <w:tcBorders>
              <w:bottom w:val="single" w:sz="4" w:space="0" w:color="auto"/>
            </w:tcBorders>
          </w:tcPr>
          <w:p w:rsidR="004501D5" w:rsidRPr="00753E6F" w:rsidRDefault="004501D5" w:rsidP="009A2996">
            <w:pPr>
              <w:ind w:right="-41"/>
              <w:jc w:val="right"/>
              <w:rPr>
                <w:rFonts w:ascii="Arial Narrow" w:hAnsi="Arial Narrow" w:cs="Arial"/>
                <w:sz w:val="19"/>
                <w:szCs w:val="19"/>
              </w:rPr>
            </w:pPr>
            <w:r w:rsidRPr="00753E6F">
              <w:rPr>
                <w:rFonts w:ascii="Arial Narrow" w:hAnsi="Arial Narrow" w:cs="Arial"/>
                <w:sz w:val="19"/>
                <w:szCs w:val="19"/>
              </w:rPr>
              <w:t>78,092.66</w:t>
            </w:r>
          </w:p>
        </w:tc>
      </w:tr>
      <w:tr w:rsidR="004501D5" w:rsidRPr="00F262EA" w:rsidTr="009A2996">
        <w:tc>
          <w:tcPr>
            <w:tcW w:w="236" w:type="dxa"/>
            <w:tcBorders>
              <w:bottom w:val="single" w:sz="4" w:space="0" w:color="auto"/>
            </w:tcBorders>
          </w:tcPr>
          <w:p w:rsidR="004501D5" w:rsidRPr="00753E6F" w:rsidRDefault="004501D5" w:rsidP="00405B12">
            <w:pPr>
              <w:rPr>
                <w:rFonts w:ascii="Arial Narrow" w:hAnsi="Arial Narrow" w:cs="Arial"/>
                <w:sz w:val="19"/>
                <w:szCs w:val="19"/>
              </w:rPr>
            </w:pPr>
          </w:p>
        </w:tc>
        <w:tc>
          <w:tcPr>
            <w:tcW w:w="4595" w:type="dxa"/>
            <w:tcBorders>
              <w:bottom w:val="single" w:sz="4" w:space="0" w:color="auto"/>
            </w:tcBorders>
          </w:tcPr>
          <w:p w:rsidR="004501D5" w:rsidRPr="00753E6F" w:rsidRDefault="004501D5" w:rsidP="00405B12">
            <w:pPr>
              <w:rPr>
                <w:rFonts w:ascii="Arial Narrow" w:hAnsi="Arial Narrow" w:cs="Arial"/>
                <w:b/>
                <w:sz w:val="19"/>
                <w:szCs w:val="19"/>
              </w:rPr>
            </w:pPr>
            <w:r w:rsidRPr="00753E6F">
              <w:rPr>
                <w:rFonts w:ascii="Arial Narrow" w:hAnsi="Arial Narrow" w:cs="Arial"/>
                <w:b/>
                <w:sz w:val="19"/>
                <w:szCs w:val="19"/>
              </w:rPr>
              <w:t>Total Liabilities</w:t>
            </w:r>
          </w:p>
        </w:tc>
        <w:tc>
          <w:tcPr>
            <w:tcW w:w="372" w:type="dxa"/>
            <w:tcBorders>
              <w:bottom w:val="single" w:sz="4" w:space="0" w:color="auto"/>
            </w:tcBorders>
          </w:tcPr>
          <w:p w:rsidR="004501D5" w:rsidRPr="00753E6F" w:rsidRDefault="004501D5" w:rsidP="00405B12">
            <w:pPr>
              <w:rPr>
                <w:rFonts w:ascii="Arial Narrow" w:hAnsi="Arial Narrow" w:cs="Arial"/>
                <w:b/>
                <w:sz w:val="19"/>
                <w:szCs w:val="19"/>
              </w:rPr>
            </w:pPr>
          </w:p>
        </w:tc>
        <w:tc>
          <w:tcPr>
            <w:tcW w:w="2096" w:type="dxa"/>
            <w:tcBorders>
              <w:bottom w:val="single" w:sz="4" w:space="0" w:color="auto"/>
            </w:tcBorders>
          </w:tcPr>
          <w:p w:rsidR="004501D5" w:rsidRPr="00753E6F" w:rsidRDefault="00CD62E3" w:rsidP="009A2996">
            <w:pPr>
              <w:ind w:right="-41"/>
              <w:jc w:val="right"/>
              <w:rPr>
                <w:rFonts w:ascii="Arial Narrow" w:hAnsi="Arial Narrow" w:cs="Arial"/>
                <w:b/>
                <w:sz w:val="19"/>
                <w:szCs w:val="19"/>
              </w:rPr>
            </w:pPr>
            <w:r w:rsidRPr="00753E6F">
              <w:rPr>
                <w:rFonts w:ascii="Arial Narrow" w:hAnsi="Arial Narrow" w:cs="Arial"/>
                <w:b/>
                <w:sz w:val="19"/>
                <w:szCs w:val="19"/>
              </w:rPr>
              <w:fldChar w:fldCharType="begin"/>
            </w:r>
            <w:r w:rsidR="004501D5" w:rsidRPr="00753E6F">
              <w:rPr>
                <w:rFonts w:ascii="Arial Narrow" w:hAnsi="Arial Narrow" w:cs="Arial"/>
                <w:b/>
                <w:sz w:val="19"/>
                <w:szCs w:val="19"/>
              </w:rPr>
              <w:instrText xml:space="preserve"> =SUM(ABOVE) </w:instrText>
            </w:r>
            <w:r w:rsidRPr="00753E6F">
              <w:rPr>
                <w:rFonts w:ascii="Arial Narrow" w:hAnsi="Arial Narrow" w:cs="Arial"/>
                <w:b/>
                <w:sz w:val="19"/>
                <w:szCs w:val="19"/>
              </w:rPr>
              <w:fldChar w:fldCharType="separate"/>
            </w:r>
            <w:r w:rsidR="004501D5" w:rsidRPr="00753E6F">
              <w:rPr>
                <w:rFonts w:ascii="Arial Narrow" w:hAnsi="Arial Narrow" w:cs="Arial"/>
                <w:b/>
                <w:noProof/>
                <w:sz w:val="19"/>
                <w:szCs w:val="19"/>
              </w:rPr>
              <w:t>3,438,303.9</w:t>
            </w:r>
            <w:r w:rsidRPr="00753E6F">
              <w:rPr>
                <w:rFonts w:ascii="Arial Narrow" w:hAnsi="Arial Narrow" w:cs="Arial"/>
                <w:b/>
                <w:sz w:val="19"/>
                <w:szCs w:val="19"/>
              </w:rPr>
              <w:fldChar w:fldCharType="end"/>
            </w:r>
            <w:r w:rsidR="004501D5" w:rsidRPr="00753E6F">
              <w:rPr>
                <w:rFonts w:ascii="Arial Narrow" w:hAnsi="Arial Narrow" w:cs="Arial"/>
                <w:b/>
                <w:sz w:val="19"/>
                <w:szCs w:val="19"/>
                <w:lang w:val="en-PH"/>
              </w:rPr>
              <w:t>0</w:t>
            </w:r>
          </w:p>
        </w:tc>
      </w:tr>
      <w:tr w:rsidR="004501D5" w:rsidRPr="00F262EA" w:rsidTr="009A2996">
        <w:tc>
          <w:tcPr>
            <w:tcW w:w="4831" w:type="dxa"/>
            <w:gridSpan w:val="2"/>
            <w:tcBorders>
              <w:top w:val="single" w:sz="4" w:space="0" w:color="auto"/>
              <w:bottom w:val="single" w:sz="4" w:space="0" w:color="auto"/>
            </w:tcBorders>
          </w:tcPr>
          <w:p w:rsidR="004501D5" w:rsidRPr="00753E6F" w:rsidRDefault="004501D5" w:rsidP="009A2996">
            <w:pPr>
              <w:ind w:hanging="64"/>
              <w:rPr>
                <w:rFonts w:ascii="Arial Narrow" w:hAnsi="Arial Narrow" w:cs="Arial"/>
                <w:b/>
                <w:sz w:val="19"/>
                <w:szCs w:val="19"/>
              </w:rPr>
            </w:pPr>
            <w:r w:rsidRPr="00753E6F">
              <w:rPr>
                <w:rFonts w:ascii="Arial Narrow" w:hAnsi="Arial Narrow" w:cs="Arial"/>
                <w:b/>
                <w:sz w:val="19"/>
                <w:szCs w:val="19"/>
              </w:rPr>
              <w:t>Equity</w:t>
            </w:r>
          </w:p>
        </w:tc>
        <w:tc>
          <w:tcPr>
            <w:tcW w:w="372" w:type="dxa"/>
            <w:tcBorders>
              <w:top w:val="single" w:sz="4" w:space="0" w:color="auto"/>
              <w:bottom w:val="single" w:sz="4" w:space="0" w:color="auto"/>
            </w:tcBorders>
          </w:tcPr>
          <w:p w:rsidR="004501D5" w:rsidRPr="00753E6F" w:rsidRDefault="004501D5" w:rsidP="00405B12">
            <w:pPr>
              <w:rPr>
                <w:rFonts w:ascii="Arial Narrow" w:hAnsi="Arial Narrow" w:cs="Arial"/>
                <w:b/>
                <w:sz w:val="19"/>
                <w:szCs w:val="19"/>
              </w:rPr>
            </w:pPr>
          </w:p>
        </w:tc>
        <w:tc>
          <w:tcPr>
            <w:tcW w:w="2096" w:type="dxa"/>
            <w:tcBorders>
              <w:top w:val="single" w:sz="4" w:space="0" w:color="auto"/>
              <w:bottom w:val="single" w:sz="4" w:space="0" w:color="auto"/>
            </w:tcBorders>
          </w:tcPr>
          <w:p w:rsidR="004501D5" w:rsidRPr="00753E6F" w:rsidRDefault="004501D5" w:rsidP="009A2996">
            <w:pPr>
              <w:ind w:right="-41"/>
              <w:jc w:val="right"/>
              <w:rPr>
                <w:rFonts w:ascii="Arial Narrow" w:hAnsi="Arial Narrow" w:cs="Arial"/>
                <w:b/>
                <w:sz w:val="19"/>
                <w:szCs w:val="19"/>
              </w:rPr>
            </w:pPr>
          </w:p>
        </w:tc>
      </w:tr>
      <w:tr w:rsidR="004501D5" w:rsidRPr="00F262EA" w:rsidTr="009A2996">
        <w:tc>
          <w:tcPr>
            <w:tcW w:w="236" w:type="dxa"/>
            <w:tcBorders>
              <w:top w:val="single" w:sz="4" w:space="0" w:color="auto"/>
            </w:tcBorders>
          </w:tcPr>
          <w:p w:rsidR="004501D5" w:rsidRPr="00753E6F" w:rsidRDefault="004501D5" w:rsidP="00405B12">
            <w:pPr>
              <w:rPr>
                <w:rFonts w:ascii="Arial Narrow" w:hAnsi="Arial Narrow" w:cs="Arial"/>
                <w:sz w:val="19"/>
                <w:szCs w:val="19"/>
              </w:rPr>
            </w:pPr>
          </w:p>
        </w:tc>
        <w:tc>
          <w:tcPr>
            <w:tcW w:w="4595" w:type="dxa"/>
            <w:tcBorders>
              <w:top w:val="single" w:sz="4" w:space="0" w:color="auto"/>
            </w:tcBorders>
          </w:tcPr>
          <w:p w:rsidR="004501D5" w:rsidRPr="00753E6F" w:rsidRDefault="004501D5" w:rsidP="00405B12">
            <w:pPr>
              <w:rPr>
                <w:rFonts w:ascii="Arial Narrow" w:hAnsi="Arial Narrow" w:cs="Arial"/>
                <w:sz w:val="19"/>
                <w:szCs w:val="19"/>
              </w:rPr>
            </w:pPr>
            <w:r w:rsidRPr="00753E6F">
              <w:rPr>
                <w:rFonts w:ascii="Arial Narrow" w:hAnsi="Arial Narrow" w:cs="Arial"/>
                <w:sz w:val="19"/>
                <w:szCs w:val="19"/>
              </w:rPr>
              <w:t>Principal</w:t>
            </w:r>
          </w:p>
        </w:tc>
        <w:tc>
          <w:tcPr>
            <w:tcW w:w="372" w:type="dxa"/>
            <w:tcBorders>
              <w:top w:val="single" w:sz="4" w:space="0" w:color="auto"/>
            </w:tcBorders>
          </w:tcPr>
          <w:p w:rsidR="004501D5" w:rsidRPr="00753E6F" w:rsidRDefault="004501D5" w:rsidP="00405B12">
            <w:pPr>
              <w:rPr>
                <w:rFonts w:ascii="Arial Narrow" w:hAnsi="Arial Narrow" w:cs="Arial"/>
                <w:sz w:val="19"/>
                <w:szCs w:val="19"/>
              </w:rPr>
            </w:pPr>
          </w:p>
        </w:tc>
        <w:tc>
          <w:tcPr>
            <w:tcW w:w="2096" w:type="dxa"/>
            <w:tcBorders>
              <w:top w:val="single" w:sz="4" w:space="0" w:color="auto"/>
            </w:tcBorders>
          </w:tcPr>
          <w:p w:rsidR="004501D5" w:rsidRPr="00753E6F" w:rsidRDefault="004501D5" w:rsidP="009A2996">
            <w:pPr>
              <w:ind w:right="-41"/>
              <w:jc w:val="right"/>
              <w:rPr>
                <w:rFonts w:ascii="Arial Narrow" w:hAnsi="Arial Narrow" w:cs="Arial"/>
                <w:sz w:val="19"/>
                <w:szCs w:val="19"/>
              </w:rPr>
            </w:pPr>
            <w:r w:rsidRPr="00753E6F">
              <w:rPr>
                <w:rFonts w:ascii="Arial Narrow" w:hAnsi="Arial Narrow" w:cs="Arial"/>
                <w:sz w:val="19"/>
                <w:szCs w:val="19"/>
              </w:rPr>
              <w:t>2,500,000,000.00</w:t>
            </w:r>
          </w:p>
        </w:tc>
      </w:tr>
      <w:tr w:rsidR="004501D5" w:rsidRPr="00F262EA" w:rsidTr="009A2996">
        <w:tc>
          <w:tcPr>
            <w:tcW w:w="236" w:type="dxa"/>
          </w:tcPr>
          <w:p w:rsidR="004501D5" w:rsidRPr="00753E6F" w:rsidRDefault="004501D5" w:rsidP="00405B12">
            <w:pPr>
              <w:rPr>
                <w:rFonts w:ascii="Arial Narrow" w:hAnsi="Arial Narrow" w:cs="Arial"/>
                <w:sz w:val="19"/>
                <w:szCs w:val="19"/>
              </w:rPr>
            </w:pPr>
          </w:p>
        </w:tc>
        <w:tc>
          <w:tcPr>
            <w:tcW w:w="4595" w:type="dxa"/>
          </w:tcPr>
          <w:p w:rsidR="004501D5" w:rsidRPr="00753E6F" w:rsidRDefault="004501D5" w:rsidP="00405B12">
            <w:pPr>
              <w:rPr>
                <w:rFonts w:ascii="Arial Narrow" w:hAnsi="Arial Narrow" w:cs="Arial"/>
                <w:sz w:val="19"/>
                <w:szCs w:val="19"/>
              </w:rPr>
            </w:pPr>
            <w:r w:rsidRPr="00753E6F">
              <w:rPr>
                <w:rFonts w:ascii="Arial Narrow" w:hAnsi="Arial Narrow" w:cs="Arial"/>
                <w:sz w:val="19"/>
                <w:szCs w:val="19"/>
              </w:rPr>
              <w:t>Accumulated Income</w:t>
            </w:r>
          </w:p>
        </w:tc>
        <w:tc>
          <w:tcPr>
            <w:tcW w:w="372" w:type="dxa"/>
          </w:tcPr>
          <w:p w:rsidR="004501D5" w:rsidRPr="00753E6F" w:rsidRDefault="004501D5" w:rsidP="00405B12">
            <w:pPr>
              <w:rPr>
                <w:rFonts w:ascii="Arial Narrow" w:hAnsi="Arial Narrow" w:cs="Arial"/>
                <w:sz w:val="19"/>
                <w:szCs w:val="19"/>
              </w:rPr>
            </w:pPr>
          </w:p>
        </w:tc>
        <w:tc>
          <w:tcPr>
            <w:tcW w:w="2096" w:type="dxa"/>
          </w:tcPr>
          <w:p w:rsidR="004501D5" w:rsidRPr="00753E6F" w:rsidRDefault="004501D5" w:rsidP="009A2996">
            <w:pPr>
              <w:ind w:right="-41"/>
              <w:jc w:val="right"/>
              <w:rPr>
                <w:rFonts w:ascii="Arial Narrow" w:hAnsi="Arial Narrow" w:cs="Arial"/>
                <w:sz w:val="19"/>
                <w:szCs w:val="19"/>
              </w:rPr>
            </w:pPr>
            <w:r w:rsidRPr="00753E6F">
              <w:rPr>
                <w:rFonts w:ascii="Arial Narrow" w:hAnsi="Arial Narrow" w:cs="Arial"/>
                <w:sz w:val="19"/>
                <w:szCs w:val="19"/>
              </w:rPr>
              <w:t>193,092,487.85</w:t>
            </w:r>
          </w:p>
        </w:tc>
      </w:tr>
      <w:tr w:rsidR="004501D5" w:rsidRPr="00F262EA" w:rsidTr="009A2996">
        <w:tc>
          <w:tcPr>
            <w:tcW w:w="236" w:type="dxa"/>
            <w:tcBorders>
              <w:bottom w:val="single" w:sz="4" w:space="0" w:color="auto"/>
            </w:tcBorders>
          </w:tcPr>
          <w:p w:rsidR="004501D5" w:rsidRPr="00753E6F" w:rsidRDefault="004501D5" w:rsidP="00405B12">
            <w:pPr>
              <w:rPr>
                <w:rFonts w:ascii="Arial Narrow" w:hAnsi="Arial Narrow" w:cs="Arial"/>
                <w:sz w:val="19"/>
                <w:szCs w:val="19"/>
              </w:rPr>
            </w:pPr>
          </w:p>
        </w:tc>
        <w:tc>
          <w:tcPr>
            <w:tcW w:w="4595" w:type="dxa"/>
            <w:tcBorders>
              <w:bottom w:val="single" w:sz="4" w:space="0" w:color="auto"/>
            </w:tcBorders>
          </w:tcPr>
          <w:p w:rsidR="004501D5" w:rsidRPr="00753E6F" w:rsidRDefault="004501D5" w:rsidP="00405B12">
            <w:pPr>
              <w:rPr>
                <w:rFonts w:ascii="Arial Narrow" w:hAnsi="Arial Narrow" w:cs="Arial"/>
                <w:sz w:val="19"/>
                <w:szCs w:val="19"/>
              </w:rPr>
            </w:pPr>
            <w:r w:rsidRPr="00753E6F">
              <w:rPr>
                <w:rFonts w:ascii="Arial Narrow" w:hAnsi="Arial Narrow" w:cs="Arial"/>
                <w:sz w:val="19"/>
                <w:szCs w:val="19"/>
              </w:rPr>
              <w:t>Net Unrealized Gains/Losses - AFS</w:t>
            </w:r>
          </w:p>
        </w:tc>
        <w:tc>
          <w:tcPr>
            <w:tcW w:w="372" w:type="dxa"/>
            <w:tcBorders>
              <w:bottom w:val="single" w:sz="4" w:space="0" w:color="auto"/>
            </w:tcBorders>
          </w:tcPr>
          <w:p w:rsidR="004501D5" w:rsidRPr="00753E6F" w:rsidRDefault="004501D5" w:rsidP="00405B12">
            <w:pPr>
              <w:rPr>
                <w:rFonts w:ascii="Arial Narrow" w:hAnsi="Arial Narrow" w:cs="Arial"/>
                <w:sz w:val="19"/>
                <w:szCs w:val="19"/>
              </w:rPr>
            </w:pPr>
          </w:p>
        </w:tc>
        <w:tc>
          <w:tcPr>
            <w:tcW w:w="2096" w:type="dxa"/>
            <w:tcBorders>
              <w:bottom w:val="single" w:sz="4" w:space="0" w:color="auto"/>
            </w:tcBorders>
          </w:tcPr>
          <w:p w:rsidR="004501D5" w:rsidRPr="00753E6F" w:rsidRDefault="004501D5" w:rsidP="009A2996">
            <w:pPr>
              <w:ind w:right="-41"/>
              <w:jc w:val="right"/>
              <w:rPr>
                <w:rFonts w:ascii="Arial Narrow" w:hAnsi="Arial Narrow" w:cs="Arial"/>
                <w:sz w:val="19"/>
                <w:szCs w:val="19"/>
              </w:rPr>
            </w:pPr>
            <w:r w:rsidRPr="00753E6F">
              <w:rPr>
                <w:rFonts w:ascii="Arial Narrow" w:hAnsi="Arial Narrow" w:cs="Arial"/>
                <w:sz w:val="19"/>
                <w:szCs w:val="19"/>
              </w:rPr>
              <w:t>(90,579,784.04)</w:t>
            </w:r>
          </w:p>
        </w:tc>
      </w:tr>
      <w:tr w:rsidR="004501D5" w:rsidRPr="00F262EA" w:rsidTr="00753E6F">
        <w:trPr>
          <w:trHeight w:val="197"/>
        </w:trPr>
        <w:tc>
          <w:tcPr>
            <w:tcW w:w="236" w:type="dxa"/>
            <w:tcBorders>
              <w:top w:val="single" w:sz="4" w:space="0" w:color="auto"/>
              <w:bottom w:val="single" w:sz="4" w:space="0" w:color="auto"/>
            </w:tcBorders>
          </w:tcPr>
          <w:p w:rsidR="004501D5" w:rsidRPr="00753E6F" w:rsidRDefault="004501D5" w:rsidP="00405B12">
            <w:pPr>
              <w:rPr>
                <w:rFonts w:ascii="Arial Narrow" w:hAnsi="Arial Narrow" w:cs="Arial"/>
                <w:b/>
                <w:sz w:val="19"/>
                <w:szCs w:val="19"/>
              </w:rPr>
            </w:pPr>
          </w:p>
        </w:tc>
        <w:tc>
          <w:tcPr>
            <w:tcW w:w="4595" w:type="dxa"/>
            <w:tcBorders>
              <w:top w:val="single" w:sz="4" w:space="0" w:color="auto"/>
              <w:bottom w:val="single" w:sz="4" w:space="0" w:color="auto"/>
            </w:tcBorders>
          </w:tcPr>
          <w:p w:rsidR="004501D5" w:rsidRPr="00753E6F" w:rsidRDefault="004501D5" w:rsidP="00405B12">
            <w:pPr>
              <w:rPr>
                <w:rFonts w:ascii="Arial Narrow" w:hAnsi="Arial Narrow" w:cs="Arial"/>
                <w:b/>
                <w:sz w:val="19"/>
                <w:szCs w:val="19"/>
              </w:rPr>
            </w:pPr>
            <w:r w:rsidRPr="00753E6F">
              <w:rPr>
                <w:rFonts w:ascii="Arial Narrow" w:hAnsi="Arial Narrow" w:cs="Arial"/>
                <w:b/>
                <w:sz w:val="19"/>
                <w:szCs w:val="19"/>
              </w:rPr>
              <w:t xml:space="preserve">Total Equity </w:t>
            </w:r>
          </w:p>
        </w:tc>
        <w:tc>
          <w:tcPr>
            <w:tcW w:w="372" w:type="dxa"/>
            <w:tcBorders>
              <w:top w:val="single" w:sz="4" w:space="0" w:color="auto"/>
              <w:bottom w:val="single" w:sz="4" w:space="0" w:color="auto"/>
            </w:tcBorders>
          </w:tcPr>
          <w:p w:rsidR="004501D5" w:rsidRPr="00753E6F" w:rsidRDefault="004501D5" w:rsidP="00405B12">
            <w:pPr>
              <w:rPr>
                <w:rFonts w:ascii="Arial Narrow" w:hAnsi="Arial Narrow" w:cs="Arial"/>
                <w:b/>
                <w:sz w:val="19"/>
                <w:szCs w:val="19"/>
              </w:rPr>
            </w:pPr>
          </w:p>
        </w:tc>
        <w:tc>
          <w:tcPr>
            <w:tcW w:w="2096" w:type="dxa"/>
            <w:tcBorders>
              <w:top w:val="single" w:sz="4" w:space="0" w:color="auto"/>
              <w:bottom w:val="single" w:sz="4" w:space="0" w:color="auto"/>
            </w:tcBorders>
          </w:tcPr>
          <w:p w:rsidR="004501D5" w:rsidRPr="00753E6F" w:rsidRDefault="004501D5" w:rsidP="009A2996">
            <w:pPr>
              <w:ind w:right="-41"/>
              <w:jc w:val="right"/>
              <w:rPr>
                <w:rFonts w:ascii="Arial Narrow" w:hAnsi="Arial Narrow" w:cs="Arial"/>
                <w:b/>
                <w:sz w:val="19"/>
                <w:szCs w:val="19"/>
              </w:rPr>
            </w:pPr>
            <w:r w:rsidRPr="00753E6F">
              <w:rPr>
                <w:rFonts w:ascii="Arial Narrow" w:hAnsi="Arial Narrow" w:cs="Arial"/>
                <w:b/>
                <w:sz w:val="19"/>
                <w:szCs w:val="19"/>
              </w:rPr>
              <w:t>2,602,512,703.81</w:t>
            </w:r>
          </w:p>
        </w:tc>
      </w:tr>
      <w:tr w:rsidR="004501D5" w:rsidRPr="00F262EA" w:rsidTr="00753E6F">
        <w:trPr>
          <w:trHeight w:val="197"/>
        </w:trPr>
        <w:tc>
          <w:tcPr>
            <w:tcW w:w="4831" w:type="dxa"/>
            <w:gridSpan w:val="2"/>
            <w:tcBorders>
              <w:top w:val="single" w:sz="4" w:space="0" w:color="auto"/>
              <w:bottom w:val="double" w:sz="4" w:space="0" w:color="auto"/>
            </w:tcBorders>
          </w:tcPr>
          <w:p w:rsidR="004501D5" w:rsidRPr="00753E6F" w:rsidRDefault="004501D5" w:rsidP="009A2996">
            <w:pPr>
              <w:ind w:hanging="131"/>
              <w:rPr>
                <w:rFonts w:ascii="Arial Narrow" w:hAnsi="Arial Narrow" w:cs="Arial"/>
                <w:b/>
                <w:sz w:val="19"/>
                <w:szCs w:val="19"/>
              </w:rPr>
            </w:pPr>
            <w:r w:rsidRPr="00753E6F">
              <w:rPr>
                <w:rFonts w:ascii="Arial Narrow" w:hAnsi="Arial Narrow" w:cs="Arial"/>
                <w:b/>
                <w:sz w:val="19"/>
                <w:szCs w:val="19"/>
              </w:rPr>
              <w:t>Total Liabilities and Equity</w:t>
            </w:r>
          </w:p>
        </w:tc>
        <w:tc>
          <w:tcPr>
            <w:tcW w:w="372" w:type="dxa"/>
            <w:tcBorders>
              <w:top w:val="single" w:sz="4" w:space="0" w:color="auto"/>
              <w:bottom w:val="double" w:sz="4" w:space="0" w:color="auto"/>
            </w:tcBorders>
          </w:tcPr>
          <w:p w:rsidR="004501D5" w:rsidRPr="00753E6F" w:rsidRDefault="004501D5" w:rsidP="00405B12">
            <w:pPr>
              <w:rPr>
                <w:rFonts w:ascii="Arial Narrow" w:hAnsi="Arial Narrow" w:cs="Arial"/>
                <w:b/>
                <w:sz w:val="19"/>
                <w:szCs w:val="19"/>
              </w:rPr>
            </w:pPr>
            <w:r w:rsidRPr="00753E6F">
              <w:rPr>
                <w:rFonts w:ascii="Arial Narrow" w:hAnsi="Arial Narrow" w:cs="Arial"/>
                <w:b/>
                <w:sz w:val="19"/>
                <w:szCs w:val="19"/>
              </w:rPr>
              <w:t>P</w:t>
            </w:r>
          </w:p>
        </w:tc>
        <w:tc>
          <w:tcPr>
            <w:tcW w:w="2096" w:type="dxa"/>
            <w:tcBorders>
              <w:top w:val="single" w:sz="4" w:space="0" w:color="auto"/>
              <w:bottom w:val="double" w:sz="4" w:space="0" w:color="auto"/>
            </w:tcBorders>
          </w:tcPr>
          <w:p w:rsidR="004501D5" w:rsidRPr="00753E6F" w:rsidRDefault="004501D5" w:rsidP="009A2996">
            <w:pPr>
              <w:ind w:right="-41"/>
              <w:jc w:val="right"/>
              <w:rPr>
                <w:rFonts w:ascii="Arial Narrow" w:hAnsi="Arial Narrow" w:cs="Arial"/>
                <w:b/>
                <w:sz w:val="19"/>
                <w:szCs w:val="19"/>
              </w:rPr>
            </w:pPr>
            <w:r w:rsidRPr="00753E6F">
              <w:rPr>
                <w:rFonts w:ascii="Arial Narrow" w:hAnsi="Arial Narrow" w:cs="Arial"/>
                <w:b/>
                <w:sz w:val="19"/>
                <w:szCs w:val="19"/>
              </w:rPr>
              <w:t>2,605,951,007.71</w:t>
            </w:r>
          </w:p>
        </w:tc>
      </w:tr>
    </w:tbl>
    <w:p w:rsidR="004501D5" w:rsidRPr="004501D5" w:rsidRDefault="004501D5" w:rsidP="004501D5">
      <w:pPr>
        <w:pStyle w:val="ListParagraph"/>
        <w:ind w:left="360"/>
        <w:jc w:val="both"/>
        <w:rPr>
          <w:rFonts w:ascii="Arial" w:hAnsi="Arial" w:cs="Arial"/>
          <w:sz w:val="22"/>
          <w:szCs w:val="22"/>
        </w:rPr>
      </w:pPr>
    </w:p>
    <w:p w:rsidR="004501D5" w:rsidRPr="004501D5" w:rsidRDefault="004501D5" w:rsidP="00DA78B4">
      <w:pPr>
        <w:pStyle w:val="ListParagraph"/>
        <w:numPr>
          <w:ilvl w:val="1"/>
          <w:numId w:val="1"/>
        </w:numPr>
        <w:ind w:left="1440"/>
        <w:contextualSpacing/>
        <w:jc w:val="both"/>
        <w:rPr>
          <w:rFonts w:ascii="Arial" w:hAnsi="Arial" w:cs="Arial"/>
          <w:sz w:val="22"/>
          <w:szCs w:val="22"/>
        </w:rPr>
      </w:pPr>
      <w:r w:rsidRPr="004501D5">
        <w:rPr>
          <w:rFonts w:ascii="Arial" w:hAnsi="Arial" w:cs="Arial"/>
          <w:sz w:val="22"/>
          <w:szCs w:val="22"/>
          <w:lang w:val="ru-RU"/>
        </w:rPr>
        <w:t xml:space="preserve">Verification of the PCSO’s </w:t>
      </w:r>
      <w:r w:rsidR="007F4F7E">
        <w:rPr>
          <w:rFonts w:ascii="Arial" w:hAnsi="Arial" w:cs="Arial"/>
          <w:sz w:val="22"/>
          <w:szCs w:val="22"/>
        </w:rPr>
        <w:t>financial statements</w:t>
      </w:r>
      <w:r w:rsidRPr="004501D5">
        <w:rPr>
          <w:rFonts w:ascii="Arial" w:hAnsi="Arial" w:cs="Arial"/>
          <w:sz w:val="22"/>
          <w:szCs w:val="22"/>
          <w:lang w:val="ru-RU"/>
        </w:rPr>
        <w:t xml:space="preserve"> as of the same date, however, revealed that the equity on</w:t>
      </w:r>
      <w:r w:rsidRPr="004501D5">
        <w:rPr>
          <w:rFonts w:ascii="Arial" w:hAnsi="Arial" w:cs="Arial"/>
          <w:sz w:val="22"/>
          <w:szCs w:val="22"/>
          <w:lang w:val="en-PH"/>
        </w:rPr>
        <w:t xml:space="preserve"> the said </w:t>
      </w:r>
      <w:r w:rsidRPr="004501D5">
        <w:rPr>
          <w:rFonts w:ascii="Arial" w:hAnsi="Arial" w:cs="Arial"/>
          <w:sz w:val="22"/>
          <w:szCs w:val="22"/>
          <w:lang w:val="ru-RU"/>
        </w:rPr>
        <w:t>trust account in the amount of P2.603 billion was</w:t>
      </w:r>
      <w:r w:rsidRPr="004501D5">
        <w:rPr>
          <w:rFonts w:ascii="Arial" w:hAnsi="Arial" w:cs="Arial"/>
          <w:sz w:val="22"/>
          <w:szCs w:val="22"/>
          <w:lang w:val="en-PH"/>
        </w:rPr>
        <w:t xml:space="preserve"> </w:t>
      </w:r>
      <w:r w:rsidRPr="004501D5">
        <w:rPr>
          <w:rFonts w:ascii="Arial" w:hAnsi="Arial" w:cs="Arial"/>
          <w:sz w:val="22"/>
          <w:szCs w:val="22"/>
          <w:lang w:val="ru-RU"/>
        </w:rPr>
        <w:t xml:space="preserve"> recognized </w:t>
      </w:r>
      <w:r w:rsidRPr="004501D5">
        <w:rPr>
          <w:rFonts w:ascii="Arial" w:hAnsi="Arial" w:cs="Arial"/>
          <w:sz w:val="22"/>
          <w:szCs w:val="22"/>
          <w:lang w:val="en-PH"/>
        </w:rPr>
        <w:t xml:space="preserve"> </w:t>
      </w:r>
      <w:r w:rsidRPr="004501D5">
        <w:rPr>
          <w:rFonts w:ascii="Arial" w:hAnsi="Arial" w:cs="Arial"/>
          <w:sz w:val="22"/>
          <w:szCs w:val="22"/>
          <w:lang w:val="ru-RU"/>
        </w:rPr>
        <w:t>under</w:t>
      </w:r>
      <w:r w:rsidRPr="004501D5">
        <w:rPr>
          <w:rFonts w:ascii="Arial" w:hAnsi="Arial" w:cs="Arial"/>
          <w:sz w:val="22"/>
          <w:szCs w:val="22"/>
          <w:lang w:val="en-PH"/>
        </w:rPr>
        <w:t xml:space="preserve"> </w:t>
      </w:r>
      <w:r w:rsidRPr="004501D5">
        <w:rPr>
          <w:rFonts w:ascii="Arial" w:hAnsi="Arial" w:cs="Arial"/>
          <w:sz w:val="22"/>
          <w:szCs w:val="22"/>
          <w:lang w:val="ru-RU"/>
        </w:rPr>
        <w:t xml:space="preserve"> the</w:t>
      </w:r>
      <w:r w:rsidRPr="004501D5">
        <w:rPr>
          <w:rFonts w:ascii="Arial" w:hAnsi="Arial" w:cs="Arial"/>
          <w:sz w:val="22"/>
          <w:szCs w:val="22"/>
          <w:lang w:val="en-PH"/>
        </w:rPr>
        <w:t xml:space="preserve"> </w:t>
      </w:r>
      <w:r w:rsidRPr="004501D5">
        <w:rPr>
          <w:rFonts w:ascii="Arial" w:hAnsi="Arial" w:cs="Arial"/>
          <w:sz w:val="22"/>
          <w:szCs w:val="22"/>
          <w:lang w:val="ru-RU"/>
        </w:rPr>
        <w:t xml:space="preserve"> Financial</w:t>
      </w:r>
      <w:r w:rsidRPr="004501D5">
        <w:rPr>
          <w:rFonts w:ascii="Arial" w:hAnsi="Arial" w:cs="Arial"/>
          <w:sz w:val="22"/>
          <w:szCs w:val="22"/>
          <w:lang w:val="en-PH"/>
        </w:rPr>
        <w:t xml:space="preserve"> </w:t>
      </w:r>
      <w:r w:rsidRPr="004501D5">
        <w:rPr>
          <w:rFonts w:ascii="Arial" w:hAnsi="Arial" w:cs="Arial"/>
          <w:sz w:val="22"/>
          <w:szCs w:val="22"/>
          <w:lang w:val="ru-RU"/>
        </w:rPr>
        <w:t xml:space="preserve"> Assets </w:t>
      </w:r>
      <w:r w:rsidRPr="004501D5">
        <w:rPr>
          <w:rFonts w:ascii="Arial" w:hAnsi="Arial" w:cs="Arial"/>
          <w:sz w:val="22"/>
          <w:szCs w:val="22"/>
          <w:lang w:val="en-PH"/>
        </w:rPr>
        <w:t xml:space="preserve"> </w:t>
      </w:r>
      <w:r w:rsidRPr="004501D5">
        <w:rPr>
          <w:rFonts w:ascii="Arial" w:hAnsi="Arial" w:cs="Arial"/>
          <w:sz w:val="22"/>
          <w:szCs w:val="22"/>
          <w:lang w:val="ru-RU"/>
        </w:rPr>
        <w:t xml:space="preserve">at </w:t>
      </w:r>
      <w:r w:rsidRPr="004501D5">
        <w:rPr>
          <w:rFonts w:ascii="Arial" w:hAnsi="Arial" w:cs="Arial"/>
          <w:sz w:val="22"/>
          <w:szCs w:val="22"/>
          <w:lang w:val="en-PH"/>
        </w:rPr>
        <w:t xml:space="preserve"> </w:t>
      </w:r>
      <w:r w:rsidRPr="004501D5">
        <w:rPr>
          <w:rFonts w:ascii="Arial" w:hAnsi="Arial" w:cs="Arial"/>
          <w:sz w:val="22"/>
          <w:szCs w:val="22"/>
          <w:lang w:val="ru-RU"/>
        </w:rPr>
        <w:t xml:space="preserve">FVOCI </w:t>
      </w:r>
      <w:r w:rsidRPr="004501D5">
        <w:rPr>
          <w:rFonts w:ascii="Arial" w:hAnsi="Arial" w:cs="Arial"/>
          <w:sz w:val="22"/>
          <w:szCs w:val="22"/>
          <w:lang w:val="en-PH"/>
        </w:rPr>
        <w:t xml:space="preserve"> </w:t>
      </w:r>
      <w:r w:rsidRPr="004501D5">
        <w:rPr>
          <w:rFonts w:ascii="Arial" w:hAnsi="Arial" w:cs="Arial"/>
          <w:sz w:val="22"/>
          <w:szCs w:val="22"/>
          <w:lang w:val="ru-RU"/>
        </w:rPr>
        <w:t>account.  Said recognition was tantamount to offsetting of assets and liabilities prohibited  under paragraphs 32 and 33 of PAS 1</w:t>
      </w:r>
      <w:r w:rsidRPr="004501D5">
        <w:rPr>
          <w:rFonts w:ascii="Arial" w:hAnsi="Arial" w:cs="Arial"/>
          <w:sz w:val="22"/>
          <w:szCs w:val="22"/>
          <w:lang w:val="en-PH"/>
        </w:rPr>
        <w:t xml:space="preserve">, which state:  </w:t>
      </w:r>
    </w:p>
    <w:p w:rsidR="004501D5" w:rsidRPr="004501D5" w:rsidRDefault="004501D5" w:rsidP="004501D5">
      <w:pPr>
        <w:pStyle w:val="ListParagraph"/>
        <w:ind w:left="1080"/>
        <w:jc w:val="both"/>
        <w:rPr>
          <w:rFonts w:ascii="Arial" w:hAnsi="Arial" w:cs="Arial"/>
          <w:sz w:val="22"/>
          <w:szCs w:val="22"/>
          <w:lang w:val="en-PH"/>
        </w:rPr>
      </w:pPr>
    </w:p>
    <w:p w:rsidR="004501D5" w:rsidRPr="009A2996" w:rsidRDefault="009A2996" w:rsidP="00D03282">
      <w:pPr>
        <w:tabs>
          <w:tab w:val="left" w:pos="2160"/>
          <w:tab w:val="left" w:pos="2340"/>
        </w:tabs>
        <w:spacing w:after="0" w:line="240" w:lineRule="auto"/>
        <w:ind w:left="1800" w:right="720"/>
        <w:jc w:val="both"/>
        <w:rPr>
          <w:rFonts w:ascii="Arial" w:hAnsi="Arial" w:cs="Arial"/>
          <w:i/>
        </w:rPr>
      </w:pPr>
      <w:r w:rsidRPr="009A2996">
        <w:rPr>
          <w:rFonts w:ascii="Arial" w:hAnsi="Arial" w:cs="Arial"/>
          <w:i/>
        </w:rPr>
        <w:t>3</w:t>
      </w:r>
      <w:r w:rsidR="004501D5" w:rsidRPr="009A2996">
        <w:rPr>
          <w:rFonts w:ascii="Arial" w:hAnsi="Arial" w:cs="Arial"/>
          <w:i/>
        </w:rPr>
        <w:t>2</w:t>
      </w:r>
      <w:r w:rsidR="00D03282">
        <w:rPr>
          <w:rFonts w:ascii="Arial" w:hAnsi="Arial" w:cs="Arial"/>
          <w:i/>
        </w:rPr>
        <w:t>.</w:t>
      </w:r>
      <w:r w:rsidR="004501D5" w:rsidRPr="009A2996">
        <w:rPr>
          <w:rFonts w:ascii="Arial" w:hAnsi="Arial" w:cs="Arial"/>
          <w:i/>
        </w:rPr>
        <w:t xml:space="preserve"> </w:t>
      </w:r>
      <w:r>
        <w:rPr>
          <w:rFonts w:ascii="Arial" w:hAnsi="Arial" w:cs="Arial"/>
          <w:i/>
        </w:rPr>
        <w:tab/>
      </w:r>
      <w:r w:rsidR="004501D5" w:rsidRPr="009A2996">
        <w:rPr>
          <w:rFonts w:ascii="Arial" w:hAnsi="Arial" w:cs="Arial"/>
          <w:i/>
        </w:rPr>
        <w:t>An entity shall not offset assets and liabilities or income and expenses, unless required or permitted by a PFRS.</w:t>
      </w:r>
    </w:p>
    <w:p w:rsidR="004501D5" w:rsidRPr="004501D5" w:rsidRDefault="004501D5" w:rsidP="00D03282">
      <w:pPr>
        <w:tabs>
          <w:tab w:val="left" w:pos="2340"/>
        </w:tabs>
        <w:spacing w:after="0" w:line="240" w:lineRule="auto"/>
        <w:ind w:left="1800" w:right="720"/>
        <w:jc w:val="both"/>
        <w:rPr>
          <w:rFonts w:ascii="Arial" w:hAnsi="Arial" w:cs="Arial"/>
          <w:i/>
        </w:rPr>
      </w:pPr>
    </w:p>
    <w:p w:rsidR="004501D5" w:rsidRDefault="004501D5" w:rsidP="00D03282">
      <w:pPr>
        <w:tabs>
          <w:tab w:val="left" w:pos="2340"/>
        </w:tabs>
        <w:spacing w:after="0" w:line="240" w:lineRule="auto"/>
        <w:ind w:left="1800" w:right="720"/>
        <w:jc w:val="both"/>
        <w:rPr>
          <w:rFonts w:ascii="Arial" w:hAnsi="Arial" w:cs="Arial"/>
          <w:i/>
        </w:rPr>
      </w:pPr>
      <w:r w:rsidRPr="004501D5">
        <w:rPr>
          <w:rFonts w:ascii="Arial" w:hAnsi="Arial" w:cs="Arial"/>
          <w:i/>
        </w:rPr>
        <w:t>33</w:t>
      </w:r>
      <w:r w:rsidR="00D03282">
        <w:rPr>
          <w:rFonts w:ascii="Arial" w:hAnsi="Arial" w:cs="Arial"/>
          <w:i/>
        </w:rPr>
        <w:t>.</w:t>
      </w:r>
      <w:r w:rsidRPr="004501D5">
        <w:rPr>
          <w:rFonts w:ascii="Arial" w:hAnsi="Arial" w:cs="Arial"/>
          <w:i/>
        </w:rPr>
        <w:t xml:space="preserve"> </w:t>
      </w:r>
      <w:r w:rsidR="009A2996">
        <w:rPr>
          <w:rFonts w:ascii="Arial" w:hAnsi="Arial" w:cs="Arial"/>
          <w:i/>
        </w:rPr>
        <w:tab/>
      </w:r>
      <w:r w:rsidRPr="004501D5">
        <w:rPr>
          <w:rFonts w:ascii="Arial" w:hAnsi="Arial" w:cs="Arial"/>
          <w:i/>
        </w:rPr>
        <w:t xml:space="preserve">An entity reports separately both assets and liabilities, and income and expenses. Offsetting in the statement(s) of profit or loss and other comprehensive income or financial position, except when offsetting reflects the substance of the transaction or other event, detracts from the ability of users both to understand the transactions, other events and conditions that have occurred and to assess </w:t>
      </w:r>
      <w:r w:rsidR="009A2996">
        <w:rPr>
          <w:rFonts w:ascii="Arial" w:hAnsi="Arial" w:cs="Arial"/>
          <w:i/>
        </w:rPr>
        <w:t>the entity’s future cash flows…</w:t>
      </w:r>
    </w:p>
    <w:p w:rsidR="004501D5" w:rsidRPr="004501D5" w:rsidRDefault="004501D5" w:rsidP="004501D5">
      <w:pPr>
        <w:tabs>
          <w:tab w:val="left" w:pos="1134"/>
          <w:tab w:val="left" w:pos="1276"/>
        </w:tabs>
        <w:spacing w:after="0"/>
        <w:ind w:right="-46"/>
        <w:jc w:val="both"/>
        <w:rPr>
          <w:rFonts w:ascii="Arial" w:hAnsi="Arial" w:cs="Arial"/>
        </w:rPr>
      </w:pPr>
    </w:p>
    <w:p w:rsidR="004501D5" w:rsidRPr="00206134" w:rsidRDefault="004501D5" w:rsidP="00DA78B4">
      <w:pPr>
        <w:pStyle w:val="ListParagraph"/>
        <w:numPr>
          <w:ilvl w:val="1"/>
          <w:numId w:val="1"/>
        </w:numPr>
        <w:ind w:left="1440"/>
        <w:contextualSpacing/>
        <w:jc w:val="both"/>
        <w:rPr>
          <w:rFonts w:ascii="Arial" w:hAnsi="Arial" w:cs="Arial"/>
          <w:color w:val="000000" w:themeColor="text1"/>
          <w:sz w:val="22"/>
          <w:szCs w:val="22"/>
          <w:lang w:val="en-PH"/>
        </w:rPr>
      </w:pPr>
      <w:r w:rsidRPr="004A2D69">
        <w:rPr>
          <w:rFonts w:ascii="Arial" w:hAnsi="Arial" w:cs="Arial"/>
          <w:sz w:val="22"/>
          <w:szCs w:val="22"/>
          <w:lang w:val="ru-RU"/>
        </w:rPr>
        <w:t>Considering</w:t>
      </w:r>
      <w:r w:rsidRPr="004501D5">
        <w:rPr>
          <w:rFonts w:ascii="Arial" w:hAnsi="Arial" w:cs="Arial"/>
          <w:sz w:val="22"/>
          <w:szCs w:val="22"/>
          <w:lang w:val="en-PH"/>
        </w:rPr>
        <w:t xml:space="preserve"> that the subject trust fund was being managed by the Trustee on behalf of PCSO, the assets generated and liabilities incurred therefrom should be properly recognized in the books in accordance with the recognition criteria of</w:t>
      </w:r>
      <w:r>
        <w:rPr>
          <w:rFonts w:ascii="Arial" w:hAnsi="Arial" w:cs="Arial"/>
          <w:sz w:val="22"/>
          <w:szCs w:val="22"/>
          <w:lang w:val="en-PH"/>
        </w:rPr>
        <w:t xml:space="preserve"> the pertinent PFRS</w:t>
      </w:r>
      <w:r w:rsidRPr="004501D5">
        <w:rPr>
          <w:rFonts w:ascii="Arial" w:hAnsi="Arial" w:cs="Arial"/>
          <w:sz w:val="22"/>
          <w:szCs w:val="22"/>
          <w:lang w:val="en-PH"/>
        </w:rPr>
        <w:t>.  Recognizing only the equity portion of the trust account was in effect an offsetting of assets and liabilities not allowed in the above-stated provisions of PAS 1</w:t>
      </w:r>
      <w:r>
        <w:rPr>
          <w:rFonts w:ascii="Arial" w:hAnsi="Arial" w:cs="Arial"/>
          <w:sz w:val="22"/>
          <w:szCs w:val="22"/>
          <w:lang w:val="en-PH"/>
        </w:rPr>
        <w:t xml:space="preserve">, which </w:t>
      </w:r>
      <w:r w:rsidRPr="004501D5">
        <w:rPr>
          <w:rFonts w:ascii="Arial" w:hAnsi="Arial" w:cs="Arial"/>
          <w:sz w:val="22"/>
          <w:szCs w:val="22"/>
          <w:lang w:val="en-PH"/>
        </w:rPr>
        <w:t>resulted in the understatement of Cash and Cash Equivalents, Receivables, Prepayments, and Liabilities</w:t>
      </w:r>
      <w:r>
        <w:rPr>
          <w:rFonts w:ascii="Arial" w:hAnsi="Arial" w:cs="Arial"/>
          <w:sz w:val="22"/>
          <w:szCs w:val="22"/>
          <w:lang w:val="en-PH"/>
        </w:rPr>
        <w:t xml:space="preserve"> accounts </w:t>
      </w:r>
      <w:r w:rsidRPr="004501D5">
        <w:rPr>
          <w:rFonts w:ascii="Arial" w:hAnsi="Arial" w:cs="Arial"/>
          <w:sz w:val="22"/>
          <w:szCs w:val="22"/>
          <w:lang w:val="en-PH"/>
        </w:rPr>
        <w:t xml:space="preserve">by P509.424 million, </w:t>
      </w:r>
      <w:r w:rsidRPr="00206134">
        <w:rPr>
          <w:rFonts w:ascii="Arial" w:hAnsi="Arial" w:cs="Arial"/>
          <w:color w:val="000000" w:themeColor="text1"/>
          <w:sz w:val="22"/>
          <w:szCs w:val="22"/>
          <w:lang w:val="en-PH"/>
        </w:rPr>
        <w:t>P16.801 million, P1.549 million and P3.438 million, respectively, while the Financial Assets account was overstated by P524.33</w:t>
      </w:r>
      <w:r w:rsidR="00676C1D" w:rsidRPr="00206134">
        <w:rPr>
          <w:rFonts w:ascii="Arial" w:hAnsi="Arial" w:cs="Arial"/>
          <w:color w:val="000000" w:themeColor="text1"/>
          <w:sz w:val="22"/>
          <w:szCs w:val="22"/>
          <w:lang w:val="en-PH"/>
        </w:rPr>
        <w:t>6</w:t>
      </w:r>
      <w:r w:rsidRPr="00206134">
        <w:rPr>
          <w:rFonts w:ascii="Arial" w:hAnsi="Arial" w:cs="Arial"/>
          <w:color w:val="000000" w:themeColor="text1"/>
          <w:sz w:val="22"/>
          <w:szCs w:val="22"/>
          <w:lang w:val="en-PH"/>
        </w:rPr>
        <w:t xml:space="preserve"> million as of December 31, 2018.</w:t>
      </w:r>
    </w:p>
    <w:p w:rsidR="004501D5" w:rsidRPr="004501D5" w:rsidRDefault="004501D5" w:rsidP="004501D5">
      <w:pPr>
        <w:pStyle w:val="ListParagraph"/>
        <w:tabs>
          <w:tab w:val="left" w:pos="1134"/>
          <w:tab w:val="left" w:pos="1276"/>
        </w:tabs>
        <w:ind w:left="1137" w:right="-46"/>
        <w:jc w:val="both"/>
        <w:rPr>
          <w:rFonts w:ascii="Arial" w:hAnsi="Arial" w:cs="Arial"/>
          <w:sz w:val="22"/>
          <w:szCs w:val="22"/>
          <w:lang w:val="en-PH"/>
        </w:rPr>
      </w:pPr>
    </w:p>
    <w:p w:rsidR="004501D5" w:rsidRDefault="004501D5" w:rsidP="00DA78B4">
      <w:pPr>
        <w:pStyle w:val="ListParagraph"/>
        <w:numPr>
          <w:ilvl w:val="1"/>
          <w:numId w:val="1"/>
        </w:numPr>
        <w:ind w:left="1440"/>
        <w:contextualSpacing/>
        <w:jc w:val="both"/>
        <w:rPr>
          <w:rFonts w:ascii="Arial" w:hAnsi="Arial" w:cs="Arial"/>
          <w:b/>
          <w:sz w:val="22"/>
          <w:szCs w:val="22"/>
          <w:lang w:val="en-PH"/>
        </w:rPr>
      </w:pPr>
      <w:r w:rsidRPr="004501D5">
        <w:rPr>
          <w:rFonts w:ascii="Arial" w:hAnsi="Arial" w:cs="Arial"/>
          <w:b/>
          <w:sz w:val="22"/>
          <w:szCs w:val="22"/>
          <w:lang w:val="en-PH"/>
        </w:rPr>
        <w:t xml:space="preserve">We </w:t>
      </w:r>
      <w:r w:rsidRPr="004A2D69">
        <w:rPr>
          <w:rFonts w:ascii="Arial" w:hAnsi="Arial" w:cs="Arial"/>
          <w:b/>
          <w:sz w:val="22"/>
          <w:szCs w:val="22"/>
          <w:lang w:val="ru-RU"/>
        </w:rPr>
        <w:t>recommended</w:t>
      </w:r>
      <w:r w:rsidRPr="004501D5">
        <w:rPr>
          <w:rFonts w:ascii="Arial" w:hAnsi="Arial" w:cs="Arial"/>
          <w:b/>
          <w:sz w:val="22"/>
          <w:szCs w:val="22"/>
          <w:lang w:val="en-PH"/>
        </w:rPr>
        <w:t xml:space="preserve"> that Management direct the concerned accounting personnel to effect the necessary adjusting entries pertaining to the CY 2018 transactions of the trust fund with the LBP, which was intended for the construction of the PCSO building, so that the balances of the affected accounts shall faithfully represent the effects of the said transactions pursuant to Paragraph 15 of PAS 1.</w:t>
      </w:r>
    </w:p>
    <w:p w:rsidR="004501D5" w:rsidRPr="004501D5" w:rsidRDefault="004501D5" w:rsidP="004501D5">
      <w:pPr>
        <w:pStyle w:val="ListParagraph"/>
        <w:rPr>
          <w:rFonts w:ascii="Arial" w:hAnsi="Arial" w:cs="Arial"/>
          <w:b/>
          <w:sz w:val="22"/>
          <w:szCs w:val="22"/>
          <w:lang w:val="en-PH"/>
        </w:rPr>
      </w:pPr>
    </w:p>
    <w:p w:rsidR="004501D5" w:rsidRPr="004501D5" w:rsidRDefault="004501D5" w:rsidP="00DA78B4">
      <w:pPr>
        <w:pStyle w:val="ListParagraph"/>
        <w:numPr>
          <w:ilvl w:val="1"/>
          <w:numId w:val="1"/>
        </w:numPr>
        <w:ind w:left="1440"/>
        <w:contextualSpacing/>
        <w:jc w:val="both"/>
        <w:rPr>
          <w:rFonts w:ascii="Arial" w:hAnsi="Arial" w:cs="Arial"/>
          <w:sz w:val="22"/>
          <w:szCs w:val="22"/>
        </w:rPr>
      </w:pPr>
      <w:r w:rsidRPr="004A2D69">
        <w:rPr>
          <w:rFonts w:ascii="Arial" w:hAnsi="Arial" w:cs="Arial"/>
          <w:sz w:val="22"/>
          <w:szCs w:val="22"/>
          <w:lang w:val="ru-RU"/>
        </w:rPr>
        <w:t>Management</w:t>
      </w:r>
      <w:r w:rsidRPr="004501D5">
        <w:rPr>
          <w:rFonts w:ascii="Arial" w:hAnsi="Arial" w:cs="Arial"/>
          <w:sz w:val="22"/>
          <w:szCs w:val="22"/>
          <w:lang w:val="en-PH"/>
        </w:rPr>
        <w:t xml:space="preserve"> informed that the necessary adjusting entries will be effected during CY 2019.</w:t>
      </w:r>
    </w:p>
    <w:p w:rsidR="00B869E6" w:rsidRDefault="00B869E6" w:rsidP="00B869E6">
      <w:pPr>
        <w:pStyle w:val="NoSpacing"/>
        <w:ind w:left="576"/>
        <w:jc w:val="both"/>
        <w:rPr>
          <w:rFonts w:ascii="Arial" w:hAnsi="Arial" w:cs="Arial"/>
          <w:b/>
        </w:rPr>
      </w:pPr>
    </w:p>
    <w:p w:rsidR="004501D5" w:rsidRPr="00EF4855" w:rsidRDefault="004501D5" w:rsidP="00B869E6">
      <w:pPr>
        <w:pStyle w:val="NoSpacing"/>
        <w:ind w:left="576"/>
        <w:jc w:val="both"/>
        <w:rPr>
          <w:rFonts w:ascii="Arial" w:hAnsi="Arial" w:cs="Arial"/>
          <w:b/>
        </w:rPr>
      </w:pPr>
    </w:p>
    <w:p w:rsidR="00AB2FD1" w:rsidRPr="00B93286" w:rsidRDefault="00AB2FD1" w:rsidP="00DA78B4">
      <w:pPr>
        <w:pStyle w:val="ListParagraph"/>
        <w:numPr>
          <w:ilvl w:val="0"/>
          <w:numId w:val="1"/>
        </w:numPr>
        <w:jc w:val="both"/>
        <w:rPr>
          <w:rFonts w:ascii="Arial" w:hAnsi="Arial" w:cs="Arial"/>
          <w:b/>
        </w:rPr>
      </w:pPr>
      <w:r w:rsidRPr="00B93286">
        <w:rPr>
          <w:rFonts w:ascii="Arial" w:hAnsi="Arial" w:cs="Arial"/>
          <w:b/>
          <w:sz w:val="22"/>
          <w:szCs w:val="22"/>
        </w:rPr>
        <w:t>The Accounts Payable – Miscellaneous</w:t>
      </w:r>
      <w:r w:rsidR="00D51F8C">
        <w:rPr>
          <w:rFonts w:ascii="Arial" w:hAnsi="Arial" w:cs="Arial"/>
          <w:b/>
          <w:sz w:val="22"/>
          <w:szCs w:val="22"/>
        </w:rPr>
        <w:t xml:space="preserve"> with a balance of P5.340 billion as at December 31, 2018</w:t>
      </w:r>
      <w:r w:rsidRPr="00B93286">
        <w:rPr>
          <w:rFonts w:ascii="Arial" w:hAnsi="Arial" w:cs="Arial"/>
          <w:b/>
          <w:sz w:val="22"/>
          <w:szCs w:val="22"/>
        </w:rPr>
        <w:t xml:space="preserve"> and Other Charity Expenses account</w:t>
      </w:r>
      <w:r w:rsidR="00D51F8C">
        <w:rPr>
          <w:rFonts w:ascii="Arial" w:hAnsi="Arial" w:cs="Arial"/>
          <w:b/>
          <w:sz w:val="22"/>
          <w:szCs w:val="22"/>
        </w:rPr>
        <w:t xml:space="preserve"> totaling P</w:t>
      </w:r>
      <w:r w:rsidRPr="00B93286">
        <w:rPr>
          <w:rFonts w:ascii="Arial" w:hAnsi="Arial" w:cs="Arial"/>
          <w:b/>
          <w:sz w:val="22"/>
          <w:szCs w:val="22"/>
        </w:rPr>
        <w:t>198</w:t>
      </w:r>
      <w:r w:rsidR="00B869E6" w:rsidRPr="00B93286">
        <w:rPr>
          <w:rFonts w:ascii="Arial" w:hAnsi="Arial" w:cs="Arial"/>
          <w:b/>
          <w:sz w:val="22"/>
          <w:szCs w:val="22"/>
        </w:rPr>
        <w:t>.</w:t>
      </w:r>
      <w:r w:rsidRPr="00B93286">
        <w:rPr>
          <w:rFonts w:ascii="Arial" w:hAnsi="Arial" w:cs="Arial"/>
          <w:b/>
          <w:sz w:val="22"/>
          <w:szCs w:val="22"/>
        </w:rPr>
        <w:t>977</w:t>
      </w:r>
      <w:r w:rsidR="00B93286">
        <w:rPr>
          <w:rFonts w:ascii="Arial" w:hAnsi="Arial" w:cs="Arial"/>
          <w:b/>
          <w:sz w:val="22"/>
          <w:szCs w:val="22"/>
        </w:rPr>
        <w:t xml:space="preserve"> m</w:t>
      </w:r>
      <w:r w:rsidR="00B869E6" w:rsidRPr="00B93286">
        <w:rPr>
          <w:rFonts w:ascii="Arial" w:hAnsi="Arial" w:cs="Arial"/>
          <w:b/>
          <w:sz w:val="22"/>
          <w:szCs w:val="22"/>
        </w:rPr>
        <w:t>illion</w:t>
      </w:r>
      <w:r w:rsidR="00D51F8C">
        <w:rPr>
          <w:rFonts w:ascii="Arial" w:hAnsi="Arial" w:cs="Arial"/>
          <w:b/>
          <w:sz w:val="22"/>
          <w:szCs w:val="22"/>
        </w:rPr>
        <w:t xml:space="preserve"> </w:t>
      </w:r>
      <w:r w:rsidRPr="00B93286">
        <w:rPr>
          <w:rFonts w:ascii="Arial" w:hAnsi="Arial" w:cs="Arial"/>
          <w:b/>
          <w:sz w:val="22"/>
          <w:szCs w:val="22"/>
        </w:rPr>
        <w:t>were overstated by P255</w:t>
      </w:r>
      <w:r w:rsidR="00B869E6" w:rsidRPr="00B93286">
        <w:rPr>
          <w:rFonts w:ascii="Arial" w:hAnsi="Arial" w:cs="Arial"/>
          <w:b/>
          <w:sz w:val="22"/>
          <w:szCs w:val="22"/>
        </w:rPr>
        <w:t>.</w:t>
      </w:r>
      <w:r w:rsidRPr="00B93286">
        <w:rPr>
          <w:rFonts w:ascii="Arial" w:hAnsi="Arial" w:cs="Arial"/>
          <w:b/>
          <w:sz w:val="22"/>
          <w:szCs w:val="22"/>
        </w:rPr>
        <w:t>949</w:t>
      </w:r>
      <w:r w:rsidR="00B869E6" w:rsidRPr="00B93286">
        <w:rPr>
          <w:rFonts w:ascii="Arial" w:hAnsi="Arial" w:cs="Arial"/>
          <w:b/>
          <w:sz w:val="22"/>
          <w:szCs w:val="22"/>
        </w:rPr>
        <w:t xml:space="preserve"> million</w:t>
      </w:r>
      <w:r w:rsidRPr="00B93286">
        <w:rPr>
          <w:rFonts w:ascii="Arial" w:hAnsi="Arial" w:cs="Arial"/>
          <w:b/>
          <w:sz w:val="22"/>
          <w:szCs w:val="22"/>
        </w:rPr>
        <w:t xml:space="preserve"> and P23</w:t>
      </w:r>
      <w:r w:rsidR="00B869E6" w:rsidRPr="00B93286">
        <w:rPr>
          <w:rFonts w:ascii="Arial" w:hAnsi="Arial" w:cs="Arial"/>
          <w:b/>
          <w:sz w:val="22"/>
          <w:szCs w:val="22"/>
        </w:rPr>
        <w:t>.</w:t>
      </w:r>
      <w:r w:rsidRPr="00B93286">
        <w:rPr>
          <w:rFonts w:ascii="Arial" w:hAnsi="Arial" w:cs="Arial"/>
          <w:b/>
          <w:sz w:val="22"/>
          <w:szCs w:val="22"/>
        </w:rPr>
        <w:t>348</w:t>
      </w:r>
      <w:r w:rsidR="00B869E6" w:rsidRPr="00B93286">
        <w:rPr>
          <w:rFonts w:ascii="Arial" w:hAnsi="Arial" w:cs="Arial"/>
          <w:b/>
          <w:sz w:val="22"/>
          <w:szCs w:val="22"/>
        </w:rPr>
        <w:t xml:space="preserve"> million</w:t>
      </w:r>
      <w:r w:rsidRPr="00B93286">
        <w:rPr>
          <w:rFonts w:ascii="Arial" w:hAnsi="Arial" w:cs="Arial"/>
          <w:b/>
          <w:sz w:val="22"/>
          <w:szCs w:val="22"/>
        </w:rPr>
        <w:t xml:space="preserve">, respectively, while the Retained Earnings </w:t>
      </w:r>
      <w:r w:rsidR="00B153FA" w:rsidRPr="00B93286">
        <w:rPr>
          <w:rFonts w:ascii="Arial" w:hAnsi="Arial" w:cs="Arial"/>
          <w:b/>
          <w:sz w:val="22"/>
          <w:szCs w:val="22"/>
        </w:rPr>
        <w:t>–</w:t>
      </w:r>
      <w:r w:rsidRPr="00B93286">
        <w:rPr>
          <w:rFonts w:ascii="Arial" w:hAnsi="Arial" w:cs="Arial"/>
          <w:b/>
          <w:sz w:val="22"/>
          <w:szCs w:val="22"/>
        </w:rPr>
        <w:t xml:space="preserve"> C</w:t>
      </w:r>
      <w:r w:rsidR="00B153FA" w:rsidRPr="00B93286">
        <w:rPr>
          <w:rFonts w:ascii="Arial" w:hAnsi="Arial" w:cs="Arial"/>
          <w:b/>
          <w:sz w:val="22"/>
          <w:szCs w:val="22"/>
        </w:rPr>
        <w:t xml:space="preserve">harity </w:t>
      </w:r>
      <w:r w:rsidRPr="00B93286">
        <w:rPr>
          <w:rFonts w:ascii="Arial" w:hAnsi="Arial" w:cs="Arial"/>
          <w:b/>
          <w:sz w:val="22"/>
          <w:szCs w:val="22"/>
        </w:rPr>
        <w:t>F</w:t>
      </w:r>
      <w:r w:rsidR="00B153FA" w:rsidRPr="00B93286">
        <w:rPr>
          <w:rFonts w:ascii="Arial" w:hAnsi="Arial" w:cs="Arial"/>
          <w:b/>
          <w:sz w:val="22"/>
          <w:szCs w:val="22"/>
        </w:rPr>
        <w:t>und</w:t>
      </w:r>
      <w:r w:rsidRPr="00B93286">
        <w:rPr>
          <w:rFonts w:ascii="Arial" w:hAnsi="Arial" w:cs="Arial"/>
          <w:b/>
          <w:sz w:val="22"/>
          <w:szCs w:val="22"/>
        </w:rPr>
        <w:t xml:space="preserve"> account with balance of P2</w:t>
      </w:r>
      <w:r w:rsidR="00B869E6" w:rsidRPr="00B93286">
        <w:rPr>
          <w:rFonts w:ascii="Arial" w:hAnsi="Arial" w:cs="Arial"/>
          <w:b/>
          <w:sz w:val="22"/>
          <w:szCs w:val="22"/>
        </w:rPr>
        <w:t>.</w:t>
      </w:r>
      <w:r w:rsidRPr="00B93286">
        <w:rPr>
          <w:rFonts w:ascii="Arial" w:hAnsi="Arial" w:cs="Arial"/>
          <w:b/>
          <w:sz w:val="22"/>
          <w:szCs w:val="22"/>
        </w:rPr>
        <w:t>772</w:t>
      </w:r>
      <w:r w:rsidR="00B869E6" w:rsidRPr="00B93286">
        <w:rPr>
          <w:rFonts w:ascii="Arial" w:hAnsi="Arial" w:cs="Arial"/>
          <w:b/>
          <w:sz w:val="22"/>
          <w:szCs w:val="22"/>
        </w:rPr>
        <w:t xml:space="preserve"> billion</w:t>
      </w:r>
      <w:r w:rsidR="004501D5" w:rsidRPr="00B93286">
        <w:rPr>
          <w:rFonts w:ascii="Arial" w:hAnsi="Arial" w:cs="Arial"/>
          <w:b/>
          <w:sz w:val="22"/>
          <w:szCs w:val="22"/>
        </w:rPr>
        <w:t xml:space="preserve"> </w:t>
      </w:r>
      <w:r w:rsidRPr="00B93286">
        <w:rPr>
          <w:rFonts w:ascii="Arial" w:hAnsi="Arial" w:cs="Arial"/>
          <w:b/>
          <w:sz w:val="22"/>
          <w:szCs w:val="22"/>
        </w:rPr>
        <w:t>was understated by P232</w:t>
      </w:r>
      <w:r w:rsidR="00B869E6" w:rsidRPr="00B93286">
        <w:rPr>
          <w:rFonts w:ascii="Arial" w:hAnsi="Arial" w:cs="Arial"/>
          <w:b/>
          <w:sz w:val="22"/>
          <w:szCs w:val="22"/>
        </w:rPr>
        <w:t>.</w:t>
      </w:r>
      <w:r w:rsidRPr="00B93286">
        <w:rPr>
          <w:rFonts w:ascii="Arial" w:hAnsi="Arial" w:cs="Arial"/>
          <w:b/>
          <w:sz w:val="22"/>
          <w:szCs w:val="22"/>
        </w:rPr>
        <w:t>600</w:t>
      </w:r>
      <w:r w:rsidR="00B869E6" w:rsidRPr="00B93286">
        <w:rPr>
          <w:rFonts w:ascii="Arial" w:hAnsi="Arial" w:cs="Arial"/>
          <w:b/>
          <w:sz w:val="22"/>
          <w:szCs w:val="22"/>
        </w:rPr>
        <w:t xml:space="preserve"> million</w:t>
      </w:r>
      <w:r w:rsidRPr="00B93286">
        <w:rPr>
          <w:rFonts w:ascii="Arial" w:hAnsi="Arial" w:cs="Arial"/>
          <w:b/>
          <w:sz w:val="22"/>
          <w:szCs w:val="22"/>
        </w:rPr>
        <w:t xml:space="preserve"> as </w:t>
      </w:r>
      <w:r w:rsidR="00340C14">
        <w:rPr>
          <w:rFonts w:ascii="Arial" w:hAnsi="Arial" w:cs="Arial"/>
          <w:b/>
          <w:sz w:val="22"/>
          <w:szCs w:val="22"/>
        </w:rPr>
        <w:t xml:space="preserve">at </w:t>
      </w:r>
      <w:r w:rsidRPr="00B93286">
        <w:rPr>
          <w:rFonts w:ascii="Arial" w:hAnsi="Arial" w:cs="Arial"/>
          <w:b/>
          <w:sz w:val="22"/>
          <w:szCs w:val="22"/>
        </w:rPr>
        <w:t xml:space="preserve">December 31, 2018 due to </w:t>
      </w:r>
      <w:r w:rsidR="001369CA" w:rsidRPr="00B93286">
        <w:rPr>
          <w:rFonts w:ascii="Arial" w:hAnsi="Arial" w:cs="Arial"/>
          <w:b/>
          <w:sz w:val="22"/>
          <w:szCs w:val="22"/>
        </w:rPr>
        <w:t>erroneous recording of various</w:t>
      </w:r>
      <w:r w:rsidR="009B69ED" w:rsidRPr="00B93286">
        <w:rPr>
          <w:rFonts w:ascii="Arial" w:hAnsi="Arial" w:cs="Arial"/>
          <w:b/>
          <w:sz w:val="22"/>
          <w:szCs w:val="22"/>
        </w:rPr>
        <w:t xml:space="preserve"> charity</w:t>
      </w:r>
      <w:r w:rsidR="001369CA" w:rsidRPr="00B93286">
        <w:rPr>
          <w:rFonts w:ascii="Arial" w:hAnsi="Arial" w:cs="Arial"/>
          <w:b/>
          <w:sz w:val="22"/>
          <w:szCs w:val="22"/>
        </w:rPr>
        <w:t xml:space="preserve"> expenses and payments</w:t>
      </w:r>
      <w:r w:rsidR="00B93286">
        <w:rPr>
          <w:rFonts w:ascii="Arial" w:hAnsi="Arial" w:cs="Arial"/>
          <w:b/>
          <w:sz w:val="22"/>
          <w:szCs w:val="22"/>
        </w:rPr>
        <w:t>, as follows:</w:t>
      </w:r>
    </w:p>
    <w:p w:rsidR="00B93286" w:rsidRDefault="00B93286" w:rsidP="00B93286">
      <w:pPr>
        <w:pStyle w:val="ListParagraph"/>
        <w:ind w:left="576"/>
        <w:jc w:val="both"/>
        <w:rPr>
          <w:rFonts w:ascii="Arial" w:hAnsi="Arial" w:cs="Arial"/>
          <w:b/>
          <w:sz w:val="22"/>
          <w:szCs w:val="22"/>
        </w:rPr>
      </w:pPr>
    </w:p>
    <w:p w:rsidR="00B93286" w:rsidRPr="00DA5D0E" w:rsidRDefault="00B93286" w:rsidP="00DA78B4">
      <w:pPr>
        <w:pStyle w:val="ListParagraph"/>
        <w:numPr>
          <w:ilvl w:val="1"/>
          <w:numId w:val="3"/>
        </w:numPr>
        <w:tabs>
          <w:tab w:val="left" w:pos="1260"/>
          <w:tab w:val="left" w:pos="8640"/>
        </w:tabs>
        <w:ind w:left="1260" w:hanging="540"/>
        <w:jc w:val="both"/>
        <w:rPr>
          <w:rFonts w:ascii="Arial" w:hAnsi="Arial" w:cs="Arial"/>
          <w:b/>
          <w:sz w:val="22"/>
          <w:szCs w:val="22"/>
        </w:rPr>
      </w:pPr>
      <w:r w:rsidRPr="00DA5D0E">
        <w:rPr>
          <w:rFonts w:ascii="Arial" w:hAnsi="Arial" w:cs="Arial"/>
          <w:b/>
          <w:sz w:val="22"/>
          <w:szCs w:val="22"/>
        </w:rPr>
        <w:t>Erroneous recording of expenses of P23.348 million pertaining to Individual Partnership Program (IPP) and Endowment Fund (EF) Program which were already accrued in 2015</w:t>
      </w:r>
      <w:r w:rsidR="00DA5D0E" w:rsidRPr="00DA5D0E">
        <w:rPr>
          <w:rFonts w:ascii="Arial" w:hAnsi="Arial" w:cs="Arial"/>
          <w:b/>
          <w:sz w:val="22"/>
          <w:szCs w:val="22"/>
        </w:rPr>
        <w:t>;</w:t>
      </w:r>
    </w:p>
    <w:p w:rsidR="00DA5D0E" w:rsidRPr="00DA5D0E" w:rsidRDefault="00DA5D0E" w:rsidP="00DA5D0E">
      <w:pPr>
        <w:pStyle w:val="ListParagraph"/>
        <w:tabs>
          <w:tab w:val="left" w:pos="1260"/>
          <w:tab w:val="left" w:pos="8640"/>
        </w:tabs>
        <w:ind w:left="1260"/>
        <w:jc w:val="both"/>
        <w:rPr>
          <w:rFonts w:ascii="Arial" w:hAnsi="Arial" w:cs="Arial"/>
          <w:b/>
          <w:sz w:val="22"/>
          <w:szCs w:val="22"/>
        </w:rPr>
      </w:pPr>
    </w:p>
    <w:p w:rsidR="00DA5D0E" w:rsidRPr="00DA5D0E" w:rsidRDefault="00DA5D0E" w:rsidP="00DA78B4">
      <w:pPr>
        <w:pStyle w:val="ListParagraph"/>
        <w:numPr>
          <w:ilvl w:val="1"/>
          <w:numId w:val="3"/>
        </w:numPr>
        <w:tabs>
          <w:tab w:val="left" w:pos="1260"/>
          <w:tab w:val="left" w:pos="8640"/>
        </w:tabs>
        <w:ind w:left="1260" w:hanging="540"/>
        <w:jc w:val="both"/>
        <w:rPr>
          <w:rFonts w:ascii="Arial" w:hAnsi="Arial" w:cs="Arial"/>
          <w:b/>
          <w:sz w:val="22"/>
          <w:szCs w:val="22"/>
        </w:rPr>
      </w:pPr>
      <w:r w:rsidRPr="00DA5D0E">
        <w:rPr>
          <w:rFonts w:ascii="Arial" w:hAnsi="Arial" w:cs="Arial"/>
          <w:b/>
          <w:sz w:val="22"/>
          <w:szCs w:val="22"/>
        </w:rPr>
        <w:t>Over recording of expenses amounting to P26.077 million under the Purchase of Medical Equipment Program; and</w:t>
      </w:r>
    </w:p>
    <w:p w:rsidR="00DA5D0E" w:rsidRPr="00DA5D0E" w:rsidRDefault="00DA5D0E" w:rsidP="00DA5D0E">
      <w:pPr>
        <w:pStyle w:val="ListParagraph"/>
        <w:tabs>
          <w:tab w:val="left" w:pos="1260"/>
          <w:tab w:val="left" w:pos="8640"/>
        </w:tabs>
        <w:ind w:left="1260"/>
        <w:jc w:val="both"/>
        <w:rPr>
          <w:rFonts w:ascii="Arial" w:hAnsi="Arial" w:cs="Arial"/>
          <w:b/>
          <w:sz w:val="22"/>
          <w:szCs w:val="22"/>
        </w:rPr>
      </w:pPr>
    </w:p>
    <w:p w:rsidR="00DA5D0E" w:rsidRPr="00DA5D0E" w:rsidRDefault="00DA5D0E" w:rsidP="00DA78B4">
      <w:pPr>
        <w:pStyle w:val="ListParagraph"/>
        <w:numPr>
          <w:ilvl w:val="1"/>
          <w:numId w:val="3"/>
        </w:numPr>
        <w:tabs>
          <w:tab w:val="left" w:pos="1260"/>
          <w:tab w:val="left" w:pos="8640"/>
        </w:tabs>
        <w:ind w:left="1260" w:hanging="540"/>
        <w:jc w:val="both"/>
        <w:rPr>
          <w:rFonts w:ascii="Arial" w:hAnsi="Arial" w:cs="Arial"/>
          <w:b/>
          <w:sz w:val="22"/>
          <w:szCs w:val="22"/>
        </w:rPr>
      </w:pPr>
      <w:r w:rsidRPr="00DA5D0E">
        <w:rPr>
          <w:rFonts w:ascii="Arial" w:hAnsi="Arial" w:cs="Arial"/>
          <w:b/>
          <w:sz w:val="22"/>
          <w:szCs w:val="22"/>
        </w:rPr>
        <w:t>Erroneous recording of payments for mandatory contributions totaling P206.523 million</w:t>
      </w:r>
      <w:r>
        <w:rPr>
          <w:rFonts w:ascii="Arial" w:hAnsi="Arial" w:cs="Arial"/>
          <w:b/>
          <w:sz w:val="22"/>
          <w:szCs w:val="22"/>
        </w:rPr>
        <w:t>.</w:t>
      </w:r>
    </w:p>
    <w:p w:rsidR="00AB2FD1" w:rsidRPr="00EA2241" w:rsidRDefault="00AB2FD1" w:rsidP="004C39E3">
      <w:pPr>
        <w:pStyle w:val="ListParagraph"/>
        <w:jc w:val="both"/>
        <w:rPr>
          <w:rFonts w:ascii="Arial" w:hAnsi="Arial" w:cs="Arial"/>
          <w:sz w:val="22"/>
          <w:szCs w:val="22"/>
        </w:rPr>
      </w:pPr>
    </w:p>
    <w:p w:rsidR="00673313" w:rsidRPr="00EA2241" w:rsidRDefault="00673313" w:rsidP="00DA78B4">
      <w:pPr>
        <w:pStyle w:val="ListParagraph"/>
        <w:numPr>
          <w:ilvl w:val="1"/>
          <w:numId w:val="1"/>
        </w:numPr>
        <w:ind w:left="1440"/>
        <w:jc w:val="both"/>
        <w:rPr>
          <w:rFonts w:ascii="Arial" w:hAnsi="Arial" w:cs="Arial"/>
          <w:sz w:val="22"/>
          <w:szCs w:val="22"/>
        </w:rPr>
      </w:pPr>
      <w:r w:rsidRPr="00EA2241">
        <w:rPr>
          <w:rFonts w:ascii="Arial" w:hAnsi="Arial" w:cs="Arial"/>
          <w:sz w:val="22"/>
          <w:szCs w:val="22"/>
        </w:rPr>
        <w:t xml:space="preserve">Section </w:t>
      </w:r>
      <w:r w:rsidR="00F262EA" w:rsidRPr="00EA2241">
        <w:rPr>
          <w:rFonts w:ascii="Arial" w:hAnsi="Arial" w:cs="Arial"/>
          <w:sz w:val="22"/>
          <w:szCs w:val="22"/>
        </w:rPr>
        <w:t xml:space="preserve">111 </w:t>
      </w:r>
      <w:r w:rsidRPr="00EA2241">
        <w:rPr>
          <w:rFonts w:ascii="Arial" w:hAnsi="Arial" w:cs="Arial"/>
          <w:sz w:val="22"/>
          <w:szCs w:val="22"/>
        </w:rPr>
        <w:t>of P</w:t>
      </w:r>
      <w:r w:rsidR="00D42B81" w:rsidRPr="00EA2241">
        <w:rPr>
          <w:rFonts w:ascii="Arial" w:hAnsi="Arial" w:cs="Arial"/>
          <w:sz w:val="22"/>
          <w:szCs w:val="22"/>
        </w:rPr>
        <w:t xml:space="preserve">residential </w:t>
      </w:r>
      <w:r w:rsidRPr="00EA2241">
        <w:rPr>
          <w:rFonts w:ascii="Arial" w:hAnsi="Arial" w:cs="Arial"/>
          <w:sz w:val="22"/>
          <w:szCs w:val="22"/>
        </w:rPr>
        <w:t>D</w:t>
      </w:r>
      <w:r w:rsidR="00D42B81" w:rsidRPr="00EA2241">
        <w:rPr>
          <w:rFonts w:ascii="Arial" w:hAnsi="Arial" w:cs="Arial"/>
          <w:sz w:val="22"/>
          <w:szCs w:val="22"/>
        </w:rPr>
        <w:t>ecree</w:t>
      </w:r>
      <w:r w:rsidR="00B93286">
        <w:rPr>
          <w:rFonts w:ascii="Arial" w:hAnsi="Arial" w:cs="Arial"/>
          <w:sz w:val="22"/>
          <w:szCs w:val="22"/>
        </w:rPr>
        <w:t xml:space="preserve"> (PD)</w:t>
      </w:r>
      <w:r w:rsidR="00D42B81" w:rsidRPr="00EA2241">
        <w:rPr>
          <w:rFonts w:ascii="Arial" w:hAnsi="Arial" w:cs="Arial"/>
          <w:sz w:val="22"/>
          <w:szCs w:val="22"/>
        </w:rPr>
        <w:t xml:space="preserve"> No. </w:t>
      </w:r>
      <w:r w:rsidRPr="00EA2241">
        <w:rPr>
          <w:rFonts w:ascii="Arial" w:hAnsi="Arial" w:cs="Arial"/>
          <w:sz w:val="22"/>
          <w:szCs w:val="22"/>
        </w:rPr>
        <w:t xml:space="preserve">1445 </w:t>
      </w:r>
      <w:r w:rsidR="001D3560" w:rsidRPr="00EA2241">
        <w:rPr>
          <w:rFonts w:ascii="Arial" w:hAnsi="Arial" w:cs="Arial"/>
          <w:sz w:val="22"/>
          <w:szCs w:val="22"/>
        </w:rPr>
        <w:t xml:space="preserve">on </w:t>
      </w:r>
      <w:r w:rsidR="004607BB" w:rsidRPr="00EA2241">
        <w:rPr>
          <w:rFonts w:ascii="Arial" w:hAnsi="Arial" w:cs="Arial"/>
          <w:sz w:val="22"/>
          <w:szCs w:val="22"/>
        </w:rPr>
        <w:t xml:space="preserve">the </w:t>
      </w:r>
      <w:r w:rsidR="001D3560" w:rsidRPr="00EA2241">
        <w:rPr>
          <w:rFonts w:ascii="Arial" w:hAnsi="Arial" w:cs="Arial"/>
          <w:sz w:val="22"/>
          <w:szCs w:val="22"/>
        </w:rPr>
        <w:t xml:space="preserve">recording of financial transaction </w:t>
      </w:r>
      <w:r w:rsidRPr="00EA2241">
        <w:rPr>
          <w:rFonts w:ascii="Arial" w:hAnsi="Arial" w:cs="Arial"/>
          <w:sz w:val="22"/>
          <w:szCs w:val="22"/>
        </w:rPr>
        <w:t>states:</w:t>
      </w:r>
    </w:p>
    <w:p w:rsidR="00522526" w:rsidRPr="00EA2241" w:rsidRDefault="00522526" w:rsidP="004C39E3">
      <w:pPr>
        <w:pStyle w:val="ListParagraph"/>
        <w:ind w:left="1080"/>
        <w:jc w:val="both"/>
        <w:rPr>
          <w:rFonts w:ascii="Arial" w:hAnsi="Arial" w:cs="Arial"/>
          <w:sz w:val="22"/>
          <w:szCs w:val="22"/>
        </w:rPr>
      </w:pPr>
    </w:p>
    <w:p w:rsidR="00673313" w:rsidRPr="00EF4855" w:rsidRDefault="00673313" w:rsidP="004A2D69">
      <w:pPr>
        <w:spacing w:after="0" w:line="240" w:lineRule="auto"/>
        <w:ind w:left="1710" w:right="720"/>
        <w:jc w:val="both"/>
        <w:rPr>
          <w:rFonts w:ascii="Arial" w:hAnsi="Arial" w:cs="Arial"/>
          <w:i/>
        </w:rPr>
      </w:pPr>
      <w:r w:rsidRPr="00EF4855">
        <w:rPr>
          <w:rFonts w:ascii="Arial" w:hAnsi="Arial" w:cs="Arial"/>
          <w:i/>
        </w:rPr>
        <w:t>Section 11</w:t>
      </w:r>
      <w:r w:rsidR="00F262EA">
        <w:rPr>
          <w:rFonts w:ascii="Arial" w:hAnsi="Arial" w:cs="Arial"/>
          <w:i/>
        </w:rPr>
        <w:t>1</w:t>
      </w:r>
      <w:r w:rsidRPr="00EF4855">
        <w:rPr>
          <w:rFonts w:ascii="Arial" w:hAnsi="Arial" w:cs="Arial"/>
          <w:i/>
        </w:rPr>
        <w:t>.  Keeping of accounts.</w:t>
      </w:r>
    </w:p>
    <w:p w:rsidR="00F262EA" w:rsidRDefault="00017CD4" w:rsidP="004A2D69">
      <w:pPr>
        <w:spacing w:after="0" w:line="240" w:lineRule="auto"/>
        <w:ind w:left="1710" w:right="720"/>
        <w:jc w:val="both"/>
        <w:rPr>
          <w:rFonts w:ascii="Arial" w:hAnsi="Arial" w:cs="Arial"/>
          <w:i/>
        </w:rPr>
      </w:pPr>
      <w:r w:rsidRPr="00EF4855">
        <w:rPr>
          <w:rFonts w:ascii="Arial" w:hAnsi="Arial" w:cs="Arial"/>
          <w:i/>
        </w:rPr>
        <w:t xml:space="preserve"> </w:t>
      </w:r>
    </w:p>
    <w:p w:rsidR="00673313" w:rsidRDefault="00673313" w:rsidP="004A2D69">
      <w:pPr>
        <w:spacing w:after="0" w:line="240" w:lineRule="auto"/>
        <w:ind w:left="1710" w:right="720"/>
        <w:jc w:val="both"/>
        <w:rPr>
          <w:rFonts w:ascii="Arial" w:hAnsi="Arial" w:cs="Arial"/>
          <w:i/>
        </w:rPr>
      </w:pPr>
      <w:r w:rsidRPr="00EF4855">
        <w:rPr>
          <w:rFonts w:ascii="Arial" w:hAnsi="Arial" w:cs="Arial"/>
          <w:i/>
        </w:rPr>
        <w:t xml:space="preserve">x x x </w:t>
      </w:r>
    </w:p>
    <w:p w:rsidR="00F262EA" w:rsidRPr="00EF4855" w:rsidRDefault="00F262EA" w:rsidP="004A2D69">
      <w:pPr>
        <w:spacing w:after="0" w:line="240" w:lineRule="auto"/>
        <w:ind w:left="1710" w:right="720"/>
        <w:jc w:val="both"/>
        <w:rPr>
          <w:rFonts w:ascii="Arial" w:hAnsi="Arial" w:cs="Arial"/>
          <w:i/>
        </w:rPr>
      </w:pPr>
    </w:p>
    <w:p w:rsidR="00673313" w:rsidRPr="00EF4855" w:rsidRDefault="00F262EA" w:rsidP="004A2D69">
      <w:pPr>
        <w:spacing w:after="0" w:line="240" w:lineRule="auto"/>
        <w:ind w:left="1710" w:right="720"/>
        <w:jc w:val="both"/>
        <w:rPr>
          <w:rFonts w:ascii="Arial" w:hAnsi="Arial" w:cs="Arial"/>
          <w:i/>
        </w:rPr>
      </w:pPr>
      <w:r>
        <w:rPr>
          <w:rFonts w:ascii="Arial" w:hAnsi="Arial" w:cs="Arial"/>
          <w:i/>
        </w:rPr>
        <w:t xml:space="preserve">2. </w:t>
      </w:r>
      <w:r w:rsidR="00673313" w:rsidRPr="00EF4855">
        <w:rPr>
          <w:rFonts w:ascii="Arial" w:hAnsi="Arial" w:cs="Arial"/>
          <w:i/>
        </w:rPr>
        <w:t xml:space="preserve">The highest standards of honesty, objectivity and consistency shall be observed in the keeping of accounts to safeguard against </w:t>
      </w:r>
      <w:r w:rsidR="00673313" w:rsidRPr="00EF4855">
        <w:rPr>
          <w:rFonts w:ascii="Arial" w:hAnsi="Arial" w:cs="Arial"/>
          <w:b/>
          <w:i/>
        </w:rPr>
        <w:t>inaccurate or misleading information</w:t>
      </w:r>
      <w:r w:rsidR="00673313" w:rsidRPr="00EF4855">
        <w:rPr>
          <w:rFonts w:ascii="Arial" w:hAnsi="Arial" w:cs="Arial"/>
          <w:i/>
        </w:rPr>
        <w:t>.  (</w:t>
      </w:r>
      <w:r w:rsidR="00673313" w:rsidRPr="00052E7B">
        <w:rPr>
          <w:rFonts w:ascii="Arial" w:hAnsi="Arial" w:cs="Arial"/>
        </w:rPr>
        <w:t>emphasis ours</w:t>
      </w:r>
      <w:r w:rsidR="00673313" w:rsidRPr="00EF4855">
        <w:rPr>
          <w:rFonts w:ascii="Arial" w:hAnsi="Arial" w:cs="Arial"/>
          <w:i/>
        </w:rPr>
        <w:t>).</w:t>
      </w:r>
    </w:p>
    <w:p w:rsidR="005313E4" w:rsidRPr="00EF4855" w:rsidRDefault="005313E4" w:rsidP="004C39E3">
      <w:pPr>
        <w:spacing w:after="0" w:line="240" w:lineRule="auto"/>
        <w:ind w:left="2160" w:right="446"/>
        <w:jc w:val="both"/>
        <w:rPr>
          <w:rFonts w:ascii="Arial" w:hAnsi="Arial" w:cs="Arial"/>
          <w:i/>
        </w:rPr>
      </w:pPr>
    </w:p>
    <w:p w:rsidR="002D2A6F" w:rsidRPr="004F6C55" w:rsidRDefault="003725A6" w:rsidP="00DA78B4">
      <w:pPr>
        <w:pStyle w:val="ListParagraph"/>
        <w:numPr>
          <w:ilvl w:val="1"/>
          <w:numId w:val="1"/>
        </w:numPr>
        <w:ind w:left="1440"/>
        <w:jc w:val="both"/>
        <w:rPr>
          <w:rFonts w:ascii="Arial" w:hAnsi="Arial" w:cs="Arial"/>
          <w:sz w:val="22"/>
          <w:szCs w:val="22"/>
        </w:rPr>
      </w:pPr>
      <w:r w:rsidRPr="004F6C55">
        <w:rPr>
          <w:rFonts w:ascii="Arial" w:hAnsi="Arial" w:cs="Arial"/>
          <w:sz w:val="22"/>
          <w:szCs w:val="22"/>
        </w:rPr>
        <w:t>Review</w:t>
      </w:r>
      <w:r w:rsidR="00092AEA" w:rsidRPr="004F6C55">
        <w:rPr>
          <w:rFonts w:ascii="Arial" w:hAnsi="Arial" w:cs="Arial"/>
          <w:sz w:val="22"/>
          <w:szCs w:val="22"/>
        </w:rPr>
        <w:t xml:space="preserve"> of the </w:t>
      </w:r>
      <w:r w:rsidRPr="004F6C55">
        <w:rPr>
          <w:rFonts w:ascii="Arial" w:hAnsi="Arial" w:cs="Arial"/>
          <w:sz w:val="22"/>
          <w:szCs w:val="22"/>
        </w:rPr>
        <w:t xml:space="preserve">prior years’ accruals </w:t>
      </w:r>
      <w:r w:rsidR="00092AEA" w:rsidRPr="004F6C55">
        <w:rPr>
          <w:rFonts w:ascii="Arial" w:hAnsi="Arial" w:cs="Arial"/>
          <w:sz w:val="22"/>
          <w:szCs w:val="22"/>
        </w:rPr>
        <w:t xml:space="preserve">in </w:t>
      </w:r>
      <w:r w:rsidRPr="004F6C55">
        <w:rPr>
          <w:rFonts w:ascii="Arial" w:hAnsi="Arial" w:cs="Arial"/>
          <w:sz w:val="22"/>
          <w:szCs w:val="22"/>
        </w:rPr>
        <w:t xml:space="preserve">connection with the audit of the charity expenses incurred </w:t>
      </w:r>
      <w:r w:rsidR="00092AEA" w:rsidRPr="004F6C55">
        <w:rPr>
          <w:rFonts w:ascii="Arial" w:hAnsi="Arial" w:cs="Arial"/>
          <w:sz w:val="22"/>
          <w:szCs w:val="22"/>
        </w:rPr>
        <w:t xml:space="preserve">in </w:t>
      </w:r>
      <w:r w:rsidRPr="004F6C55">
        <w:rPr>
          <w:rFonts w:ascii="Arial" w:hAnsi="Arial" w:cs="Arial"/>
          <w:sz w:val="22"/>
          <w:szCs w:val="22"/>
        </w:rPr>
        <w:t>CY 2018</w:t>
      </w:r>
      <w:r w:rsidR="00092AEA" w:rsidRPr="004F6C55">
        <w:rPr>
          <w:rFonts w:ascii="Arial" w:hAnsi="Arial" w:cs="Arial"/>
          <w:sz w:val="22"/>
          <w:szCs w:val="22"/>
        </w:rPr>
        <w:t xml:space="preserve"> disclosed the observations discussed in the succeeding paragraphs</w:t>
      </w:r>
      <w:r w:rsidR="00396680" w:rsidRPr="004F6C55">
        <w:rPr>
          <w:rFonts w:ascii="Arial" w:hAnsi="Arial" w:cs="Arial"/>
          <w:sz w:val="22"/>
          <w:szCs w:val="22"/>
        </w:rPr>
        <w:t>.</w:t>
      </w:r>
      <w:r w:rsidR="00FF78DF" w:rsidRPr="004F6C55">
        <w:rPr>
          <w:rFonts w:ascii="Arial" w:hAnsi="Arial" w:cs="Arial"/>
          <w:sz w:val="22"/>
          <w:szCs w:val="22"/>
        </w:rPr>
        <w:t xml:space="preserve"> </w:t>
      </w:r>
    </w:p>
    <w:p w:rsidR="002D2A6F" w:rsidRPr="00EF4855" w:rsidRDefault="002D2A6F" w:rsidP="004C39E3">
      <w:pPr>
        <w:pStyle w:val="ListParagraph"/>
        <w:jc w:val="both"/>
        <w:rPr>
          <w:rFonts w:ascii="Arial" w:hAnsi="Arial" w:cs="Arial"/>
          <w:sz w:val="22"/>
          <w:szCs w:val="22"/>
        </w:rPr>
      </w:pPr>
    </w:p>
    <w:p w:rsidR="0063423D" w:rsidRPr="00EF4855" w:rsidRDefault="0063423D" w:rsidP="00E76177">
      <w:pPr>
        <w:pStyle w:val="ListParagraph"/>
        <w:tabs>
          <w:tab w:val="left" w:pos="5040"/>
        </w:tabs>
        <w:ind w:right="3600"/>
        <w:jc w:val="both"/>
        <w:rPr>
          <w:rFonts w:ascii="Arial" w:hAnsi="Arial" w:cs="Arial"/>
          <w:i/>
          <w:sz w:val="22"/>
          <w:szCs w:val="22"/>
        </w:rPr>
      </w:pPr>
      <w:r w:rsidRPr="00EF4855">
        <w:rPr>
          <w:rFonts w:ascii="Arial" w:hAnsi="Arial" w:cs="Arial"/>
          <w:i/>
          <w:sz w:val="22"/>
          <w:szCs w:val="22"/>
        </w:rPr>
        <w:t xml:space="preserve">Erroneous recording of </w:t>
      </w:r>
      <w:r w:rsidR="00F34E6F" w:rsidRPr="00EF4855">
        <w:rPr>
          <w:rFonts w:ascii="Arial" w:hAnsi="Arial" w:cs="Arial"/>
          <w:i/>
          <w:sz w:val="22"/>
          <w:szCs w:val="22"/>
        </w:rPr>
        <w:t xml:space="preserve">expenses </w:t>
      </w:r>
      <w:r w:rsidR="003354F0" w:rsidRPr="00EF4855">
        <w:rPr>
          <w:rFonts w:ascii="Arial" w:hAnsi="Arial" w:cs="Arial"/>
          <w:i/>
          <w:sz w:val="22"/>
          <w:szCs w:val="22"/>
        </w:rPr>
        <w:t>of</w:t>
      </w:r>
      <w:r w:rsidR="00F34E6F" w:rsidRPr="00EF4855">
        <w:rPr>
          <w:rFonts w:ascii="Arial" w:hAnsi="Arial" w:cs="Arial"/>
          <w:i/>
          <w:sz w:val="22"/>
          <w:szCs w:val="22"/>
        </w:rPr>
        <w:t xml:space="preserve"> P23</w:t>
      </w:r>
      <w:r w:rsidR="00B869E6" w:rsidRPr="00EF4855">
        <w:rPr>
          <w:rFonts w:ascii="Arial" w:hAnsi="Arial" w:cs="Arial"/>
          <w:i/>
          <w:sz w:val="22"/>
          <w:szCs w:val="22"/>
        </w:rPr>
        <w:t>.</w:t>
      </w:r>
      <w:r w:rsidR="00F34E6F" w:rsidRPr="00EF4855">
        <w:rPr>
          <w:rFonts w:ascii="Arial" w:hAnsi="Arial" w:cs="Arial"/>
          <w:i/>
          <w:sz w:val="22"/>
          <w:szCs w:val="22"/>
        </w:rPr>
        <w:t>348</w:t>
      </w:r>
      <w:r w:rsidR="00B869E6" w:rsidRPr="00EF4855">
        <w:rPr>
          <w:rFonts w:ascii="Arial" w:hAnsi="Arial" w:cs="Arial"/>
          <w:i/>
          <w:sz w:val="22"/>
          <w:szCs w:val="22"/>
        </w:rPr>
        <w:t xml:space="preserve"> million</w:t>
      </w:r>
      <w:r w:rsidR="00F34E6F" w:rsidRPr="00EF4855">
        <w:rPr>
          <w:rFonts w:ascii="Arial" w:hAnsi="Arial" w:cs="Arial"/>
          <w:i/>
          <w:sz w:val="22"/>
          <w:szCs w:val="22"/>
        </w:rPr>
        <w:t xml:space="preserve"> </w:t>
      </w:r>
      <w:r w:rsidRPr="00EF4855">
        <w:rPr>
          <w:rFonts w:ascii="Arial" w:hAnsi="Arial" w:cs="Arial"/>
          <w:i/>
          <w:sz w:val="22"/>
          <w:szCs w:val="22"/>
        </w:rPr>
        <w:t>pertain</w:t>
      </w:r>
      <w:r w:rsidR="00F34E6F" w:rsidRPr="00EF4855">
        <w:rPr>
          <w:rFonts w:ascii="Arial" w:hAnsi="Arial" w:cs="Arial"/>
          <w:i/>
          <w:sz w:val="22"/>
          <w:szCs w:val="22"/>
        </w:rPr>
        <w:t>ing to</w:t>
      </w:r>
      <w:r w:rsidRPr="00EF4855">
        <w:rPr>
          <w:rFonts w:ascii="Arial" w:hAnsi="Arial" w:cs="Arial"/>
          <w:i/>
          <w:sz w:val="22"/>
          <w:szCs w:val="22"/>
        </w:rPr>
        <w:t xml:space="preserve"> I</w:t>
      </w:r>
      <w:r w:rsidR="00B167BC" w:rsidRPr="00EF4855">
        <w:rPr>
          <w:rFonts w:ascii="Arial" w:hAnsi="Arial" w:cs="Arial"/>
          <w:i/>
          <w:sz w:val="22"/>
          <w:szCs w:val="22"/>
        </w:rPr>
        <w:t xml:space="preserve">ndividual </w:t>
      </w:r>
      <w:r w:rsidRPr="00EF4855">
        <w:rPr>
          <w:rFonts w:ascii="Arial" w:hAnsi="Arial" w:cs="Arial"/>
          <w:i/>
          <w:sz w:val="22"/>
          <w:szCs w:val="22"/>
        </w:rPr>
        <w:t>P</w:t>
      </w:r>
      <w:r w:rsidR="00B167BC" w:rsidRPr="00EF4855">
        <w:rPr>
          <w:rFonts w:ascii="Arial" w:hAnsi="Arial" w:cs="Arial"/>
          <w:i/>
          <w:sz w:val="22"/>
          <w:szCs w:val="22"/>
        </w:rPr>
        <w:t xml:space="preserve">artnership </w:t>
      </w:r>
      <w:r w:rsidRPr="00EF4855">
        <w:rPr>
          <w:rFonts w:ascii="Arial" w:hAnsi="Arial" w:cs="Arial"/>
          <w:i/>
          <w:sz w:val="22"/>
          <w:szCs w:val="22"/>
        </w:rPr>
        <w:t>P</w:t>
      </w:r>
      <w:r w:rsidR="00B167BC" w:rsidRPr="00EF4855">
        <w:rPr>
          <w:rFonts w:ascii="Arial" w:hAnsi="Arial" w:cs="Arial"/>
          <w:i/>
          <w:sz w:val="22"/>
          <w:szCs w:val="22"/>
        </w:rPr>
        <w:t>rogram (IPP)</w:t>
      </w:r>
      <w:r w:rsidRPr="00EF4855">
        <w:rPr>
          <w:rFonts w:ascii="Arial" w:hAnsi="Arial" w:cs="Arial"/>
          <w:i/>
          <w:sz w:val="22"/>
          <w:szCs w:val="22"/>
        </w:rPr>
        <w:t xml:space="preserve"> and E</w:t>
      </w:r>
      <w:r w:rsidR="00B167BC" w:rsidRPr="00EF4855">
        <w:rPr>
          <w:rFonts w:ascii="Arial" w:hAnsi="Arial" w:cs="Arial"/>
          <w:i/>
          <w:sz w:val="22"/>
          <w:szCs w:val="22"/>
        </w:rPr>
        <w:t xml:space="preserve">ndowment </w:t>
      </w:r>
      <w:r w:rsidRPr="00EF4855">
        <w:rPr>
          <w:rFonts w:ascii="Arial" w:hAnsi="Arial" w:cs="Arial"/>
          <w:i/>
          <w:sz w:val="22"/>
          <w:szCs w:val="22"/>
        </w:rPr>
        <w:t>F</w:t>
      </w:r>
      <w:r w:rsidR="00B167BC" w:rsidRPr="00EF4855">
        <w:rPr>
          <w:rFonts w:ascii="Arial" w:hAnsi="Arial" w:cs="Arial"/>
          <w:i/>
          <w:sz w:val="22"/>
          <w:szCs w:val="22"/>
        </w:rPr>
        <w:t>und (EF)</w:t>
      </w:r>
      <w:r w:rsidRPr="00EF4855">
        <w:rPr>
          <w:rFonts w:ascii="Arial" w:hAnsi="Arial" w:cs="Arial"/>
          <w:i/>
          <w:sz w:val="22"/>
          <w:szCs w:val="22"/>
        </w:rPr>
        <w:t xml:space="preserve"> Program which were already accrued in 2015</w:t>
      </w:r>
    </w:p>
    <w:p w:rsidR="0063423D" w:rsidRPr="00EF4855" w:rsidRDefault="0063423D" w:rsidP="004C39E3">
      <w:pPr>
        <w:pStyle w:val="ListParagraph"/>
        <w:ind w:left="360"/>
        <w:rPr>
          <w:rFonts w:ascii="Arial" w:hAnsi="Arial" w:cs="Arial"/>
          <w:sz w:val="22"/>
          <w:szCs w:val="22"/>
        </w:rPr>
      </w:pPr>
    </w:p>
    <w:p w:rsidR="0063423D" w:rsidRPr="00E76177" w:rsidRDefault="0063423D" w:rsidP="00DA78B4">
      <w:pPr>
        <w:pStyle w:val="ListParagraph"/>
        <w:numPr>
          <w:ilvl w:val="1"/>
          <w:numId w:val="1"/>
        </w:numPr>
        <w:ind w:left="1440"/>
        <w:jc w:val="both"/>
        <w:rPr>
          <w:rFonts w:ascii="Arial" w:hAnsi="Arial" w:cs="Arial"/>
          <w:sz w:val="22"/>
          <w:szCs w:val="22"/>
        </w:rPr>
      </w:pPr>
      <w:r w:rsidRPr="00E76177">
        <w:rPr>
          <w:rFonts w:ascii="Arial" w:hAnsi="Arial" w:cs="Arial"/>
          <w:sz w:val="22"/>
          <w:szCs w:val="22"/>
        </w:rPr>
        <w:t xml:space="preserve">The IPP/EF programs were suspended from </w:t>
      </w:r>
      <w:r w:rsidR="00052E7B" w:rsidRPr="00E76177">
        <w:rPr>
          <w:rFonts w:ascii="Arial" w:hAnsi="Arial" w:cs="Arial"/>
          <w:sz w:val="22"/>
          <w:szCs w:val="22"/>
        </w:rPr>
        <w:t xml:space="preserve">CYs </w:t>
      </w:r>
      <w:r w:rsidRPr="00E76177">
        <w:rPr>
          <w:rFonts w:ascii="Arial" w:hAnsi="Arial" w:cs="Arial"/>
          <w:sz w:val="22"/>
          <w:szCs w:val="22"/>
        </w:rPr>
        <w:t>2015 to 20</w:t>
      </w:r>
      <w:r w:rsidR="00C06984" w:rsidRPr="00E76177">
        <w:rPr>
          <w:rFonts w:ascii="Arial" w:hAnsi="Arial" w:cs="Arial"/>
          <w:sz w:val="22"/>
          <w:szCs w:val="22"/>
        </w:rPr>
        <w:t xml:space="preserve">17 due to the revisions of </w:t>
      </w:r>
      <w:r w:rsidR="00676C1D" w:rsidRPr="00E76177">
        <w:rPr>
          <w:rFonts w:ascii="Arial" w:hAnsi="Arial" w:cs="Arial"/>
          <w:sz w:val="22"/>
          <w:szCs w:val="22"/>
        </w:rPr>
        <w:t>their</w:t>
      </w:r>
      <w:r w:rsidR="00C06984" w:rsidRPr="00E76177">
        <w:rPr>
          <w:rFonts w:ascii="Arial" w:hAnsi="Arial" w:cs="Arial"/>
          <w:sz w:val="22"/>
          <w:szCs w:val="22"/>
        </w:rPr>
        <w:t xml:space="preserve"> </w:t>
      </w:r>
      <w:r w:rsidRPr="00E76177">
        <w:rPr>
          <w:rFonts w:ascii="Arial" w:hAnsi="Arial" w:cs="Arial"/>
          <w:sz w:val="22"/>
          <w:szCs w:val="22"/>
        </w:rPr>
        <w:t>respective Implementing Guidelines.  During CY 2018, PCSO resumed the said programs and released the amounts of P26</w:t>
      </w:r>
      <w:r w:rsidR="0019310E" w:rsidRPr="00E76177">
        <w:rPr>
          <w:rFonts w:ascii="Arial" w:hAnsi="Arial" w:cs="Arial"/>
          <w:sz w:val="22"/>
          <w:szCs w:val="22"/>
        </w:rPr>
        <w:t>.</w:t>
      </w:r>
      <w:r w:rsidRPr="00E76177">
        <w:rPr>
          <w:rFonts w:ascii="Arial" w:hAnsi="Arial" w:cs="Arial"/>
          <w:sz w:val="22"/>
          <w:szCs w:val="22"/>
        </w:rPr>
        <w:t>832</w:t>
      </w:r>
      <w:r w:rsidR="0019310E" w:rsidRPr="00E76177">
        <w:rPr>
          <w:rFonts w:ascii="Arial" w:hAnsi="Arial" w:cs="Arial"/>
          <w:sz w:val="22"/>
          <w:szCs w:val="22"/>
        </w:rPr>
        <w:t xml:space="preserve"> million</w:t>
      </w:r>
      <w:r w:rsidRPr="00E76177">
        <w:rPr>
          <w:rFonts w:ascii="Arial" w:hAnsi="Arial" w:cs="Arial"/>
          <w:sz w:val="22"/>
          <w:szCs w:val="22"/>
        </w:rPr>
        <w:t xml:space="preserve"> and P32</w:t>
      </w:r>
      <w:r w:rsidR="0019310E" w:rsidRPr="00E76177">
        <w:rPr>
          <w:rFonts w:ascii="Arial" w:hAnsi="Arial" w:cs="Arial"/>
          <w:sz w:val="22"/>
          <w:szCs w:val="22"/>
        </w:rPr>
        <w:t>.</w:t>
      </w:r>
      <w:r w:rsidRPr="00E76177">
        <w:rPr>
          <w:rFonts w:ascii="Arial" w:hAnsi="Arial" w:cs="Arial"/>
          <w:sz w:val="22"/>
          <w:szCs w:val="22"/>
        </w:rPr>
        <w:t>000</w:t>
      </w:r>
      <w:r w:rsidR="0019310E" w:rsidRPr="00E76177">
        <w:rPr>
          <w:rFonts w:ascii="Arial" w:hAnsi="Arial" w:cs="Arial"/>
          <w:sz w:val="22"/>
          <w:szCs w:val="22"/>
        </w:rPr>
        <w:t xml:space="preserve"> million</w:t>
      </w:r>
      <w:r w:rsidRPr="00E76177">
        <w:rPr>
          <w:rFonts w:ascii="Arial" w:hAnsi="Arial" w:cs="Arial"/>
          <w:sz w:val="22"/>
          <w:szCs w:val="22"/>
        </w:rPr>
        <w:t xml:space="preserve"> to various selected beneficiaries of the IPP and EF by virtue of Board Resolutions (BR) Nos. 185 and 199 series of 2018, respectively.  These were recorded in the books as debit to </w:t>
      </w:r>
      <w:r w:rsidR="00E76177">
        <w:rPr>
          <w:rFonts w:ascii="Arial" w:hAnsi="Arial" w:cs="Arial"/>
          <w:sz w:val="22"/>
          <w:szCs w:val="22"/>
        </w:rPr>
        <w:t xml:space="preserve">Other </w:t>
      </w:r>
      <w:r w:rsidRPr="00E76177">
        <w:rPr>
          <w:rFonts w:ascii="Arial" w:hAnsi="Arial" w:cs="Arial"/>
          <w:sz w:val="22"/>
          <w:szCs w:val="22"/>
        </w:rPr>
        <w:t>Charity Expenses account (IPP/EF) and credit to Cash in bank –</w:t>
      </w:r>
      <w:r w:rsidR="00E76177">
        <w:rPr>
          <w:rFonts w:ascii="Arial" w:hAnsi="Arial" w:cs="Arial"/>
          <w:sz w:val="22"/>
          <w:szCs w:val="22"/>
        </w:rPr>
        <w:t xml:space="preserve"> </w:t>
      </w:r>
      <w:r w:rsidRPr="00E76177">
        <w:rPr>
          <w:rFonts w:ascii="Arial" w:hAnsi="Arial" w:cs="Arial"/>
          <w:sz w:val="22"/>
          <w:szCs w:val="22"/>
        </w:rPr>
        <w:t xml:space="preserve">Charity Fund account. </w:t>
      </w:r>
    </w:p>
    <w:p w:rsidR="0063423D" w:rsidRPr="00EF4855" w:rsidRDefault="0063423D" w:rsidP="004C39E3">
      <w:pPr>
        <w:pStyle w:val="ListParagraph"/>
        <w:ind w:left="1080"/>
        <w:jc w:val="both"/>
        <w:rPr>
          <w:rFonts w:ascii="Arial" w:hAnsi="Arial" w:cs="Arial"/>
          <w:sz w:val="22"/>
          <w:szCs w:val="22"/>
        </w:rPr>
      </w:pPr>
    </w:p>
    <w:p w:rsidR="0063423D" w:rsidRPr="00EF4855" w:rsidRDefault="0063423D" w:rsidP="00DA78B4">
      <w:pPr>
        <w:pStyle w:val="ListParagraph"/>
        <w:numPr>
          <w:ilvl w:val="1"/>
          <w:numId w:val="1"/>
        </w:numPr>
        <w:ind w:left="1440"/>
        <w:jc w:val="both"/>
        <w:rPr>
          <w:rFonts w:ascii="Arial" w:hAnsi="Arial" w:cs="Arial"/>
          <w:sz w:val="22"/>
          <w:szCs w:val="22"/>
        </w:rPr>
      </w:pPr>
      <w:r w:rsidRPr="00EF4855">
        <w:rPr>
          <w:rFonts w:ascii="Arial" w:hAnsi="Arial" w:cs="Arial"/>
          <w:sz w:val="22"/>
          <w:szCs w:val="22"/>
        </w:rPr>
        <w:t>Verification, however, disclosed that P15</w:t>
      </w:r>
      <w:r w:rsidR="0019310E" w:rsidRPr="00EF4855">
        <w:rPr>
          <w:rFonts w:ascii="Arial" w:hAnsi="Arial" w:cs="Arial"/>
          <w:sz w:val="22"/>
          <w:szCs w:val="22"/>
        </w:rPr>
        <w:t>.</w:t>
      </w:r>
      <w:r w:rsidRPr="00EF4855">
        <w:rPr>
          <w:rFonts w:ascii="Arial" w:hAnsi="Arial" w:cs="Arial"/>
          <w:sz w:val="22"/>
          <w:szCs w:val="22"/>
        </w:rPr>
        <w:t>138</w:t>
      </w:r>
      <w:r w:rsidR="0019310E" w:rsidRPr="00EF4855">
        <w:rPr>
          <w:rFonts w:ascii="Arial" w:hAnsi="Arial" w:cs="Arial"/>
          <w:sz w:val="22"/>
          <w:szCs w:val="22"/>
        </w:rPr>
        <w:t xml:space="preserve"> million</w:t>
      </w:r>
      <w:r w:rsidR="00465115">
        <w:rPr>
          <w:rFonts w:ascii="Arial" w:hAnsi="Arial" w:cs="Arial"/>
          <w:sz w:val="22"/>
          <w:szCs w:val="22"/>
        </w:rPr>
        <w:t xml:space="preserve"> of the </w:t>
      </w:r>
      <w:r w:rsidRPr="00EF4855">
        <w:rPr>
          <w:rFonts w:ascii="Arial" w:hAnsi="Arial" w:cs="Arial"/>
          <w:sz w:val="22"/>
          <w:szCs w:val="22"/>
        </w:rPr>
        <w:t>P26</w:t>
      </w:r>
      <w:r w:rsidR="0019310E" w:rsidRPr="00EF4855">
        <w:rPr>
          <w:rFonts w:ascii="Arial" w:hAnsi="Arial" w:cs="Arial"/>
          <w:sz w:val="22"/>
          <w:szCs w:val="22"/>
        </w:rPr>
        <w:t>.</w:t>
      </w:r>
      <w:r w:rsidRPr="00EF4855">
        <w:rPr>
          <w:rFonts w:ascii="Arial" w:hAnsi="Arial" w:cs="Arial"/>
          <w:sz w:val="22"/>
          <w:szCs w:val="22"/>
        </w:rPr>
        <w:t>832</w:t>
      </w:r>
      <w:r w:rsidR="0019310E" w:rsidRPr="00EF4855">
        <w:rPr>
          <w:rFonts w:ascii="Arial" w:hAnsi="Arial" w:cs="Arial"/>
          <w:sz w:val="22"/>
          <w:szCs w:val="22"/>
        </w:rPr>
        <w:t xml:space="preserve"> million</w:t>
      </w:r>
      <w:r w:rsidRPr="00EF4855">
        <w:rPr>
          <w:rFonts w:ascii="Arial" w:hAnsi="Arial" w:cs="Arial"/>
          <w:sz w:val="22"/>
          <w:szCs w:val="22"/>
        </w:rPr>
        <w:t xml:space="preserve"> </w:t>
      </w:r>
      <w:r w:rsidR="00465115">
        <w:rPr>
          <w:rFonts w:ascii="Arial" w:hAnsi="Arial" w:cs="Arial"/>
          <w:sz w:val="22"/>
          <w:szCs w:val="22"/>
        </w:rPr>
        <w:t>released for the IPP was</w:t>
      </w:r>
      <w:r w:rsidRPr="00EF4855">
        <w:rPr>
          <w:rFonts w:ascii="Arial" w:hAnsi="Arial" w:cs="Arial"/>
          <w:sz w:val="22"/>
          <w:szCs w:val="22"/>
        </w:rPr>
        <w:t xml:space="preserve"> already accrued </w:t>
      </w:r>
      <w:r w:rsidR="004578DC" w:rsidRPr="00EF4855">
        <w:rPr>
          <w:rFonts w:ascii="Arial" w:hAnsi="Arial" w:cs="Arial"/>
          <w:sz w:val="22"/>
          <w:szCs w:val="22"/>
        </w:rPr>
        <w:t xml:space="preserve">in </w:t>
      </w:r>
      <w:r w:rsidRPr="00EF4855">
        <w:rPr>
          <w:rFonts w:ascii="Arial" w:hAnsi="Arial" w:cs="Arial"/>
          <w:sz w:val="22"/>
          <w:szCs w:val="22"/>
        </w:rPr>
        <w:t>CY 2015 pursuant t</w:t>
      </w:r>
      <w:r w:rsidR="00465115">
        <w:rPr>
          <w:rFonts w:ascii="Arial" w:hAnsi="Arial" w:cs="Arial"/>
          <w:sz w:val="22"/>
          <w:szCs w:val="22"/>
        </w:rPr>
        <w:t xml:space="preserve">o BR Nos. 282-300 series 2015.  </w:t>
      </w:r>
      <w:r w:rsidRPr="00EF4855">
        <w:rPr>
          <w:rFonts w:ascii="Arial" w:hAnsi="Arial" w:cs="Arial"/>
          <w:sz w:val="22"/>
          <w:szCs w:val="22"/>
        </w:rPr>
        <w:t xml:space="preserve">Likewise, the P3 million EF for the Veterans Memorial Medical Center was already accrued </w:t>
      </w:r>
      <w:r w:rsidR="007E46EC" w:rsidRPr="00EF4855">
        <w:rPr>
          <w:rFonts w:ascii="Arial" w:hAnsi="Arial" w:cs="Arial"/>
          <w:sz w:val="22"/>
          <w:szCs w:val="22"/>
        </w:rPr>
        <w:t>by</w:t>
      </w:r>
      <w:r w:rsidRPr="00EF4855">
        <w:rPr>
          <w:rFonts w:ascii="Arial" w:hAnsi="Arial" w:cs="Arial"/>
          <w:sz w:val="22"/>
          <w:szCs w:val="22"/>
        </w:rPr>
        <w:t xml:space="preserve"> debiting </w:t>
      </w:r>
      <w:r w:rsidR="00E76177">
        <w:rPr>
          <w:rFonts w:ascii="Arial" w:hAnsi="Arial" w:cs="Arial"/>
          <w:sz w:val="22"/>
          <w:szCs w:val="22"/>
        </w:rPr>
        <w:t xml:space="preserve">Other </w:t>
      </w:r>
      <w:r w:rsidRPr="00EF4855">
        <w:rPr>
          <w:rFonts w:ascii="Arial" w:hAnsi="Arial" w:cs="Arial"/>
          <w:sz w:val="22"/>
          <w:szCs w:val="22"/>
        </w:rPr>
        <w:t>Charity Expenses (IPP/EF) and crediting AP-Miscellaneous Account</w:t>
      </w:r>
      <w:r w:rsidR="007C5973">
        <w:rPr>
          <w:rFonts w:ascii="Arial" w:hAnsi="Arial" w:cs="Arial"/>
          <w:sz w:val="22"/>
          <w:szCs w:val="22"/>
        </w:rPr>
        <w:t>s</w:t>
      </w:r>
      <w:r w:rsidR="00465115">
        <w:rPr>
          <w:rFonts w:ascii="Arial" w:hAnsi="Arial" w:cs="Arial"/>
          <w:sz w:val="22"/>
          <w:szCs w:val="22"/>
        </w:rPr>
        <w:t xml:space="preserve">. </w:t>
      </w:r>
      <w:r w:rsidRPr="00EF4855">
        <w:rPr>
          <w:rFonts w:ascii="Arial" w:hAnsi="Arial" w:cs="Arial"/>
          <w:sz w:val="22"/>
          <w:szCs w:val="22"/>
        </w:rPr>
        <w:t>No reversal of the accrual was made during CY 2016</w:t>
      </w:r>
      <w:r w:rsidR="00E76177">
        <w:rPr>
          <w:rFonts w:ascii="Arial" w:hAnsi="Arial" w:cs="Arial"/>
          <w:sz w:val="22"/>
          <w:szCs w:val="22"/>
        </w:rPr>
        <w:t>;</w:t>
      </w:r>
      <w:r w:rsidRPr="00EF4855">
        <w:rPr>
          <w:rFonts w:ascii="Arial" w:hAnsi="Arial" w:cs="Arial"/>
          <w:sz w:val="22"/>
          <w:szCs w:val="22"/>
        </w:rPr>
        <w:t xml:space="preserve"> hence, th</w:t>
      </w:r>
      <w:r w:rsidR="004826A2" w:rsidRPr="00EF4855">
        <w:rPr>
          <w:rFonts w:ascii="Arial" w:hAnsi="Arial" w:cs="Arial"/>
          <w:sz w:val="22"/>
          <w:szCs w:val="22"/>
        </w:rPr>
        <w:t>e</w:t>
      </w:r>
      <w:r w:rsidRPr="00EF4855">
        <w:rPr>
          <w:rFonts w:ascii="Arial" w:hAnsi="Arial" w:cs="Arial"/>
          <w:sz w:val="22"/>
          <w:szCs w:val="22"/>
        </w:rPr>
        <w:t xml:space="preserve"> total accrued amount of P18</w:t>
      </w:r>
      <w:r w:rsidR="0019310E" w:rsidRPr="00EF4855">
        <w:rPr>
          <w:rFonts w:ascii="Arial" w:hAnsi="Arial" w:cs="Arial"/>
          <w:sz w:val="22"/>
          <w:szCs w:val="22"/>
        </w:rPr>
        <w:t>.</w:t>
      </w:r>
      <w:r w:rsidRPr="00EF4855">
        <w:rPr>
          <w:rFonts w:ascii="Arial" w:hAnsi="Arial" w:cs="Arial"/>
          <w:sz w:val="22"/>
          <w:szCs w:val="22"/>
        </w:rPr>
        <w:t>138</w:t>
      </w:r>
      <w:r w:rsidR="0019310E" w:rsidRPr="00EF4855">
        <w:rPr>
          <w:rFonts w:ascii="Arial" w:hAnsi="Arial" w:cs="Arial"/>
          <w:sz w:val="22"/>
          <w:szCs w:val="22"/>
        </w:rPr>
        <w:t xml:space="preserve"> million</w:t>
      </w:r>
      <w:r w:rsidRPr="00EF4855">
        <w:rPr>
          <w:rFonts w:ascii="Arial" w:hAnsi="Arial" w:cs="Arial"/>
          <w:sz w:val="22"/>
          <w:szCs w:val="22"/>
        </w:rPr>
        <w:t xml:space="preserve"> was already recognized in the AP-Miscellaneous account as of Dec</w:t>
      </w:r>
      <w:r w:rsidR="00E76177">
        <w:rPr>
          <w:rFonts w:ascii="Arial" w:hAnsi="Arial" w:cs="Arial"/>
          <w:sz w:val="22"/>
          <w:szCs w:val="22"/>
        </w:rPr>
        <w:t>ember</w:t>
      </w:r>
      <w:r w:rsidRPr="00EF4855">
        <w:rPr>
          <w:rFonts w:ascii="Arial" w:hAnsi="Arial" w:cs="Arial"/>
          <w:sz w:val="22"/>
          <w:szCs w:val="22"/>
        </w:rPr>
        <w:t xml:space="preserve"> 31, 2018. </w:t>
      </w:r>
    </w:p>
    <w:p w:rsidR="0063423D" w:rsidRPr="00EF4855" w:rsidRDefault="0063423D" w:rsidP="004C39E3">
      <w:pPr>
        <w:pStyle w:val="ListParagraph"/>
        <w:ind w:left="1080"/>
        <w:jc w:val="both"/>
        <w:rPr>
          <w:rFonts w:ascii="Arial" w:hAnsi="Arial" w:cs="Arial"/>
          <w:sz w:val="22"/>
          <w:szCs w:val="22"/>
        </w:rPr>
      </w:pPr>
    </w:p>
    <w:p w:rsidR="0063423D" w:rsidRDefault="00465115" w:rsidP="00DA78B4">
      <w:pPr>
        <w:pStyle w:val="ListParagraph"/>
        <w:numPr>
          <w:ilvl w:val="1"/>
          <w:numId w:val="1"/>
        </w:numPr>
        <w:ind w:left="1440"/>
        <w:jc w:val="both"/>
        <w:rPr>
          <w:rFonts w:ascii="Arial" w:hAnsi="Arial" w:cs="Arial"/>
          <w:sz w:val="22"/>
          <w:szCs w:val="22"/>
        </w:rPr>
      </w:pPr>
      <w:r>
        <w:rPr>
          <w:rFonts w:ascii="Arial" w:hAnsi="Arial" w:cs="Arial"/>
          <w:sz w:val="22"/>
          <w:szCs w:val="22"/>
        </w:rPr>
        <w:lastRenderedPageBreak/>
        <w:t xml:space="preserve">We noted that the </w:t>
      </w:r>
      <w:r w:rsidRPr="00EF4855">
        <w:rPr>
          <w:rFonts w:ascii="Arial" w:hAnsi="Arial" w:cs="Arial"/>
          <w:sz w:val="22"/>
          <w:szCs w:val="22"/>
        </w:rPr>
        <w:t xml:space="preserve">Charity Expenses account instead of </w:t>
      </w:r>
      <w:r>
        <w:rPr>
          <w:rFonts w:ascii="Arial" w:hAnsi="Arial" w:cs="Arial"/>
          <w:sz w:val="22"/>
          <w:szCs w:val="22"/>
        </w:rPr>
        <w:t xml:space="preserve">the </w:t>
      </w:r>
      <w:r w:rsidRPr="00EF4855">
        <w:rPr>
          <w:rFonts w:ascii="Arial" w:hAnsi="Arial" w:cs="Arial"/>
          <w:sz w:val="22"/>
          <w:szCs w:val="22"/>
        </w:rPr>
        <w:t>AP-Miscellaneous account was debited</w:t>
      </w:r>
      <w:r>
        <w:rPr>
          <w:rFonts w:ascii="Arial" w:hAnsi="Arial" w:cs="Arial"/>
          <w:sz w:val="22"/>
          <w:szCs w:val="22"/>
        </w:rPr>
        <w:t xml:space="preserve"> when</w:t>
      </w:r>
      <w:r w:rsidR="0063423D" w:rsidRPr="00EF4855">
        <w:rPr>
          <w:rFonts w:ascii="Arial" w:hAnsi="Arial" w:cs="Arial"/>
          <w:sz w:val="22"/>
          <w:szCs w:val="22"/>
        </w:rPr>
        <w:t xml:space="preserve"> payments made for the IPP/EF programs </w:t>
      </w:r>
      <w:r w:rsidR="00A47E99" w:rsidRPr="00EF4855">
        <w:rPr>
          <w:rFonts w:ascii="Arial" w:hAnsi="Arial" w:cs="Arial"/>
          <w:sz w:val="22"/>
          <w:szCs w:val="22"/>
        </w:rPr>
        <w:t xml:space="preserve">in </w:t>
      </w:r>
      <w:r>
        <w:rPr>
          <w:rFonts w:ascii="Arial" w:hAnsi="Arial" w:cs="Arial"/>
          <w:sz w:val="22"/>
          <w:szCs w:val="22"/>
        </w:rPr>
        <w:t xml:space="preserve">CY 2018 were recorded in the books </w:t>
      </w:r>
      <w:r w:rsidR="009A6382" w:rsidRPr="00EF4855">
        <w:rPr>
          <w:rFonts w:ascii="Arial" w:hAnsi="Arial" w:cs="Arial"/>
          <w:sz w:val="22"/>
          <w:szCs w:val="22"/>
        </w:rPr>
        <w:t xml:space="preserve">resulting in the overstatement of </w:t>
      </w:r>
      <w:r w:rsidR="0063423D" w:rsidRPr="00EF4855">
        <w:rPr>
          <w:rFonts w:ascii="Arial" w:hAnsi="Arial" w:cs="Arial"/>
          <w:sz w:val="22"/>
          <w:szCs w:val="22"/>
        </w:rPr>
        <w:t>both accounts by P18</w:t>
      </w:r>
      <w:r w:rsidR="0019310E" w:rsidRPr="00EF4855">
        <w:rPr>
          <w:rFonts w:ascii="Arial" w:hAnsi="Arial" w:cs="Arial"/>
          <w:sz w:val="22"/>
          <w:szCs w:val="22"/>
        </w:rPr>
        <w:t>.</w:t>
      </w:r>
      <w:r w:rsidR="0063423D" w:rsidRPr="00EF4855">
        <w:rPr>
          <w:rFonts w:ascii="Arial" w:hAnsi="Arial" w:cs="Arial"/>
          <w:sz w:val="22"/>
          <w:szCs w:val="22"/>
        </w:rPr>
        <w:t>138</w:t>
      </w:r>
      <w:r w:rsidR="0019310E" w:rsidRPr="00EF4855">
        <w:rPr>
          <w:rFonts w:ascii="Arial" w:hAnsi="Arial" w:cs="Arial"/>
          <w:sz w:val="22"/>
          <w:szCs w:val="22"/>
        </w:rPr>
        <w:t xml:space="preserve"> million</w:t>
      </w:r>
      <w:r>
        <w:rPr>
          <w:rFonts w:ascii="Arial" w:hAnsi="Arial" w:cs="Arial"/>
          <w:sz w:val="22"/>
          <w:szCs w:val="22"/>
        </w:rPr>
        <w:t xml:space="preserve">. </w:t>
      </w:r>
      <w:r w:rsidR="004607BB" w:rsidRPr="00EF4855">
        <w:rPr>
          <w:rFonts w:ascii="Arial" w:hAnsi="Arial" w:cs="Arial"/>
          <w:sz w:val="22"/>
          <w:szCs w:val="22"/>
        </w:rPr>
        <w:t xml:space="preserve">Shown in Table </w:t>
      </w:r>
      <w:r w:rsidR="00753E6F">
        <w:rPr>
          <w:rFonts w:ascii="Arial" w:hAnsi="Arial" w:cs="Arial"/>
          <w:sz w:val="22"/>
          <w:szCs w:val="22"/>
        </w:rPr>
        <w:t>7</w:t>
      </w:r>
      <w:r w:rsidR="0063423D" w:rsidRPr="00EF4855">
        <w:rPr>
          <w:rFonts w:ascii="Arial" w:hAnsi="Arial" w:cs="Arial"/>
          <w:sz w:val="22"/>
          <w:szCs w:val="22"/>
        </w:rPr>
        <w:t xml:space="preserve"> </w:t>
      </w:r>
      <w:r>
        <w:rPr>
          <w:rFonts w:ascii="Arial" w:hAnsi="Arial" w:cs="Arial"/>
          <w:sz w:val="22"/>
          <w:szCs w:val="22"/>
        </w:rPr>
        <w:t xml:space="preserve">below </w:t>
      </w:r>
      <w:r w:rsidR="00010D1C">
        <w:rPr>
          <w:rFonts w:ascii="Arial" w:hAnsi="Arial" w:cs="Arial"/>
          <w:sz w:val="22"/>
          <w:szCs w:val="22"/>
        </w:rPr>
        <w:t xml:space="preserve">are </w:t>
      </w:r>
      <w:r w:rsidR="0063423D" w:rsidRPr="00EF4855">
        <w:rPr>
          <w:rFonts w:ascii="Arial" w:hAnsi="Arial" w:cs="Arial"/>
          <w:sz w:val="22"/>
          <w:szCs w:val="22"/>
        </w:rPr>
        <w:t xml:space="preserve">the details </w:t>
      </w:r>
      <w:r w:rsidR="007C5973">
        <w:rPr>
          <w:rFonts w:ascii="Arial" w:hAnsi="Arial" w:cs="Arial"/>
          <w:sz w:val="22"/>
          <w:szCs w:val="22"/>
        </w:rPr>
        <w:t>of</w:t>
      </w:r>
      <w:r>
        <w:rPr>
          <w:rFonts w:ascii="Arial" w:hAnsi="Arial" w:cs="Arial"/>
          <w:sz w:val="22"/>
          <w:szCs w:val="22"/>
        </w:rPr>
        <w:t xml:space="preserve"> the </w:t>
      </w:r>
      <w:r w:rsidR="007C5973">
        <w:rPr>
          <w:rFonts w:ascii="Arial" w:hAnsi="Arial" w:cs="Arial"/>
          <w:sz w:val="22"/>
          <w:szCs w:val="22"/>
        </w:rPr>
        <w:t xml:space="preserve">2018 </w:t>
      </w:r>
      <w:r w:rsidR="0063423D" w:rsidRPr="00EF4855">
        <w:rPr>
          <w:rFonts w:ascii="Arial" w:hAnsi="Arial" w:cs="Arial"/>
          <w:sz w:val="22"/>
          <w:szCs w:val="22"/>
        </w:rPr>
        <w:t>transactions relating to the IPP/EF Programs</w:t>
      </w:r>
      <w:r w:rsidR="007C5973">
        <w:rPr>
          <w:rFonts w:ascii="Arial" w:hAnsi="Arial" w:cs="Arial"/>
          <w:sz w:val="22"/>
          <w:szCs w:val="22"/>
        </w:rPr>
        <w:t xml:space="preserve"> that were </w:t>
      </w:r>
      <w:r>
        <w:rPr>
          <w:rFonts w:ascii="Arial" w:hAnsi="Arial" w:cs="Arial"/>
          <w:sz w:val="22"/>
          <w:szCs w:val="22"/>
        </w:rPr>
        <w:t xml:space="preserve">the subject of the said </w:t>
      </w:r>
      <w:r w:rsidR="007C5973">
        <w:rPr>
          <w:rFonts w:ascii="Arial" w:hAnsi="Arial" w:cs="Arial"/>
          <w:sz w:val="22"/>
          <w:szCs w:val="22"/>
        </w:rPr>
        <w:t>e</w:t>
      </w:r>
      <w:r>
        <w:rPr>
          <w:rFonts w:ascii="Arial" w:hAnsi="Arial" w:cs="Arial"/>
          <w:sz w:val="22"/>
          <w:szCs w:val="22"/>
        </w:rPr>
        <w:t>rroneous recording.</w:t>
      </w:r>
    </w:p>
    <w:p w:rsidR="00465115" w:rsidRPr="00EF4855" w:rsidRDefault="00465115" w:rsidP="00465115">
      <w:pPr>
        <w:pStyle w:val="ListParagraph"/>
        <w:ind w:left="1080"/>
        <w:jc w:val="both"/>
        <w:rPr>
          <w:rFonts w:ascii="Arial" w:hAnsi="Arial" w:cs="Arial"/>
          <w:sz w:val="22"/>
          <w:szCs w:val="22"/>
        </w:rPr>
      </w:pPr>
    </w:p>
    <w:p w:rsidR="00D953D9" w:rsidRPr="00E76177" w:rsidRDefault="00032B1E" w:rsidP="009A6382">
      <w:pPr>
        <w:spacing w:after="0" w:line="240" w:lineRule="auto"/>
        <w:ind w:left="1350" w:right="276"/>
        <w:jc w:val="center"/>
        <w:rPr>
          <w:rFonts w:ascii="Arial" w:hAnsi="Arial" w:cs="Arial"/>
          <w:b/>
          <w:sz w:val="20"/>
          <w:szCs w:val="20"/>
        </w:rPr>
      </w:pPr>
      <w:r w:rsidRPr="00E76177">
        <w:rPr>
          <w:rFonts w:ascii="Arial" w:hAnsi="Arial" w:cs="Arial"/>
          <w:b/>
          <w:sz w:val="20"/>
          <w:szCs w:val="20"/>
        </w:rPr>
        <w:t>T</w:t>
      </w:r>
      <w:r w:rsidR="001A1B41" w:rsidRPr="00E76177">
        <w:rPr>
          <w:rFonts w:ascii="Arial" w:hAnsi="Arial" w:cs="Arial"/>
          <w:b/>
          <w:sz w:val="20"/>
          <w:szCs w:val="20"/>
        </w:rPr>
        <w:t>able</w:t>
      </w:r>
      <w:r w:rsidR="009A6382" w:rsidRPr="00E76177">
        <w:rPr>
          <w:rFonts w:ascii="Arial" w:hAnsi="Arial" w:cs="Arial"/>
          <w:b/>
          <w:sz w:val="20"/>
          <w:szCs w:val="20"/>
        </w:rPr>
        <w:t xml:space="preserve"> </w:t>
      </w:r>
      <w:r w:rsidR="00753E6F">
        <w:rPr>
          <w:rFonts w:ascii="Arial" w:hAnsi="Arial" w:cs="Arial"/>
          <w:b/>
          <w:sz w:val="20"/>
          <w:szCs w:val="20"/>
        </w:rPr>
        <w:t>7</w:t>
      </w:r>
      <w:r w:rsidRPr="00E76177">
        <w:rPr>
          <w:rFonts w:ascii="Arial" w:hAnsi="Arial" w:cs="Arial"/>
          <w:b/>
          <w:sz w:val="20"/>
          <w:szCs w:val="20"/>
        </w:rPr>
        <w:t xml:space="preserve"> - Details of transactions expensed </w:t>
      </w:r>
      <w:r w:rsidR="009A6382" w:rsidRPr="00E76177">
        <w:rPr>
          <w:rFonts w:ascii="Arial" w:hAnsi="Arial" w:cs="Arial"/>
          <w:b/>
          <w:sz w:val="20"/>
          <w:szCs w:val="20"/>
        </w:rPr>
        <w:t xml:space="preserve">in CY 2018 </w:t>
      </w:r>
    </w:p>
    <w:p w:rsidR="001A1B41" w:rsidRPr="00E76177" w:rsidRDefault="00E76177" w:rsidP="009A6382">
      <w:pPr>
        <w:spacing w:after="0" w:line="240" w:lineRule="auto"/>
        <w:ind w:left="1350" w:right="276"/>
        <w:jc w:val="center"/>
        <w:rPr>
          <w:rFonts w:ascii="Arial" w:hAnsi="Arial" w:cs="Arial"/>
          <w:b/>
          <w:sz w:val="20"/>
          <w:szCs w:val="20"/>
        </w:rPr>
      </w:pPr>
      <w:r>
        <w:rPr>
          <w:rFonts w:ascii="Arial" w:hAnsi="Arial" w:cs="Arial"/>
          <w:b/>
          <w:sz w:val="20"/>
          <w:szCs w:val="20"/>
        </w:rPr>
        <w:t>t</w:t>
      </w:r>
      <w:r w:rsidR="00465115" w:rsidRPr="00E76177">
        <w:rPr>
          <w:rFonts w:ascii="Arial" w:hAnsi="Arial" w:cs="Arial"/>
          <w:b/>
          <w:sz w:val="20"/>
          <w:szCs w:val="20"/>
        </w:rPr>
        <w:t xml:space="preserve">hat were already </w:t>
      </w:r>
      <w:r w:rsidR="00032B1E" w:rsidRPr="00E76177">
        <w:rPr>
          <w:rFonts w:ascii="Arial" w:hAnsi="Arial" w:cs="Arial"/>
          <w:b/>
          <w:sz w:val="20"/>
          <w:szCs w:val="20"/>
        </w:rPr>
        <w:t>accrued in CY 2015</w:t>
      </w:r>
    </w:p>
    <w:p w:rsidR="00D953D9" w:rsidRPr="004F6C55" w:rsidRDefault="00D953D9" w:rsidP="009A6382">
      <w:pPr>
        <w:spacing w:after="0" w:line="240" w:lineRule="auto"/>
        <w:ind w:left="1350" w:right="276"/>
        <w:jc w:val="center"/>
        <w:rPr>
          <w:rFonts w:ascii="Arial" w:hAnsi="Arial" w:cs="Arial"/>
          <w:b/>
          <w:sz w:val="20"/>
          <w:szCs w:val="20"/>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8"/>
        <w:gridCol w:w="1530"/>
        <w:gridCol w:w="1840"/>
      </w:tblGrid>
      <w:tr w:rsidR="00FE00B0" w:rsidRPr="00F80A66" w:rsidTr="004A2D69">
        <w:trPr>
          <w:tblHeader/>
          <w:jc w:val="right"/>
        </w:trPr>
        <w:tc>
          <w:tcPr>
            <w:tcW w:w="4118" w:type="dxa"/>
            <w:tcBorders>
              <w:top w:val="single" w:sz="4" w:space="0" w:color="auto"/>
              <w:bottom w:val="single" w:sz="4" w:space="0" w:color="auto"/>
            </w:tcBorders>
          </w:tcPr>
          <w:p w:rsidR="00FE00B0" w:rsidRPr="00E76177" w:rsidRDefault="00FE00B0" w:rsidP="00E76177">
            <w:pPr>
              <w:ind w:hanging="108"/>
              <w:jc w:val="center"/>
              <w:rPr>
                <w:rFonts w:ascii="Arial Narrow" w:hAnsi="Arial Narrow" w:cs="Arial"/>
                <w:b/>
                <w:sz w:val="18"/>
                <w:szCs w:val="18"/>
              </w:rPr>
            </w:pPr>
          </w:p>
          <w:p w:rsidR="00FE00B0" w:rsidRPr="00E76177" w:rsidRDefault="00FE00B0" w:rsidP="00E76177">
            <w:pPr>
              <w:ind w:hanging="108"/>
              <w:rPr>
                <w:rFonts w:ascii="Arial Narrow" w:hAnsi="Arial Narrow" w:cs="Arial"/>
                <w:b/>
                <w:sz w:val="18"/>
                <w:szCs w:val="18"/>
              </w:rPr>
            </w:pPr>
            <w:r w:rsidRPr="00E76177">
              <w:rPr>
                <w:rFonts w:ascii="Arial Narrow" w:hAnsi="Arial Narrow" w:cs="Arial"/>
                <w:b/>
                <w:sz w:val="18"/>
                <w:szCs w:val="18"/>
              </w:rPr>
              <w:t>Name of Beneficiaries</w:t>
            </w:r>
          </w:p>
        </w:tc>
        <w:tc>
          <w:tcPr>
            <w:tcW w:w="1530" w:type="dxa"/>
            <w:tcBorders>
              <w:top w:val="single" w:sz="4" w:space="0" w:color="auto"/>
              <w:bottom w:val="single" w:sz="4" w:space="0" w:color="auto"/>
            </w:tcBorders>
          </w:tcPr>
          <w:p w:rsidR="00FE00B0" w:rsidRPr="00E76177" w:rsidRDefault="00FE00B0" w:rsidP="004C39E3">
            <w:pPr>
              <w:jc w:val="center"/>
              <w:rPr>
                <w:rFonts w:ascii="Arial Narrow" w:hAnsi="Arial Narrow" w:cs="Arial"/>
                <w:b/>
                <w:sz w:val="18"/>
                <w:szCs w:val="18"/>
              </w:rPr>
            </w:pPr>
          </w:p>
          <w:p w:rsidR="00FE00B0" w:rsidRPr="00E76177" w:rsidRDefault="00FE00B0" w:rsidP="004C39E3">
            <w:pPr>
              <w:jc w:val="center"/>
              <w:rPr>
                <w:rFonts w:ascii="Arial Narrow" w:hAnsi="Arial Narrow" w:cs="Arial"/>
                <w:b/>
                <w:sz w:val="18"/>
                <w:szCs w:val="18"/>
              </w:rPr>
            </w:pPr>
            <w:r w:rsidRPr="00E76177">
              <w:rPr>
                <w:rFonts w:ascii="Arial Narrow" w:hAnsi="Arial Narrow" w:cs="Arial"/>
                <w:b/>
                <w:sz w:val="18"/>
                <w:szCs w:val="18"/>
              </w:rPr>
              <w:t xml:space="preserve">Amount Paid in 2018 </w:t>
            </w:r>
          </w:p>
        </w:tc>
        <w:tc>
          <w:tcPr>
            <w:tcW w:w="1840" w:type="dxa"/>
            <w:tcBorders>
              <w:top w:val="single" w:sz="4" w:space="0" w:color="auto"/>
              <w:bottom w:val="single" w:sz="4" w:space="0" w:color="auto"/>
            </w:tcBorders>
          </w:tcPr>
          <w:p w:rsidR="00FE00B0" w:rsidRPr="00E76177" w:rsidRDefault="00FE00B0" w:rsidP="004C39E3">
            <w:pPr>
              <w:jc w:val="center"/>
              <w:rPr>
                <w:rFonts w:ascii="Arial Narrow" w:hAnsi="Arial Narrow" w:cs="Arial"/>
                <w:b/>
                <w:sz w:val="18"/>
                <w:szCs w:val="18"/>
              </w:rPr>
            </w:pPr>
          </w:p>
          <w:p w:rsidR="00FE00B0" w:rsidRPr="00E76177" w:rsidRDefault="00FE00B0" w:rsidP="00E76177">
            <w:pPr>
              <w:jc w:val="center"/>
              <w:rPr>
                <w:rFonts w:ascii="Arial Narrow" w:hAnsi="Arial Narrow" w:cs="Arial"/>
                <w:b/>
                <w:sz w:val="18"/>
                <w:szCs w:val="18"/>
              </w:rPr>
            </w:pPr>
            <w:r w:rsidRPr="00E76177">
              <w:rPr>
                <w:rFonts w:ascii="Arial Narrow" w:hAnsi="Arial Narrow" w:cs="Arial"/>
                <w:b/>
                <w:sz w:val="18"/>
                <w:szCs w:val="18"/>
              </w:rPr>
              <w:t>Amount Accrued in 2015</w:t>
            </w:r>
          </w:p>
        </w:tc>
      </w:tr>
      <w:tr w:rsidR="00FE00B0" w:rsidRPr="00F80A66" w:rsidTr="004A2D69">
        <w:trPr>
          <w:trHeight w:val="235"/>
          <w:jc w:val="right"/>
        </w:trPr>
        <w:tc>
          <w:tcPr>
            <w:tcW w:w="4118" w:type="dxa"/>
            <w:tcBorders>
              <w:top w:val="single" w:sz="4" w:space="0" w:color="auto"/>
            </w:tcBorders>
          </w:tcPr>
          <w:p w:rsidR="00FE00B0" w:rsidRPr="00E76177" w:rsidRDefault="00FE00B0" w:rsidP="00E76177">
            <w:pPr>
              <w:ind w:hanging="108"/>
              <w:rPr>
                <w:rFonts w:ascii="Arial Narrow" w:hAnsi="Arial Narrow" w:cs="Arial"/>
                <w:b/>
                <w:color w:val="000000"/>
                <w:sz w:val="18"/>
                <w:szCs w:val="18"/>
                <w:u w:val="single"/>
              </w:rPr>
            </w:pPr>
            <w:r w:rsidRPr="00E76177">
              <w:rPr>
                <w:rFonts w:ascii="Arial Narrow" w:hAnsi="Arial Narrow" w:cs="Arial"/>
                <w:b/>
                <w:color w:val="000000"/>
                <w:sz w:val="18"/>
                <w:szCs w:val="18"/>
                <w:u w:val="single"/>
              </w:rPr>
              <w:t>Institutional Partnership Program</w:t>
            </w:r>
          </w:p>
          <w:p w:rsidR="00FE00B0" w:rsidRPr="00E76177" w:rsidRDefault="00FE00B0" w:rsidP="00E76177">
            <w:pPr>
              <w:ind w:hanging="108"/>
              <w:rPr>
                <w:rFonts w:ascii="Arial Narrow" w:eastAsia="Times New Roman" w:hAnsi="Arial Narrow" w:cs="Arial"/>
                <w:color w:val="000000"/>
                <w:sz w:val="18"/>
                <w:szCs w:val="18"/>
              </w:rPr>
            </w:pPr>
            <w:r w:rsidRPr="00E76177">
              <w:rPr>
                <w:rFonts w:ascii="Arial Narrow" w:hAnsi="Arial Narrow" w:cs="Arial"/>
                <w:color w:val="000000"/>
                <w:sz w:val="18"/>
                <w:szCs w:val="18"/>
              </w:rPr>
              <w:t>White Cross, Inc.</w:t>
            </w:r>
          </w:p>
        </w:tc>
        <w:tc>
          <w:tcPr>
            <w:tcW w:w="1530" w:type="dxa"/>
            <w:tcBorders>
              <w:top w:val="single" w:sz="4" w:space="0" w:color="auto"/>
            </w:tcBorders>
          </w:tcPr>
          <w:p w:rsidR="00FE00B0" w:rsidRPr="00E76177" w:rsidRDefault="00FE00B0" w:rsidP="004C39E3">
            <w:pPr>
              <w:jc w:val="right"/>
              <w:rPr>
                <w:rFonts w:ascii="Arial Narrow" w:hAnsi="Arial Narrow" w:cs="Arial"/>
                <w:sz w:val="18"/>
                <w:szCs w:val="18"/>
              </w:rPr>
            </w:pPr>
          </w:p>
          <w:p w:rsidR="00FE00B0" w:rsidRPr="00E76177" w:rsidRDefault="00E76177" w:rsidP="004C39E3">
            <w:pPr>
              <w:jc w:val="right"/>
              <w:rPr>
                <w:rFonts w:ascii="Arial Narrow" w:hAnsi="Arial Narrow" w:cs="Arial"/>
                <w:sz w:val="18"/>
                <w:szCs w:val="18"/>
              </w:rPr>
            </w:pPr>
            <w:r>
              <w:rPr>
                <w:rFonts w:ascii="Arial Narrow" w:hAnsi="Arial Narrow" w:cs="Arial"/>
                <w:sz w:val="18"/>
                <w:szCs w:val="18"/>
              </w:rPr>
              <w:t xml:space="preserve">P    </w:t>
            </w:r>
            <w:r w:rsidR="00FE00B0" w:rsidRPr="00E76177">
              <w:rPr>
                <w:rFonts w:ascii="Arial Narrow" w:hAnsi="Arial Narrow" w:cs="Arial"/>
                <w:sz w:val="18"/>
                <w:szCs w:val="18"/>
              </w:rPr>
              <w:t>2,190,000.00</w:t>
            </w:r>
          </w:p>
        </w:tc>
        <w:tc>
          <w:tcPr>
            <w:tcW w:w="1840" w:type="dxa"/>
            <w:tcBorders>
              <w:top w:val="single" w:sz="4" w:space="0" w:color="auto"/>
            </w:tcBorders>
          </w:tcPr>
          <w:p w:rsidR="00FE00B0" w:rsidRPr="00E76177" w:rsidRDefault="00FE00B0" w:rsidP="00E76177">
            <w:pPr>
              <w:ind w:right="-90"/>
              <w:jc w:val="right"/>
              <w:rPr>
                <w:rFonts w:ascii="Arial Narrow" w:hAnsi="Arial Narrow" w:cs="Arial"/>
                <w:sz w:val="18"/>
                <w:szCs w:val="18"/>
              </w:rPr>
            </w:pPr>
          </w:p>
          <w:p w:rsidR="00FE00B0" w:rsidRPr="00E76177" w:rsidRDefault="00E76177" w:rsidP="00E76177">
            <w:pPr>
              <w:ind w:right="-90"/>
              <w:jc w:val="right"/>
              <w:rPr>
                <w:rFonts w:ascii="Arial Narrow" w:hAnsi="Arial Narrow" w:cs="Arial"/>
                <w:sz w:val="18"/>
                <w:szCs w:val="18"/>
              </w:rPr>
            </w:pPr>
            <w:r>
              <w:rPr>
                <w:rFonts w:ascii="Arial Narrow" w:hAnsi="Arial Narrow" w:cs="Arial"/>
                <w:sz w:val="18"/>
                <w:szCs w:val="18"/>
              </w:rPr>
              <w:t xml:space="preserve">P   </w:t>
            </w:r>
            <w:r w:rsidR="00FE00B0" w:rsidRPr="00E76177">
              <w:rPr>
                <w:rFonts w:ascii="Arial Narrow" w:hAnsi="Arial Narrow" w:cs="Arial"/>
                <w:sz w:val="18"/>
                <w:szCs w:val="18"/>
              </w:rPr>
              <w:t>1,080,000.00</w:t>
            </w:r>
          </w:p>
        </w:tc>
      </w:tr>
      <w:tr w:rsidR="00FE00B0" w:rsidRPr="00F80A66" w:rsidTr="004A2D69">
        <w:trPr>
          <w:jc w:val="right"/>
        </w:trPr>
        <w:tc>
          <w:tcPr>
            <w:tcW w:w="4118" w:type="dxa"/>
          </w:tcPr>
          <w:p w:rsidR="00FE00B0" w:rsidRPr="00E76177" w:rsidRDefault="00FE00B0" w:rsidP="00E76177">
            <w:pPr>
              <w:ind w:hanging="108"/>
              <w:rPr>
                <w:rFonts w:ascii="Arial Narrow" w:eastAsia="Times New Roman" w:hAnsi="Arial Narrow" w:cs="Arial"/>
                <w:color w:val="000000"/>
                <w:sz w:val="18"/>
                <w:szCs w:val="18"/>
              </w:rPr>
            </w:pPr>
            <w:r w:rsidRPr="00E76177">
              <w:rPr>
                <w:rFonts w:ascii="Arial Narrow" w:hAnsi="Arial Narrow" w:cs="Arial"/>
                <w:color w:val="000000"/>
                <w:sz w:val="18"/>
                <w:szCs w:val="18"/>
              </w:rPr>
              <w:t>Hospicio de San Jose</w:t>
            </w:r>
          </w:p>
        </w:tc>
        <w:tc>
          <w:tcPr>
            <w:tcW w:w="1530" w:type="dxa"/>
          </w:tcPr>
          <w:p w:rsidR="00FE00B0" w:rsidRPr="00E76177" w:rsidRDefault="00FE00B0" w:rsidP="004C39E3">
            <w:pPr>
              <w:jc w:val="right"/>
              <w:rPr>
                <w:rFonts w:ascii="Arial Narrow" w:eastAsia="Times New Roman" w:hAnsi="Arial Narrow" w:cs="Arial"/>
                <w:color w:val="000000"/>
                <w:sz w:val="18"/>
                <w:szCs w:val="18"/>
              </w:rPr>
            </w:pPr>
            <w:r w:rsidRPr="00E76177">
              <w:rPr>
                <w:rFonts w:ascii="Arial Narrow" w:hAnsi="Arial Narrow" w:cs="Arial"/>
                <w:color w:val="000000"/>
                <w:sz w:val="18"/>
                <w:szCs w:val="18"/>
              </w:rPr>
              <w:t>10,000,000.00</w:t>
            </w:r>
          </w:p>
        </w:tc>
        <w:tc>
          <w:tcPr>
            <w:tcW w:w="1840" w:type="dxa"/>
          </w:tcPr>
          <w:p w:rsidR="00FE00B0" w:rsidRPr="00E76177" w:rsidRDefault="00FE00B0" w:rsidP="00E76177">
            <w:pPr>
              <w:ind w:right="-90"/>
              <w:jc w:val="right"/>
              <w:rPr>
                <w:rFonts w:ascii="Arial Narrow" w:eastAsia="Times New Roman" w:hAnsi="Arial Narrow" w:cs="Arial"/>
                <w:color w:val="000000"/>
                <w:sz w:val="18"/>
                <w:szCs w:val="18"/>
              </w:rPr>
            </w:pPr>
            <w:r w:rsidRPr="00E76177">
              <w:rPr>
                <w:rFonts w:ascii="Arial Narrow" w:hAnsi="Arial Narrow" w:cs="Arial"/>
                <w:color w:val="000000"/>
                <w:sz w:val="18"/>
                <w:szCs w:val="18"/>
              </w:rPr>
              <w:t>1,350,000.00</w:t>
            </w:r>
          </w:p>
        </w:tc>
      </w:tr>
      <w:tr w:rsidR="00FE00B0" w:rsidRPr="00F80A66" w:rsidTr="004A2D69">
        <w:trPr>
          <w:trHeight w:val="231"/>
          <w:jc w:val="right"/>
        </w:trPr>
        <w:tc>
          <w:tcPr>
            <w:tcW w:w="4118" w:type="dxa"/>
          </w:tcPr>
          <w:p w:rsidR="00FE00B0" w:rsidRPr="00E76177" w:rsidRDefault="00FE00B0" w:rsidP="00E76177">
            <w:pPr>
              <w:ind w:hanging="108"/>
              <w:rPr>
                <w:rFonts w:ascii="Arial Narrow" w:eastAsia="Times New Roman" w:hAnsi="Arial Narrow" w:cs="Arial"/>
                <w:color w:val="000000"/>
                <w:sz w:val="18"/>
                <w:szCs w:val="18"/>
              </w:rPr>
            </w:pPr>
            <w:r w:rsidRPr="00E76177">
              <w:rPr>
                <w:rFonts w:ascii="Arial Narrow" w:hAnsi="Arial Narrow" w:cs="Arial"/>
                <w:color w:val="000000"/>
                <w:sz w:val="18"/>
                <w:szCs w:val="18"/>
              </w:rPr>
              <w:t>Philippine Red Cross</w:t>
            </w:r>
          </w:p>
        </w:tc>
        <w:tc>
          <w:tcPr>
            <w:tcW w:w="1530" w:type="dxa"/>
          </w:tcPr>
          <w:p w:rsidR="00FE00B0" w:rsidRPr="00E76177" w:rsidRDefault="00FE00B0" w:rsidP="004C39E3">
            <w:pPr>
              <w:jc w:val="right"/>
              <w:rPr>
                <w:rFonts w:ascii="Arial Narrow" w:eastAsia="Times New Roman" w:hAnsi="Arial Narrow" w:cs="Arial"/>
                <w:color w:val="000000"/>
                <w:sz w:val="18"/>
                <w:szCs w:val="18"/>
              </w:rPr>
            </w:pPr>
            <w:r w:rsidRPr="00E76177">
              <w:rPr>
                <w:rFonts w:ascii="Arial Narrow" w:hAnsi="Arial Narrow" w:cs="Arial"/>
                <w:color w:val="000000"/>
                <w:sz w:val="18"/>
                <w:szCs w:val="18"/>
              </w:rPr>
              <w:t>10,000,000.00</w:t>
            </w:r>
          </w:p>
        </w:tc>
        <w:tc>
          <w:tcPr>
            <w:tcW w:w="1840" w:type="dxa"/>
          </w:tcPr>
          <w:p w:rsidR="00FE00B0" w:rsidRPr="00E76177" w:rsidRDefault="00FE00B0" w:rsidP="00E76177">
            <w:pPr>
              <w:ind w:right="-90"/>
              <w:jc w:val="right"/>
              <w:rPr>
                <w:rFonts w:ascii="Arial Narrow" w:eastAsia="Times New Roman" w:hAnsi="Arial Narrow" w:cs="Arial"/>
                <w:color w:val="000000"/>
                <w:sz w:val="18"/>
                <w:szCs w:val="18"/>
              </w:rPr>
            </w:pPr>
            <w:r w:rsidRPr="00E76177">
              <w:rPr>
                <w:rFonts w:ascii="Arial Narrow" w:hAnsi="Arial Narrow" w:cs="Arial"/>
                <w:color w:val="000000"/>
                <w:sz w:val="18"/>
                <w:szCs w:val="18"/>
              </w:rPr>
              <w:t>10,000,000.00</w:t>
            </w:r>
          </w:p>
        </w:tc>
      </w:tr>
      <w:tr w:rsidR="00FE00B0" w:rsidRPr="00F80A66" w:rsidTr="004A2D69">
        <w:trPr>
          <w:jc w:val="right"/>
        </w:trPr>
        <w:tc>
          <w:tcPr>
            <w:tcW w:w="4118" w:type="dxa"/>
          </w:tcPr>
          <w:p w:rsidR="00FE00B0" w:rsidRPr="00E76177" w:rsidRDefault="00FE00B0" w:rsidP="00E76177">
            <w:pPr>
              <w:ind w:hanging="108"/>
              <w:rPr>
                <w:rFonts w:ascii="Arial Narrow" w:eastAsia="Times New Roman" w:hAnsi="Arial Narrow" w:cs="Arial"/>
                <w:color w:val="000000"/>
                <w:sz w:val="18"/>
                <w:szCs w:val="18"/>
              </w:rPr>
            </w:pPr>
            <w:r w:rsidRPr="00E76177">
              <w:rPr>
                <w:rFonts w:ascii="Arial Narrow" w:hAnsi="Arial Narrow" w:cs="Arial"/>
                <w:color w:val="000000"/>
                <w:sz w:val="18"/>
                <w:szCs w:val="18"/>
              </w:rPr>
              <w:t>Nazareth Home for Children (NCH) Foundation, Inc.</w:t>
            </w:r>
          </w:p>
        </w:tc>
        <w:tc>
          <w:tcPr>
            <w:tcW w:w="1530" w:type="dxa"/>
          </w:tcPr>
          <w:p w:rsidR="00FE00B0" w:rsidRPr="00E76177" w:rsidRDefault="00FE00B0" w:rsidP="004C39E3">
            <w:pPr>
              <w:jc w:val="right"/>
              <w:rPr>
                <w:rFonts w:ascii="Arial Narrow" w:eastAsia="Times New Roman" w:hAnsi="Arial Narrow" w:cs="Arial"/>
                <w:color w:val="000000"/>
                <w:sz w:val="18"/>
                <w:szCs w:val="18"/>
              </w:rPr>
            </w:pPr>
            <w:r w:rsidRPr="00E76177">
              <w:rPr>
                <w:rFonts w:ascii="Arial Narrow" w:hAnsi="Arial Narrow" w:cs="Arial"/>
                <w:color w:val="000000"/>
                <w:sz w:val="18"/>
                <w:szCs w:val="18"/>
              </w:rPr>
              <w:t>383,250.00</w:t>
            </w:r>
          </w:p>
        </w:tc>
        <w:tc>
          <w:tcPr>
            <w:tcW w:w="1840" w:type="dxa"/>
          </w:tcPr>
          <w:p w:rsidR="00FE00B0" w:rsidRPr="00E76177" w:rsidRDefault="00FE00B0" w:rsidP="00E76177">
            <w:pPr>
              <w:ind w:right="-90"/>
              <w:jc w:val="right"/>
              <w:rPr>
                <w:rFonts w:ascii="Arial Narrow" w:eastAsia="Times New Roman" w:hAnsi="Arial Narrow" w:cs="Arial"/>
                <w:color w:val="000000"/>
                <w:sz w:val="18"/>
                <w:szCs w:val="18"/>
              </w:rPr>
            </w:pPr>
            <w:r w:rsidRPr="00E76177">
              <w:rPr>
                <w:rFonts w:ascii="Arial Narrow" w:hAnsi="Arial Narrow" w:cs="Arial"/>
                <w:color w:val="000000"/>
                <w:sz w:val="18"/>
                <w:szCs w:val="18"/>
              </w:rPr>
              <w:t>190,000.00</w:t>
            </w:r>
          </w:p>
        </w:tc>
      </w:tr>
      <w:tr w:rsidR="00FE00B0" w:rsidRPr="00F80A66" w:rsidTr="004A2D69">
        <w:trPr>
          <w:jc w:val="right"/>
        </w:trPr>
        <w:tc>
          <w:tcPr>
            <w:tcW w:w="4118" w:type="dxa"/>
          </w:tcPr>
          <w:p w:rsidR="00FE00B0" w:rsidRPr="00E76177" w:rsidRDefault="00FE00B0" w:rsidP="00E76177">
            <w:pPr>
              <w:ind w:hanging="108"/>
              <w:rPr>
                <w:rFonts w:ascii="Arial Narrow" w:eastAsia="Times New Roman" w:hAnsi="Arial Narrow" w:cs="Arial"/>
                <w:color w:val="000000"/>
                <w:sz w:val="18"/>
                <w:szCs w:val="18"/>
              </w:rPr>
            </w:pPr>
            <w:r w:rsidRPr="00E76177">
              <w:rPr>
                <w:rFonts w:ascii="Arial Narrow" w:hAnsi="Arial Narrow" w:cs="Arial"/>
                <w:color w:val="000000"/>
                <w:sz w:val="18"/>
                <w:szCs w:val="18"/>
              </w:rPr>
              <w:t>Tahanang Mapagpala ng Immaculada Concepcion Foundation, Inc.</w:t>
            </w:r>
          </w:p>
        </w:tc>
        <w:tc>
          <w:tcPr>
            <w:tcW w:w="1530" w:type="dxa"/>
          </w:tcPr>
          <w:p w:rsidR="00FE00B0" w:rsidRPr="00E76177" w:rsidRDefault="00FE00B0" w:rsidP="004C39E3">
            <w:pPr>
              <w:jc w:val="right"/>
              <w:rPr>
                <w:rFonts w:ascii="Arial Narrow" w:eastAsia="Times New Roman" w:hAnsi="Arial Narrow" w:cs="Arial"/>
                <w:color w:val="000000"/>
                <w:sz w:val="18"/>
                <w:szCs w:val="18"/>
              </w:rPr>
            </w:pPr>
            <w:r w:rsidRPr="00E76177">
              <w:rPr>
                <w:rFonts w:ascii="Arial Narrow" w:hAnsi="Arial Narrow" w:cs="Arial"/>
                <w:color w:val="000000"/>
                <w:sz w:val="18"/>
                <w:szCs w:val="18"/>
              </w:rPr>
              <w:t>328,500.00</w:t>
            </w:r>
          </w:p>
          <w:p w:rsidR="00FE00B0" w:rsidRPr="00E76177" w:rsidRDefault="00FE00B0" w:rsidP="004C39E3">
            <w:pPr>
              <w:jc w:val="right"/>
              <w:rPr>
                <w:rFonts w:ascii="Arial Narrow" w:hAnsi="Arial Narrow" w:cs="Arial"/>
                <w:sz w:val="18"/>
                <w:szCs w:val="18"/>
              </w:rPr>
            </w:pPr>
          </w:p>
        </w:tc>
        <w:tc>
          <w:tcPr>
            <w:tcW w:w="1840" w:type="dxa"/>
          </w:tcPr>
          <w:p w:rsidR="00FE00B0" w:rsidRPr="00E76177" w:rsidRDefault="00FE00B0" w:rsidP="00E76177">
            <w:pPr>
              <w:ind w:right="-90"/>
              <w:jc w:val="right"/>
              <w:rPr>
                <w:rFonts w:ascii="Arial Narrow" w:eastAsia="Times New Roman" w:hAnsi="Arial Narrow" w:cs="Arial"/>
                <w:color w:val="000000"/>
                <w:sz w:val="18"/>
                <w:szCs w:val="18"/>
              </w:rPr>
            </w:pPr>
            <w:r w:rsidRPr="00E76177">
              <w:rPr>
                <w:rFonts w:ascii="Arial Narrow" w:hAnsi="Arial Narrow" w:cs="Arial"/>
                <w:color w:val="000000"/>
                <w:sz w:val="18"/>
                <w:szCs w:val="18"/>
              </w:rPr>
              <w:t>162,000.00</w:t>
            </w:r>
          </w:p>
          <w:p w:rsidR="00FE00B0" w:rsidRPr="00E76177" w:rsidRDefault="00FE00B0" w:rsidP="00E76177">
            <w:pPr>
              <w:ind w:right="-90"/>
              <w:jc w:val="right"/>
              <w:rPr>
                <w:rFonts w:ascii="Arial Narrow" w:hAnsi="Arial Narrow" w:cs="Arial"/>
                <w:sz w:val="18"/>
                <w:szCs w:val="18"/>
              </w:rPr>
            </w:pPr>
          </w:p>
        </w:tc>
      </w:tr>
      <w:tr w:rsidR="00FE00B0" w:rsidRPr="00F80A66" w:rsidTr="004A2D69">
        <w:trPr>
          <w:jc w:val="right"/>
        </w:trPr>
        <w:tc>
          <w:tcPr>
            <w:tcW w:w="4118" w:type="dxa"/>
          </w:tcPr>
          <w:p w:rsidR="00FE00B0" w:rsidRPr="00E76177" w:rsidRDefault="00FE00B0" w:rsidP="00E76177">
            <w:pPr>
              <w:ind w:hanging="108"/>
              <w:rPr>
                <w:rFonts w:ascii="Arial Narrow" w:eastAsia="Times New Roman" w:hAnsi="Arial Narrow" w:cs="Arial"/>
                <w:color w:val="000000"/>
                <w:sz w:val="18"/>
                <w:szCs w:val="18"/>
              </w:rPr>
            </w:pPr>
            <w:r w:rsidRPr="00E76177">
              <w:rPr>
                <w:rFonts w:ascii="Arial Narrow" w:hAnsi="Arial Narrow" w:cs="Arial"/>
                <w:color w:val="000000"/>
                <w:sz w:val="18"/>
                <w:szCs w:val="18"/>
              </w:rPr>
              <w:t>St. Joseph Home for Special Children, Inc.</w:t>
            </w:r>
          </w:p>
        </w:tc>
        <w:tc>
          <w:tcPr>
            <w:tcW w:w="1530" w:type="dxa"/>
          </w:tcPr>
          <w:p w:rsidR="00FE00B0" w:rsidRPr="00E76177" w:rsidRDefault="00FE00B0">
            <w:pPr>
              <w:jc w:val="right"/>
              <w:rPr>
                <w:rFonts w:ascii="Arial Narrow" w:hAnsi="Arial Narrow" w:cs="Arial"/>
                <w:sz w:val="18"/>
                <w:szCs w:val="18"/>
              </w:rPr>
            </w:pPr>
            <w:r w:rsidRPr="00E76177">
              <w:rPr>
                <w:rFonts w:ascii="Arial Narrow" w:hAnsi="Arial Narrow" w:cs="Arial"/>
                <w:color w:val="000000"/>
                <w:sz w:val="18"/>
                <w:szCs w:val="18"/>
              </w:rPr>
              <w:t>821,250.00</w:t>
            </w:r>
          </w:p>
        </w:tc>
        <w:tc>
          <w:tcPr>
            <w:tcW w:w="1840" w:type="dxa"/>
          </w:tcPr>
          <w:p w:rsidR="00FE00B0" w:rsidRPr="00E76177" w:rsidRDefault="00FE00B0" w:rsidP="00E76177">
            <w:pPr>
              <w:ind w:right="-90"/>
              <w:jc w:val="right"/>
              <w:rPr>
                <w:rFonts w:ascii="Arial Narrow" w:hAnsi="Arial Narrow" w:cs="Arial"/>
                <w:sz w:val="18"/>
                <w:szCs w:val="18"/>
              </w:rPr>
            </w:pPr>
            <w:r w:rsidRPr="00E76177">
              <w:rPr>
                <w:rFonts w:ascii="Arial Narrow" w:hAnsi="Arial Narrow" w:cs="Arial"/>
                <w:color w:val="000000"/>
                <w:sz w:val="18"/>
                <w:szCs w:val="18"/>
              </w:rPr>
              <w:t>756,000.00</w:t>
            </w:r>
          </w:p>
        </w:tc>
      </w:tr>
      <w:tr w:rsidR="00FE00B0" w:rsidRPr="00F80A66" w:rsidTr="004A2D69">
        <w:trPr>
          <w:jc w:val="right"/>
        </w:trPr>
        <w:tc>
          <w:tcPr>
            <w:tcW w:w="4118" w:type="dxa"/>
          </w:tcPr>
          <w:p w:rsidR="00FE00B0" w:rsidRPr="00E76177" w:rsidRDefault="00FE00B0" w:rsidP="00E76177">
            <w:pPr>
              <w:ind w:hanging="108"/>
              <w:rPr>
                <w:rFonts w:ascii="Arial Narrow" w:eastAsia="Times New Roman" w:hAnsi="Arial Narrow" w:cs="Arial"/>
                <w:color w:val="000000"/>
                <w:sz w:val="18"/>
                <w:szCs w:val="18"/>
              </w:rPr>
            </w:pPr>
            <w:r w:rsidRPr="00E76177">
              <w:rPr>
                <w:rFonts w:ascii="Arial Narrow" w:hAnsi="Arial Narrow" w:cs="Arial"/>
                <w:color w:val="000000"/>
                <w:sz w:val="18"/>
                <w:szCs w:val="18"/>
              </w:rPr>
              <w:t>Taw Kabui for a Child, Inc. Sisters of the Sacred Heart</w:t>
            </w:r>
          </w:p>
        </w:tc>
        <w:tc>
          <w:tcPr>
            <w:tcW w:w="1530" w:type="dxa"/>
          </w:tcPr>
          <w:p w:rsidR="00FE00B0" w:rsidRPr="00E76177" w:rsidRDefault="00FE00B0">
            <w:pPr>
              <w:jc w:val="right"/>
              <w:rPr>
                <w:rFonts w:ascii="Arial Narrow" w:hAnsi="Arial Narrow" w:cs="Arial"/>
                <w:sz w:val="18"/>
                <w:szCs w:val="18"/>
              </w:rPr>
            </w:pPr>
            <w:r w:rsidRPr="00E76177">
              <w:rPr>
                <w:rFonts w:ascii="Arial Narrow" w:hAnsi="Arial Narrow" w:cs="Arial"/>
                <w:color w:val="000000"/>
                <w:sz w:val="18"/>
                <w:szCs w:val="18"/>
              </w:rPr>
              <w:t>295,650.00</w:t>
            </w:r>
          </w:p>
        </w:tc>
        <w:tc>
          <w:tcPr>
            <w:tcW w:w="1840" w:type="dxa"/>
          </w:tcPr>
          <w:p w:rsidR="00FE00B0" w:rsidRPr="00E76177" w:rsidRDefault="00FE00B0" w:rsidP="00E76177">
            <w:pPr>
              <w:ind w:right="-90"/>
              <w:jc w:val="right"/>
              <w:rPr>
                <w:rFonts w:ascii="Arial Narrow" w:hAnsi="Arial Narrow" w:cs="Arial"/>
                <w:sz w:val="18"/>
                <w:szCs w:val="18"/>
              </w:rPr>
            </w:pPr>
            <w:r w:rsidRPr="00E76177">
              <w:rPr>
                <w:rFonts w:ascii="Arial Narrow" w:hAnsi="Arial Narrow" w:cs="Arial"/>
                <w:color w:val="000000"/>
                <w:sz w:val="18"/>
                <w:szCs w:val="18"/>
              </w:rPr>
              <w:t>150,000.00</w:t>
            </w:r>
          </w:p>
        </w:tc>
      </w:tr>
      <w:tr w:rsidR="00FE00B0" w:rsidRPr="00F80A66" w:rsidTr="004A2D69">
        <w:trPr>
          <w:trHeight w:val="162"/>
          <w:jc w:val="right"/>
        </w:trPr>
        <w:tc>
          <w:tcPr>
            <w:tcW w:w="4118" w:type="dxa"/>
          </w:tcPr>
          <w:p w:rsidR="00FE00B0" w:rsidRPr="00E76177" w:rsidRDefault="00FE00B0" w:rsidP="00E76177">
            <w:pPr>
              <w:ind w:hanging="108"/>
              <w:rPr>
                <w:rFonts w:ascii="Arial Narrow" w:eastAsia="Times New Roman" w:hAnsi="Arial Narrow" w:cs="Arial"/>
                <w:color w:val="000000"/>
                <w:sz w:val="18"/>
                <w:szCs w:val="18"/>
              </w:rPr>
            </w:pPr>
            <w:r w:rsidRPr="00E76177">
              <w:rPr>
                <w:rFonts w:ascii="Arial Narrow" w:hAnsi="Arial Narrow" w:cs="Arial"/>
                <w:color w:val="000000"/>
                <w:sz w:val="18"/>
                <w:szCs w:val="18"/>
              </w:rPr>
              <w:t>Casa Dei Bambini San Giuseppe, Inc.</w:t>
            </w:r>
          </w:p>
        </w:tc>
        <w:tc>
          <w:tcPr>
            <w:tcW w:w="1530" w:type="dxa"/>
          </w:tcPr>
          <w:p w:rsidR="00FE00B0" w:rsidRPr="00E76177" w:rsidRDefault="00FE00B0">
            <w:pPr>
              <w:jc w:val="right"/>
              <w:rPr>
                <w:rFonts w:ascii="Arial Narrow" w:hAnsi="Arial Narrow" w:cs="Arial"/>
                <w:sz w:val="18"/>
                <w:szCs w:val="18"/>
              </w:rPr>
            </w:pPr>
            <w:r w:rsidRPr="00E76177">
              <w:rPr>
                <w:rFonts w:ascii="Arial Narrow" w:hAnsi="Arial Narrow" w:cs="Arial"/>
                <w:color w:val="000000"/>
                <w:sz w:val="18"/>
                <w:szCs w:val="18"/>
              </w:rPr>
              <w:t>208,050.00</w:t>
            </w:r>
          </w:p>
        </w:tc>
        <w:tc>
          <w:tcPr>
            <w:tcW w:w="1840" w:type="dxa"/>
          </w:tcPr>
          <w:p w:rsidR="00FE00B0" w:rsidRPr="00E76177" w:rsidRDefault="00FE00B0" w:rsidP="00E76177">
            <w:pPr>
              <w:ind w:right="-90"/>
              <w:jc w:val="right"/>
              <w:rPr>
                <w:rFonts w:ascii="Arial Narrow" w:hAnsi="Arial Narrow" w:cs="Arial"/>
                <w:sz w:val="18"/>
                <w:szCs w:val="18"/>
              </w:rPr>
            </w:pPr>
            <w:r w:rsidRPr="00E76177">
              <w:rPr>
                <w:rFonts w:ascii="Arial Narrow" w:hAnsi="Arial Narrow" w:cs="Arial"/>
                <w:color w:val="000000"/>
                <w:sz w:val="18"/>
                <w:szCs w:val="18"/>
              </w:rPr>
              <w:t>150,000.00</w:t>
            </w:r>
          </w:p>
        </w:tc>
      </w:tr>
      <w:tr w:rsidR="00FE00B0" w:rsidRPr="00F80A66" w:rsidTr="004A2D69">
        <w:trPr>
          <w:trHeight w:val="252"/>
          <w:jc w:val="right"/>
        </w:trPr>
        <w:tc>
          <w:tcPr>
            <w:tcW w:w="4118" w:type="dxa"/>
          </w:tcPr>
          <w:p w:rsidR="00FE00B0" w:rsidRPr="00E76177" w:rsidRDefault="00FE00B0" w:rsidP="00E76177">
            <w:pPr>
              <w:ind w:hanging="108"/>
              <w:rPr>
                <w:rFonts w:ascii="Arial Narrow" w:eastAsia="Times New Roman" w:hAnsi="Arial Narrow" w:cs="Arial"/>
                <w:color w:val="000000"/>
                <w:sz w:val="18"/>
                <w:szCs w:val="18"/>
              </w:rPr>
            </w:pPr>
            <w:r w:rsidRPr="00E76177">
              <w:rPr>
                <w:rFonts w:ascii="Arial Narrow" w:hAnsi="Arial Narrow" w:cs="Arial"/>
                <w:color w:val="000000"/>
                <w:sz w:val="18"/>
                <w:szCs w:val="18"/>
              </w:rPr>
              <w:t>Golden Acres Haven for the Elderly</w:t>
            </w:r>
          </w:p>
        </w:tc>
        <w:tc>
          <w:tcPr>
            <w:tcW w:w="1530" w:type="dxa"/>
          </w:tcPr>
          <w:p w:rsidR="00FE00B0" w:rsidRPr="00E76177" w:rsidRDefault="00FE00B0">
            <w:pPr>
              <w:jc w:val="right"/>
              <w:rPr>
                <w:rFonts w:ascii="Arial Narrow" w:hAnsi="Arial Narrow" w:cs="Arial"/>
                <w:color w:val="000000"/>
                <w:sz w:val="18"/>
                <w:szCs w:val="18"/>
              </w:rPr>
            </w:pPr>
            <w:r w:rsidRPr="00E76177">
              <w:rPr>
                <w:rFonts w:ascii="Arial Narrow" w:hAnsi="Arial Narrow" w:cs="Arial"/>
                <w:color w:val="000000"/>
                <w:sz w:val="18"/>
                <w:szCs w:val="18"/>
              </w:rPr>
              <w:t>2,441,850.00</w:t>
            </w:r>
          </w:p>
        </w:tc>
        <w:tc>
          <w:tcPr>
            <w:tcW w:w="1840" w:type="dxa"/>
          </w:tcPr>
          <w:p w:rsidR="00FE00B0" w:rsidRPr="00E76177" w:rsidRDefault="00FE00B0" w:rsidP="00E76177">
            <w:pPr>
              <w:ind w:right="-90"/>
              <w:jc w:val="right"/>
              <w:rPr>
                <w:rFonts w:ascii="Arial Narrow" w:hAnsi="Arial Narrow" w:cs="Arial"/>
                <w:color w:val="000000"/>
                <w:sz w:val="18"/>
                <w:szCs w:val="18"/>
              </w:rPr>
            </w:pPr>
            <w:r w:rsidRPr="00E76177">
              <w:rPr>
                <w:rFonts w:ascii="Arial Narrow" w:hAnsi="Arial Narrow" w:cs="Arial"/>
                <w:color w:val="000000"/>
                <w:sz w:val="18"/>
                <w:szCs w:val="18"/>
              </w:rPr>
              <w:t>1,200,000.00</w:t>
            </w:r>
          </w:p>
        </w:tc>
      </w:tr>
      <w:tr w:rsidR="00FE00B0" w:rsidRPr="00F80A66" w:rsidTr="004A2D69">
        <w:trPr>
          <w:jc w:val="right"/>
        </w:trPr>
        <w:tc>
          <w:tcPr>
            <w:tcW w:w="4118" w:type="dxa"/>
            <w:tcBorders>
              <w:bottom w:val="single" w:sz="4" w:space="0" w:color="auto"/>
            </w:tcBorders>
          </w:tcPr>
          <w:p w:rsidR="00FE00B0" w:rsidRPr="00E76177" w:rsidRDefault="00FE00B0" w:rsidP="00E76177">
            <w:pPr>
              <w:ind w:hanging="108"/>
              <w:rPr>
                <w:rFonts w:ascii="Arial Narrow" w:eastAsia="Times New Roman" w:hAnsi="Arial Narrow" w:cs="Arial"/>
                <w:color w:val="000000"/>
                <w:sz w:val="18"/>
                <w:szCs w:val="18"/>
              </w:rPr>
            </w:pPr>
            <w:r w:rsidRPr="00E76177">
              <w:rPr>
                <w:rFonts w:ascii="Arial Narrow" w:hAnsi="Arial Narrow" w:cs="Arial"/>
                <w:color w:val="000000"/>
                <w:sz w:val="18"/>
                <w:szCs w:val="18"/>
              </w:rPr>
              <w:t>Gesu Eucaristo Children's Inc.</w:t>
            </w:r>
          </w:p>
        </w:tc>
        <w:tc>
          <w:tcPr>
            <w:tcW w:w="1530" w:type="dxa"/>
            <w:tcBorders>
              <w:bottom w:val="single" w:sz="4" w:space="0" w:color="auto"/>
            </w:tcBorders>
          </w:tcPr>
          <w:p w:rsidR="00FE00B0" w:rsidRPr="00E76177" w:rsidRDefault="00FE00B0" w:rsidP="004C39E3">
            <w:pPr>
              <w:jc w:val="right"/>
              <w:rPr>
                <w:rFonts w:ascii="Arial Narrow" w:eastAsia="Times New Roman" w:hAnsi="Arial Narrow" w:cs="Arial"/>
                <w:color w:val="000000"/>
                <w:sz w:val="18"/>
                <w:szCs w:val="18"/>
              </w:rPr>
            </w:pPr>
            <w:r w:rsidRPr="00E76177">
              <w:rPr>
                <w:rFonts w:ascii="Arial Narrow" w:hAnsi="Arial Narrow" w:cs="Arial"/>
                <w:color w:val="000000"/>
                <w:sz w:val="18"/>
                <w:szCs w:val="18"/>
              </w:rPr>
              <w:t>164,250.00</w:t>
            </w:r>
          </w:p>
        </w:tc>
        <w:tc>
          <w:tcPr>
            <w:tcW w:w="1840" w:type="dxa"/>
            <w:tcBorders>
              <w:bottom w:val="single" w:sz="4" w:space="0" w:color="auto"/>
            </w:tcBorders>
          </w:tcPr>
          <w:p w:rsidR="00FE00B0" w:rsidRPr="00E76177" w:rsidRDefault="00FE00B0" w:rsidP="00E76177">
            <w:pPr>
              <w:ind w:right="-90"/>
              <w:jc w:val="right"/>
              <w:rPr>
                <w:rFonts w:ascii="Arial Narrow" w:eastAsia="Times New Roman" w:hAnsi="Arial Narrow" w:cs="Arial"/>
                <w:color w:val="000000"/>
                <w:sz w:val="18"/>
                <w:szCs w:val="18"/>
              </w:rPr>
            </w:pPr>
            <w:r w:rsidRPr="00E76177">
              <w:rPr>
                <w:rFonts w:ascii="Arial Narrow" w:hAnsi="Arial Narrow" w:cs="Arial"/>
                <w:color w:val="000000"/>
                <w:sz w:val="18"/>
                <w:szCs w:val="18"/>
              </w:rPr>
              <w:t>100,000.00</w:t>
            </w:r>
          </w:p>
        </w:tc>
      </w:tr>
      <w:tr w:rsidR="00FE00B0" w:rsidRPr="00F80A66" w:rsidTr="004A2D69">
        <w:trPr>
          <w:jc w:val="right"/>
        </w:trPr>
        <w:tc>
          <w:tcPr>
            <w:tcW w:w="4118" w:type="dxa"/>
            <w:tcBorders>
              <w:top w:val="single" w:sz="4" w:space="0" w:color="auto"/>
              <w:bottom w:val="single" w:sz="4" w:space="0" w:color="auto"/>
            </w:tcBorders>
          </w:tcPr>
          <w:p w:rsidR="00FE00B0" w:rsidRPr="00E76177" w:rsidRDefault="00FE00B0" w:rsidP="00E76177">
            <w:pPr>
              <w:ind w:hanging="108"/>
              <w:rPr>
                <w:rFonts w:ascii="Arial Narrow" w:hAnsi="Arial Narrow" w:cs="Arial"/>
                <w:b/>
                <w:color w:val="000000"/>
                <w:sz w:val="18"/>
                <w:szCs w:val="18"/>
              </w:rPr>
            </w:pPr>
            <w:r w:rsidRPr="00E76177">
              <w:rPr>
                <w:rFonts w:ascii="Arial Narrow" w:hAnsi="Arial Narrow" w:cs="Arial"/>
                <w:b/>
                <w:color w:val="000000"/>
                <w:sz w:val="18"/>
                <w:szCs w:val="18"/>
              </w:rPr>
              <w:t xml:space="preserve">     Total</w:t>
            </w:r>
          </w:p>
        </w:tc>
        <w:tc>
          <w:tcPr>
            <w:tcW w:w="1530" w:type="dxa"/>
            <w:tcBorders>
              <w:top w:val="single" w:sz="4" w:space="0" w:color="auto"/>
              <w:bottom w:val="single" w:sz="4" w:space="0" w:color="auto"/>
            </w:tcBorders>
          </w:tcPr>
          <w:p w:rsidR="00FE00B0" w:rsidRPr="00E76177" w:rsidRDefault="00FE00B0" w:rsidP="004C39E3">
            <w:pPr>
              <w:jc w:val="right"/>
              <w:rPr>
                <w:rFonts w:ascii="Arial Narrow" w:eastAsia="Times New Roman" w:hAnsi="Arial Narrow" w:cs="Arial"/>
                <w:b/>
                <w:color w:val="000000"/>
                <w:sz w:val="18"/>
                <w:szCs w:val="18"/>
              </w:rPr>
            </w:pPr>
            <w:r w:rsidRPr="00E76177">
              <w:rPr>
                <w:rFonts w:ascii="Arial Narrow" w:hAnsi="Arial Narrow" w:cs="Arial"/>
                <w:b/>
                <w:color w:val="000000"/>
                <w:sz w:val="18"/>
                <w:szCs w:val="18"/>
              </w:rPr>
              <w:t>26,832,800.00</w:t>
            </w:r>
          </w:p>
        </w:tc>
        <w:tc>
          <w:tcPr>
            <w:tcW w:w="1840" w:type="dxa"/>
            <w:tcBorders>
              <w:top w:val="single" w:sz="4" w:space="0" w:color="auto"/>
              <w:bottom w:val="single" w:sz="4" w:space="0" w:color="auto"/>
            </w:tcBorders>
          </w:tcPr>
          <w:p w:rsidR="00FE00B0" w:rsidRPr="00E76177" w:rsidRDefault="00FE00B0" w:rsidP="00E76177">
            <w:pPr>
              <w:ind w:right="-90"/>
              <w:jc w:val="right"/>
              <w:rPr>
                <w:rFonts w:ascii="Arial Narrow" w:eastAsia="Times New Roman" w:hAnsi="Arial Narrow" w:cs="Arial"/>
                <w:b/>
                <w:bCs/>
                <w:color w:val="000000"/>
                <w:sz w:val="18"/>
                <w:szCs w:val="18"/>
              </w:rPr>
            </w:pPr>
            <w:r w:rsidRPr="00E76177">
              <w:rPr>
                <w:rFonts w:ascii="Arial Narrow" w:hAnsi="Arial Narrow" w:cs="Arial"/>
                <w:b/>
                <w:bCs/>
                <w:color w:val="000000"/>
                <w:sz w:val="18"/>
                <w:szCs w:val="18"/>
              </w:rPr>
              <w:t>15,138,000.00</w:t>
            </w:r>
          </w:p>
        </w:tc>
      </w:tr>
      <w:tr w:rsidR="00FE00B0" w:rsidRPr="00F80A66" w:rsidTr="004A2D69">
        <w:trPr>
          <w:jc w:val="right"/>
        </w:trPr>
        <w:tc>
          <w:tcPr>
            <w:tcW w:w="4118" w:type="dxa"/>
            <w:tcBorders>
              <w:top w:val="single" w:sz="4" w:space="0" w:color="auto"/>
              <w:bottom w:val="single" w:sz="4" w:space="0" w:color="auto"/>
            </w:tcBorders>
          </w:tcPr>
          <w:p w:rsidR="00FE00B0" w:rsidRPr="00E76177" w:rsidRDefault="00FE00B0" w:rsidP="00E76177">
            <w:pPr>
              <w:ind w:hanging="108"/>
              <w:rPr>
                <w:rFonts w:ascii="Arial Narrow" w:hAnsi="Arial Narrow" w:cs="Arial"/>
                <w:b/>
                <w:color w:val="000000" w:themeColor="text1"/>
                <w:sz w:val="18"/>
                <w:szCs w:val="18"/>
                <w:u w:val="single"/>
              </w:rPr>
            </w:pPr>
            <w:r w:rsidRPr="00E76177">
              <w:rPr>
                <w:rFonts w:ascii="Arial Narrow" w:hAnsi="Arial Narrow" w:cs="Arial"/>
                <w:b/>
                <w:color w:val="000000" w:themeColor="text1"/>
                <w:sz w:val="18"/>
                <w:szCs w:val="18"/>
                <w:u w:val="single"/>
              </w:rPr>
              <w:t>Endowment Fund Program</w:t>
            </w:r>
          </w:p>
          <w:p w:rsidR="00FE00B0" w:rsidRPr="00E76177" w:rsidRDefault="00FE00B0" w:rsidP="00E76177">
            <w:pPr>
              <w:ind w:hanging="108"/>
              <w:rPr>
                <w:rFonts w:ascii="Arial Narrow" w:eastAsia="Times New Roman" w:hAnsi="Arial Narrow" w:cs="Arial"/>
                <w:color w:val="000000" w:themeColor="text1"/>
                <w:sz w:val="18"/>
                <w:szCs w:val="18"/>
              </w:rPr>
            </w:pPr>
            <w:r w:rsidRPr="00E76177">
              <w:rPr>
                <w:rFonts w:ascii="Arial Narrow" w:hAnsi="Arial Narrow" w:cs="Arial"/>
                <w:color w:val="000000" w:themeColor="text1"/>
                <w:sz w:val="18"/>
                <w:szCs w:val="18"/>
              </w:rPr>
              <w:t>Veterans Memorial Medical Center</w:t>
            </w:r>
          </w:p>
        </w:tc>
        <w:tc>
          <w:tcPr>
            <w:tcW w:w="1530" w:type="dxa"/>
            <w:tcBorders>
              <w:top w:val="single" w:sz="4" w:space="0" w:color="auto"/>
              <w:bottom w:val="single" w:sz="4" w:space="0" w:color="auto"/>
            </w:tcBorders>
          </w:tcPr>
          <w:p w:rsidR="00FE00B0" w:rsidRPr="00E76177" w:rsidRDefault="00FE00B0" w:rsidP="004C39E3">
            <w:pPr>
              <w:jc w:val="right"/>
              <w:rPr>
                <w:rFonts w:ascii="Arial Narrow" w:hAnsi="Arial Narrow" w:cs="Arial"/>
                <w:color w:val="000000" w:themeColor="text1"/>
                <w:sz w:val="18"/>
                <w:szCs w:val="18"/>
              </w:rPr>
            </w:pPr>
          </w:p>
          <w:p w:rsidR="00FE00B0" w:rsidRPr="00E76177" w:rsidRDefault="00FE00B0" w:rsidP="004C39E3">
            <w:pPr>
              <w:jc w:val="right"/>
              <w:rPr>
                <w:rFonts w:ascii="Arial Narrow" w:eastAsia="Times New Roman" w:hAnsi="Arial Narrow" w:cs="Arial"/>
                <w:color w:val="000000" w:themeColor="text1"/>
                <w:sz w:val="18"/>
                <w:szCs w:val="18"/>
              </w:rPr>
            </w:pPr>
            <w:r w:rsidRPr="00E76177">
              <w:rPr>
                <w:rFonts w:ascii="Arial Narrow" w:hAnsi="Arial Narrow" w:cs="Arial"/>
                <w:color w:val="000000" w:themeColor="text1"/>
                <w:sz w:val="18"/>
                <w:szCs w:val="18"/>
              </w:rPr>
              <w:t>5,000,000.00</w:t>
            </w:r>
          </w:p>
        </w:tc>
        <w:tc>
          <w:tcPr>
            <w:tcW w:w="1840" w:type="dxa"/>
            <w:tcBorders>
              <w:top w:val="single" w:sz="4" w:space="0" w:color="auto"/>
              <w:bottom w:val="single" w:sz="4" w:space="0" w:color="auto"/>
            </w:tcBorders>
          </w:tcPr>
          <w:p w:rsidR="00FE00B0" w:rsidRPr="00E76177" w:rsidRDefault="00FE00B0" w:rsidP="00E76177">
            <w:pPr>
              <w:ind w:right="-90"/>
              <w:jc w:val="right"/>
              <w:rPr>
                <w:rFonts w:ascii="Arial Narrow" w:hAnsi="Arial Narrow" w:cs="Arial"/>
                <w:color w:val="000000"/>
                <w:sz w:val="18"/>
                <w:szCs w:val="18"/>
              </w:rPr>
            </w:pPr>
          </w:p>
          <w:p w:rsidR="00FE00B0" w:rsidRPr="00E76177" w:rsidRDefault="00FE00B0" w:rsidP="00E76177">
            <w:pPr>
              <w:ind w:right="-90"/>
              <w:jc w:val="right"/>
              <w:rPr>
                <w:rFonts w:ascii="Arial Narrow" w:eastAsia="Times New Roman" w:hAnsi="Arial Narrow" w:cs="Arial"/>
                <w:color w:val="000000"/>
                <w:sz w:val="18"/>
                <w:szCs w:val="18"/>
              </w:rPr>
            </w:pPr>
            <w:r w:rsidRPr="00E76177">
              <w:rPr>
                <w:rFonts w:ascii="Arial Narrow" w:hAnsi="Arial Narrow" w:cs="Arial"/>
                <w:color w:val="000000"/>
                <w:sz w:val="18"/>
                <w:szCs w:val="18"/>
              </w:rPr>
              <w:t>3,000,000.00</w:t>
            </w:r>
          </w:p>
        </w:tc>
      </w:tr>
      <w:tr w:rsidR="00FE00B0" w:rsidRPr="00F80A66" w:rsidTr="004A2D69">
        <w:trPr>
          <w:jc w:val="right"/>
        </w:trPr>
        <w:tc>
          <w:tcPr>
            <w:tcW w:w="4118" w:type="dxa"/>
            <w:tcBorders>
              <w:top w:val="single" w:sz="4" w:space="0" w:color="auto"/>
              <w:bottom w:val="double" w:sz="4" w:space="0" w:color="auto"/>
            </w:tcBorders>
          </w:tcPr>
          <w:p w:rsidR="00FE00B0" w:rsidRPr="00E76177" w:rsidRDefault="00FE00B0" w:rsidP="00E76177">
            <w:pPr>
              <w:ind w:hanging="108"/>
              <w:rPr>
                <w:rFonts w:ascii="Arial Narrow" w:hAnsi="Arial Narrow" w:cs="Arial"/>
                <w:b/>
                <w:sz w:val="18"/>
                <w:szCs w:val="18"/>
              </w:rPr>
            </w:pPr>
            <w:r w:rsidRPr="00E76177">
              <w:rPr>
                <w:rFonts w:ascii="Arial Narrow" w:hAnsi="Arial Narrow" w:cs="Arial"/>
                <w:b/>
                <w:sz w:val="18"/>
                <w:szCs w:val="18"/>
              </w:rPr>
              <w:t xml:space="preserve">Grand Total </w:t>
            </w:r>
          </w:p>
        </w:tc>
        <w:tc>
          <w:tcPr>
            <w:tcW w:w="1530" w:type="dxa"/>
            <w:tcBorders>
              <w:top w:val="single" w:sz="4" w:space="0" w:color="auto"/>
              <w:bottom w:val="double" w:sz="4" w:space="0" w:color="auto"/>
            </w:tcBorders>
          </w:tcPr>
          <w:p w:rsidR="00FE00B0" w:rsidRPr="00E76177" w:rsidRDefault="00E76177" w:rsidP="004C39E3">
            <w:pPr>
              <w:jc w:val="right"/>
              <w:rPr>
                <w:rFonts w:ascii="Arial Narrow" w:hAnsi="Arial Narrow" w:cs="Arial"/>
                <w:b/>
                <w:sz w:val="18"/>
                <w:szCs w:val="18"/>
              </w:rPr>
            </w:pPr>
            <w:r>
              <w:rPr>
                <w:rFonts w:ascii="Arial Narrow" w:hAnsi="Arial Narrow" w:cs="Arial"/>
                <w:b/>
                <w:sz w:val="18"/>
                <w:szCs w:val="18"/>
              </w:rPr>
              <w:t xml:space="preserve">P </w:t>
            </w:r>
            <w:r w:rsidR="00FE00B0" w:rsidRPr="00E76177">
              <w:rPr>
                <w:rFonts w:ascii="Arial Narrow" w:hAnsi="Arial Narrow" w:cs="Arial"/>
                <w:b/>
                <w:sz w:val="18"/>
                <w:szCs w:val="18"/>
              </w:rPr>
              <w:t>31,832,800.00</w:t>
            </w:r>
          </w:p>
        </w:tc>
        <w:tc>
          <w:tcPr>
            <w:tcW w:w="1840" w:type="dxa"/>
            <w:tcBorders>
              <w:top w:val="single" w:sz="4" w:space="0" w:color="auto"/>
              <w:bottom w:val="double" w:sz="4" w:space="0" w:color="auto"/>
            </w:tcBorders>
          </w:tcPr>
          <w:p w:rsidR="00FE00B0" w:rsidRPr="00E76177" w:rsidRDefault="00E76177" w:rsidP="00E76177">
            <w:pPr>
              <w:ind w:right="-90"/>
              <w:jc w:val="right"/>
              <w:rPr>
                <w:rFonts w:ascii="Arial Narrow" w:hAnsi="Arial Narrow" w:cs="Arial"/>
                <w:b/>
                <w:sz w:val="18"/>
                <w:szCs w:val="18"/>
              </w:rPr>
            </w:pPr>
            <w:r>
              <w:rPr>
                <w:rFonts w:ascii="Arial Narrow" w:hAnsi="Arial Narrow" w:cs="Arial"/>
                <w:b/>
                <w:sz w:val="18"/>
                <w:szCs w:val="18"/>
              </w:rPr>
              <w:t xml:space="preserve">P </w:t>
            </w:r>
            <w:r w:rsidR="00FE00B0" w:rsidRPr="00E76177">
              <w:rPr>
                <w:rFonts w:ascii="Arial Narrow" w:hAnsi="Arial Narrow" w:cs="Arial"/>
                <w:b/>
                <w:sz w:val="18"/>
                <w:szCs w:val="18"/>
              </w:rPr>
              <w:t>18,138,000.00</w:t>
            </w:r>
          </w:p>
        </w:tc>
      </w:tr>
    </w:tbl>
    <w:p w:rsidR="00032B1E" w:rsidRPr="00EF4855" w:rsidRDefault="00032B1E" w:rsidP="004C39E3">
      <w:pPr>
        <w:pStyle w:val="ListParagraph"/>
        <w:ind w:left="1701" w:firstLine="284"/>
        <w:jc w:val="both"/>
        <w:rPr>
          <w:rFonts w:ascii="Arial" w:hAnsi="Arial" w:cs="Arial"/>
          <w:sz w:val="22"/>
          <w:szCs w:val="22"/>
        </w:rPr>
      </w:pPr>
    </w:p>
    <w:p w:rsidR="0063423D" w:rsidRPr="00E76177" w:rsidRDefault="00A123CD" w:rsidP="00DA78B4">
      <w:pPr>
        <w:pStyle w:val="ListParagraph"/>
        <w:numPr>
          <w:ilvl w:val="1"/>
          <w:numId w:val="1"/>
        </w:numPr>
        <w:ind w:left="1440"/>
        <w:jc w:val="both"/>
        <w:rPr>
          <w:rFonts w:ascii="Arial" w:hAnsi="Arial" w:cs="Arial"/>
          <w:sz w:val="22"/>
          <w:szCs w:val="22"/>
        </w:rPr>
      </w:pPr>
      <w:r w:rsidRPr="00E76177">
        <w:rPr>
          <w:rFonts w:ascii="Arial" w:hAnsi="Arial" w:cs="Arial"/>
          <w:sz w:val="22"/>
          <w:szCs w:val="22"/>
        </w:rPr>
        <w:t>F</w:t>
      </w:r>
      <w:r w:rsidR="00426DB2" w:rsidRPr="00E76177">
        <w:rPr>
          <w:rFonts w:ascii="Arial" w:hAnsi="Arial" w:cs="Arial"/>
          <w:sz w:val="22"/>
          <w:szCs w:val="22"/>
        </w:rPr>
        <w:t xml:space="preserve">urther verification disclosed that </w:t>
      </w:r>
      <w:r w:rsidR="0063423D" w:rsidRPr="00E76177">
        <w:rPr>
          <w:rFonts w:ascii="Arial" w:hAnsi="Arial" w:cs="Arial"/>
          <w:sz w:val="22"/>
          <w:szCs w:val="22"/>
        </w:rPr>
        <w:t xml:space="preserve">the </w:t>
      </w:r>
      <w:r w:rsidR="00426DB2" w:rsidRPr="00E76177">
        <w:rPr>
          <w:rFonts w:ascii="Arial" w:hAnsi="Arial" w:cs="Arial"/>
          <w:sz w:val="22"/>
          <w:szCs w:val="22"/>
        </w:rPr>
        <w:t xml:space="preserve">total </w:t>
      </w:r>
      <w:r w:rsidR="0063423D" w:rsidRPr="00E76177">
        <w:rPr>
          <w:rFonts w:ascii="Arial" w:hAnsi="Arial" w:cs="Arial"/>
          <w:sz w:val="22"/>
          <w:szCs w:val="22"/>
        </w:rPr>
        <w:t>amount of P8</w:t>
      </w:r>
      <w:r w:rsidR="0019310E" w:rsidRPr="00E76177">
        <w:rPr>
          <w:rFonts w:ascii="Arial" w:hAnsi="Arial" w:cs="Arial"/>
          <w:sz w:val="22"/>
          <w:szCs w:val="22"/>
        </w:rPr>
        <w:t>.</w:t>
      </w:r>
      <w:r w:rsidR="0063423D" w:rsidRPr="00E76177">
        <w:rPr>
          <w:rFonts w:ascii="Arial" w:hAnsi="Arial" w:cs="Arial"/>
          <w:sz w:val="22"/>
          <w:szCs w:val="22"/>
        </w:rPr>
        <w:t>606</w:t>
      </w:r>
      <w:r w:rsidR="0019310E" w:rsidRPr="00E76177">
        <w:rPr>
          <w:rFonts w:ascii="Arial" w:hAnsi="Arial" w:cs="Arial"/>
          <w:sz w:val="22"/>
          <w:szCs w:val="22"/>
        </w:rPr>
        <w:t xml:space="preserve"> million</w:t>
      </w:r>
      <w:r w:rsidR="0063423D" w:rsidRPr="00E76177">
        <w:rPr>
          <w:rFonts w:ascii="Arial" w:hAnsi="Arial" w:cs="Arial"/>
          <w:sz w:val="22"/>
          <w:szCs w:val="22"/>
        </w:rPr>
        <w:t xml:space="preserve"> for several IPP </w:t>
      </w:r>
      <w:r w:rsidR="00426DB2" w:rsidRPr="00E76177">
        <w:rPr>
          <w:rFonts w:ascii="Arial" w:hAnsi="Arial" w:cs="Arial"/>
          <w:sz w:val="22"/>
          <w:szCs w:val="22"/>
        </w:rPr>
        <w:t xml:space="preserve">grants that were accrued as of December 31, 2018 included the </w:t>
      </w:r>
      <w:r w:rsidR="0063423D" w:rsidRPr="00E76177">
        <w:rPr>
          <w:rFonts w:ascii="Arial" w:hAnsi="Arial" w:cs="Arial"/>
          <w:sz w:val="22"/>
          <w:szCs w:val="22"/>
        </w:rPr>
        <w:t>total amount of P5</w:t>
      </w:r>
      <w:r w:rsidR="0019310E" w:rsidRPr="00E76177">
        <w:rPr>
          <w:rFonts w:ascii="Arial" w:hAnsi="Arial" w:cs="Arial"/>
          <w:sz w:val="22"/>
          <w:szCs w:val="22"/>
        </w:rPr>
        <w:t>.</w:t>
      </w:r>
      <w:r w:rsidR="0063423D" w:rsidRPr="00E76177">
        <w:rPr>
          <w:rFonts w:ascii="Arial" w:hAnsi="Arial" w:cs="Arial"/>
          <w:sz w:val="22"/>
          <w:szCs w:val="22"/>
        </w:rPr>
        <w:t>210</w:t>
      </w:r>
      <w:r w:rsidR="0019310E" w:rsidRPr="00E76177">
        <w:rPr>
          <w:rFonts w:ascii="Arial" w:hAnsi="Arial" w:cs="Arial"/>
          <w:sz w:val="22"/>
          <w:szCs w:val="22"/>
        </w:rPr>
        <w:t xml:space="preserve"> million</w:t>
      </w:r>
      <w:r w:rsidR="0063423D" w:rsidRPr="00E76177">
        <w:rPr>
          <w:rFonts w:ascii="Arial" w:hAnsi="Arial" w:cs="Arial"/>
          <w:sz w:val="22"/>
          <w:szCs w:val="22"/>
        </w:rPr>
        <w:t xml:space="preserve"> </w:t>
      </w:r>
      <w:r w:rsidR="00426DB2" w:rsidRPr="00E76177">
        <w:rPr>
          <w:rFonts w:ascii="Arial" w:hAnsi="Arial" w:cs="Arial"/>
          <w:sz w:val="22"/>
          <w:szCs w:val="22"/>
        </w:rPr>
        <w:t>that was already a</w:t>
      </w:r>
      <w:r w:rsidR="0063423D" w:rsidRPr="00E76177">
        <w:rPr>
          <w:rFonts w:ascii="Arial" w:hAnsi="Arial" w:cs="Arial"/>
          <w:sz w:val="22"/>
          <w:szCs w:val="22"/>
        </w:rPr>
        <w:t>ccrued durin</w:t>
      </w:r>
      <w:r w:rsidR="00426DB2" w:rsidRPr="00E76177">
        <w:rPr>
          <w:rFonts w:ascii="Arial" w:hAnsi="Arial" w:cs="Arial"/>
          <w:sz w:val="22"/>
          <w:szCs w:val="22"/>
        </w:rPr>
        <w:t xml:space="preserve">g CY 2015, Accordingly, </w:t>
      </w:r>
      <w:r w:rsidR="0063423D" w:rsidRPr="00E76177">
        <w:rPr>
          <w:rFonts w:ascii="Arial" w:hAnsi="Arial" w:cs="Arial"/>
          <w:sz w:val="22"/>
          <w:szCs w:val="22"/>
        </w:rPr>
        <w:t>only the amount of P3</w:t>
      </w:r>
      <w:r w:rsidR="0019310E" w:rsidRPr="00E76177">
        <w:rPr>
          <w:rFonts w:ascii="Arial" w:hAnsi="Arial" w:cs="Arial"/>
          <w:sz w:val="22"/>
          <w:szCs w:val="22"/>
        </w:rPr>
        <w:t>.</w:t>
      </w:r>
      <w:r w:rsidR="0063423D" w:rsidRPr="00E76177">
        <w:rPr>
          <w:rFonts w:ascii="Arial" w:hAnsi="Arial" w:cs="Arial"/>
          <w:sz w:val="22"/>
          <w:szCs w:val="22"/>
        </w:rPr>
        <w:t>395</w:t>
      </w:r>
      <w:r w:rsidR="0019310E" w:rsidRPr="00E76177">
        <w:rPr>
          <w:rFonts w:ascii="Arial" w:hAnsi="Arial" w:cs="Arial"/>
          <w:sz w:val="22"/>
          <w:szCs w:val="22"/>
        </w:rPr>
        <w:t xml:space="preserve"> million</w:t>
      </w:r>
      <w:r w:rsidR="0063423D" w:rsidRPr="00E76177">
        <w:rPr>
          <w:rFonts w:ascii="Arial" w:hAnsi="Arial" w:cs="Arial"/>
          <w:sz w:val="22"/>
          <w:szCs w:val="22"/>
        </w:rPr>
        <w:t xml:space="preserve"> should have been accrued during CY 2018.  </w:t>
      </w:r>
    </w:p>
    <w:p w:rsidR="0063423D" w:rsidRPr="00EF4855" w:rsidRDefault="0063423D" w:rsidP="004C39E3">
      <w:pPr>
        <w:pStyle w:val="ListParagraph"/>
        <w:ind w:left="1080"/>
        <w:jc w:val="both"/>
        <w:rPr>
          <w:rFonts w:ascii="Arial" w:hAnsi="Arial" w:cs="Arial"/>
          <w:sz w:val="22"/>
          <w:szCs w:val="22"/>
        </w:rPr>
      </w:pPr>
    </w:p>
    <w:p w:rsidR="0063423D" w:rsidRPr="00E76177" w:rsidRDefault="0011607B" w:rsidP="00DA78B4">
      <w:pPr>
        <w:pStyle w:val="ListParagraph"/>
        <w:numPr>
          <w:ilvl w:val="1"/>
          <w:numId w:val="1"/>
        </w:numPr>
        <w:ind w:left="1440"/>
        <w:jc w:val="both"/>
        <w:rPr>
          <w:rFonts w:ascii="Arial" w:hAnsi="Arial" w:cs="Arial"/>
          <w:sz w:val="22"/>
          <w:szCs w:val="22"/>
        </w:rPr>
      </w:pPr>
      <w:r w:rsidRPr="00E76177">
        <w:rPr>
          <w:rFonts w:ascii="Arial" w:hAnsi="Arial" w:cs="Arial"/>
          <w:sz w:val="22"/>
          <w:szCs w:val="22"/>
        </w:rPr>
        <w:t xml:space="preserve">The erroneous </w:t>
      </w:r>
      <w:r w:rsidR="0063423D" w:rsidRPr="00E76177">
        <w:rPr>
          <w:rFonts w:ascii="Arial" w:hAnsi="Arial" w:cs="Arial"/>
          <w:sz w:val="22"/>
          <w:szCs w:val="22"/>
        </w:rPr>
        <w:t>recording of the subject transactions pertaining to the IP</w:t>
      </w:r>
      <w:r w:rsidR="00A123CD" w:rsidRPr="00E76177">
        <w:rPr>
          <w:rFonts w:ascii="Arial" w:hAnsi="Arial" w:cs="Arial"/>
          <w:sz w:val="22"/>
          <w:szCs w:val="22"/>
        </w:rPr>
        <w:t>P</w:t>
      </w:r>
      <w:r w:rsidR="0063423D" w:rsidRPr="00E76177">
        <w:rPr>
          <w:rFonts w:ascii="Arial" w:hAnsi="Arial" w:cs="Arial"/>
          <w:sz w:val="22"/>
          <w:szCs w:val="22"/>
        </w:rPr>
        <w:t>/EF Programs of the PCSO during CY 2018</w:t>
      </w:r>
      <w:r w:rsidRPr="00E76177">
        <w:rPr>
          <w:rFonts w:ascii="Arial" w:hAnsi="Arial" w:cs="Arial"/>
          <w:sz w:val="22"/>
          <w:szCs w:val="22"/>
        </w:rPr>
        <w:t xml:space="preserve"> resulted in the overstatement of both </w:t>
      </w:r>
      <w:r w:rsidR="00426DB2" w:rsidRPr="00E76177">
        <w:rPr>
          <w:rFonts w:ascii="Arial" w:hAnsi="Arial" w:cs="Arial"/>
          <w:sz w:val="22"/>
          <w:szCs w:val="22"/>
        </w:rPr>
        <w:t xml:space="preserve">the </w:t>
      </w:r>
      <w:r w:rsidR="0063423D" w:rsidRPr="00E76177">
        <w:rPr>
          <w:rFonts w:ascii="Arial" w:hAnsi="Arial" w:cs="Arial"/>
          <w:sz w:val="22"/>
          <w:szCs w:val="22"/>
        </w:rPr>
        <w:t xml:space="preserve">Charity Fund expenses and </w:t>
      </w:r>
      <w:r w:rsidR="00426DB2" w:rsidRPr="00E76177">
        <w:rPr>
          <w:rFonts w:ascii="Arial" w:hAnsi="Arial" w:cs="Arial"/>
          <w:sz w:val="22"/>
          <w:szCs w:val="22"/>
        </w:rPr>
        <w:t xml:space="preserve">the </w:t>
      </w:r>
      <w:r w:rsidR="0063423D" w:rsidRPr="00E76177">
        <w:rPr>
          <w:rFonts w:ascii="Arial" w:hAnsi="Arial" w:cs="Arial"/>
          <w:sz w:val="22"/>
          <w:szCs w:val="22"/>
        </w:rPr>
        <w:t xml:space="preserve">AP-Miscellaneous accounts </w:t>
      </w:r>
      <w:r w:rsidRPr="00E76177">
        <w:rPr>
          <w:rFonts w:ascii="Arial" w:hAnsi="Arial" w:cs="Arial"/>
          <w:sz w:val="22"/>
          <w:szCs w:val="22"/>
        </w:rPr>
        <w:t>b</w:t>
      </w:r>
      <w:r w:rsidR="0063423D" w:rsidRPr="00E76177">
        <w:rPr>
          <w:rFonts w:ascii="Arial" w:hAnsi="Arial" w:cs="Arial"/>
          <w:sz w:val="22"/>
          <w:szCs w:val="22"/>
        </w:rPr>
        <w:t>y a total amount of P23</w:t>
      </w:r>
      <w:r w:rsidR="0019310E" w:rsidRPr="00E76177">
        <w:rPr>
          <w:rFonts w:ascii="Arial" w:hAnsi="Arial" w:cs="Arial"/>
          <w:sz w:val="22"/>
          <w:szCs w:val="22"/>
        </w:rPr>
        <w:t>.</w:t>
      </w:r>
      <w:r w:rsidR="0063423D" w:rsidRPr="00E76177">
        <w:rPr>
          <w:rFonts w:ascii="Arial" w:hAnsi="Arial" w:cs="Arial"/>
          <w:sz w:val="22"/>
          <w:szCs w:val="22"/>
        </w:rPr>
        <w:t>348</w:t>
      </w:r>
      <w:r w:rsidR="0019310E" w:rsidRPr="00E76177">
        <w:rPr>
          <w:rFonts w:ascii="Arial" w:hAnsi="Arial" w:cs="Arial"/>
          <w:sz w:val="22"/>
          <w:szCs w:val="22"/>
        </w:rPr>
        <w:t xml:space="preserve"> million</w:t>
      </w:r>
      <w:r w:rsidR="0063423D" w:rsidRPr="00E76177">
        <w:rPr>
          <w:rFonts w:ascii="Arial" w:hAnsi="Arial" w:cs="Arial"/>
          <w:sz w:val="22"/>
          <w:szCs w:val="22"/>
        </w:rPr>
        <w:t xml:space="preserve"> as of December 31, 2018.</w:t>
      </w:r>
    </w:p>
    <w:p w:rsidR="0063423D" w:rsidRPr="00EF4855" w:rsidRDefault="0063423D" w:rsidP="004C39E3">
      <w:pPr>
        <w:pStyle w:val="ListParagraph"/>
        <w:ind w:left="1080" w:right="3139"/>
        <w:jc w:val="both"/>
        <w:rPr>
          <w:rFonts w:ascii="Arial" w:hAnsi="Arial" w:cs="Arial"/>
          <w:sz w:val="22"/>
          <w:szCs w:val="22"/>
        </w:rPr>
      </w:pPr>
    </w:p>
    <w:p w:rsidR="0063423D" w:rsidRPr="00EF4855" w:rsidRDefault="0063423D" w:rsidP="00E76177">
      <w:pPr>
        <w:tabs>
          <w:tab w:val="left" w:pos="5040"/>
        </w:tabs>
        <w:ind w:left="720" w:right="3600"/>
        <w:rPr>
          <w:rFonts w:ascii="Arial" w:hAnsi="Arial" w:cs="Arial"/>
        </w:rPr>
      </w:pPr>
      <w:r w:rsidRPr="00EF4855">
        <w:rPr>
          <w:rFonts w:ascii="Arial" w:hAnsi="Arial" w:cs="Arial"/>
          <w:i/>
        </w:rPr>
        <w:t>Over recording of expenses</w:t>
      </w:r>
      <w:r w:rsidR="00433EA5" w:rsidRPr="00EF4855">
        <w:rPr>
          <w:rFonts w:ascii="Arial" w:hAnsi="Arial" w:cs="Arial"/>
          <w:i/>
        </w:rPr>
        <w:t xml:space="preserve"> amounting to P26</w:t>
      </w:r>
      <w:r w:rsidR="0019310E" w:rsidRPr="00EF4855">
        <w:rPr>
          <w:rFonts w:ascii="Arial" w:hAnsi="Arial" w:cs="Arial"/>
          <w:i/>
        </w:rPr>
        <w:t>.</w:t>
      </w:r>
      <w:r w:rsidR="00433EA5" w:rsidRPr="00EF4855">
        <w:rPr>
          <w:rFonts w:ascii="Arial" w:hAnsi="Arial" w:cs="Arial"/>
          <w:i/>
        </w:rPr>
        <w:t>077</w:t>
      </w:r>
      <w:r w:rsidR="0019310E" w:rsidRPr="00EF4855">
        <w:rPr>
          <w:rFonts w:ascii="Arial" w:hAnsi="Arial" w:cs="Arial"/>
          <w:i/>
        </w:rPr>
        <w:t xml:space="preserve"> million</w:t>
      </w:r>
      <w:r w:rsidRPr="00EF4855">
        <w:rPr>
          <w:rFonts w:ascii="Arial" w:hAnsi="Arial" w:cs="Arial"/>
          <w:i/>
        </w:rPr>
        <w:t xml:space="preserve"> under the Purcha</w:t>
      </w:r>
      <w:r w:rsidR="00FE00B0" w:rsidRPr="00EF4855">
        <w:rPr>
          <w:rFonts w:ascii="Arial" w:hAnsi="Arial" w:cs="Arial"/>
          <w:i/>
        </w:rPr>
        <w:t>se of Medical Equipment Program</w:t>
      </w:r>
    </w:p>
    <w:p w:rsidR="0063423D" w:rsidRPr="00EF4855" w:rsidRDefault="0063423D" w:rsidP="00DA78B4">
      <w:pPr>
        <w:pStyle w:val="ListParagraph"/>
        <w:numPr>
          <w:ilvl w:val="1"/>
          <w:numId w:val="1"/>
        </w:numPr>
        <w:ind w:left="1440"/>
        <w:jc w:val="both"/>
        <w:rPr>
          <w:rFonts w:ascii="Arial" w:hAnsi="Arial" w:cs="Arial"/>
          <w:sz w:val="22"/>
          <w:szCs w:val="22"/>
        </w:rPr>
      </w:pPr>
      <w:r w:rsidRPr="00EF4855">
        <w:rPr>
          <w:rFonts w:ascii="Arial" w:hAnsi="Arial" w:cs="Arial"/>
          <w:sz w:val="22"/>
          <w:szCs w:val="22"/>
        </w:rPr>
        <w:t xml:space="preserve">Verification </w:t>
      </w:r>
      <w:r w:rsidR="009D3911" w:rsidRPr="00EF4855">
        <w:rPr>
          <w:rFonts w:ascii="Arial" w:hAnsi="Arial" w:cs="Arial"/>
          <w:sz w:val="22"/>
          <w:szCs w:val="22"/>
        </w:rPr>
        <w:t>of record</w:t>
      </w:r>
      <w:r w:rsidR="0028487A" w:rsidRPr="00EF4855">
        <w:rPr>
          <w:rFonts w:ascii="Arial" w:hAnsi="Arial" w:cs="Arial"/>
          <w:sz w:val="22"/>
          <w:szCs w:val="22"/>
        </w:rPr>
        <w:t>s</w:t>
      </w:r>
      <w:r w:rsidR="009D3911" w:rsidRPr="00EF4855">
        <w:rPr>
          <w:rFonts w:ascii="Arial" w:hAnsi="Arial" w:cs="Arial"/>
          <w:sz w:val="22"/>
          <w:szCs w:val="22"/>
        </w:rPr>
        <w:t xml:space="preserve"> </w:t>
      </w:r>
      <w:r w:rsidR="00300BCA">
        <w:rPr>
          <w:rFonts w:ascii="Arial" w:hAnsi="Arial" w:cs="Arial"/>
          <w:sz w:val="22"/>
          <w:szCs w:val="22"/>
        </w:rPr>
        <w:t>revealed</w:t>
      </w:r>
      <w:r w:rsidRPr="00EF4855">
        <w:rPr>
          <w:rFonts w:ascii="Arial" w:hAnsi="Arial" w:cs="Arial"/>
          <w:sz w:val="22"/>
          <w:szCs w:val="22"/>
        </w:rPr>
        <w:t xml:space="preserve"> that Grants for the purchase of medical equipment given to seven (7) beneficiaries totaling P111</w:t>
      </w:r>
      <w:r w:rsidR="0019310E" w:rsidRPr="00EF4855">
        <w:rPr>
          <w:rFonts w:ascii="Arial" w:hAnsi="Arial" w:cs="Arial"/>
          <w:sz w:val="22"/>
          <w:szCs w:val="22"/>
        </w:rPr>
        <w:t>.</w:t>
      </w:r>
      <w:r w:rsidRPr="00EF4855">
        <w:rPr>
          <w:rFonts w:ascii="Arial" w:hAnsi="Arial" w:cs="Arial"/>
          <w:sz w:val="22"/>
          <w:szCs w:val="22"/>
        </w:rPr>
        <w:t>043</w:t>
      </w:r>
      <w:r w:rsidR="0019310E" w:rsidRPr="00EF4855">
        <w:rPr>
          <w:rFonts w:ascii="Arial" w:hAnsi="Arial" w:cs="Arial"/>
          <w:sz w:val="22"/>
          <w:szCs w:val="22"/>
        </w:rPr>
        <w:t xml:space="preserve"> million</w:t>
      </w:r>
      <w:r w:rsidRPr="00EF4855">
        <w:rPr>
          <w:rFonts w:ascii="Arial" w:hAnsi="Arial" w:cs="Arial"/>
          <w:sz w:val="22"/>
          <w:szCs w:val="22"/>
        </w:rPr>
        <w:t xml:space="preserve"> was accrued on December 31, 2017.  However, only the total amount of P97</w:t>
      </w:r>
      <w:r w:rsidR="0019310E" w:rsidRPr="00EF4855">
        <w:rPr>
          <w:rFonts w:ascii="Arial" w:hAnsi="Arial" w:cs="Arial"/>
          <w:sz w:val="22"/>
          <w:szCs w:val="22"/>
        </w:rPr>
        <w:t>.</w:t>
      </w:r>
      <w:r w:rsidRPr="00EF4855">
        <w:rPr>
          <w:rFonts w:ascii="Arial" w:hAnsi="Arial" w:cs="Arial"/>
          <w:sz w:val="22"/>
          <w:szCs w:val="22"/>
        </w:rPr>
        <w:t>821</w:t>
      </w:r>
      <w:r w:rsidR="0019310E" w:rsidRPr="00EF4855">
        <w:rPr>
          <w:rFonts w:ascii="Arial" w:hAnsi="Arial" w:cs="Arial"/>
          <w:sz w:val="22"/>
          <w:szCs w:val="22"/>
        </w:rPr>
        <w:t xml:space="preserve"> million</w:t>
      </w:r>
      <w:r w:rsidRPr="00EF4855">
        <w:rPr>
          <w:rFonts w:ascii="Arial" w:hAnsi="Arial" w:cs="Arial"/>
          <w:sz w:val="22"/>
          <w:szCs w:val="22"/>
        </w:rPr>
        <w:t xml:space="preserve"> was debited to AP-Miscellaneous account when released during CY 2018 since this was the amount actually disbursed.  No adjusting entry was made </w:t>
      </w:r>
      <w:r w:rsidR="00426DB2">
        <w:rPr>
          <w:rFonts w:ascii="Arial" w:hAnsi="Arial" w:cs="Arial"/>
          <w:sz w:val="22"/>
          <w:szCs w:val="22"/>
        </w:rPr>
        <w:t xml:space="preserve">to close the remaining </w:t>
      </w:r>
      <w:r w:rsidR="0019310E" w:rsidRPr="00EF4855">
        <w:rPr>
          <w:rFonts w:ascii="Arial" w:hAnsi="Arial" w:cs="Arial"/>
          <w:sz w:val="22"/>
          <w:szCs w:val="22"/>
        </w:rPr>
        <w:t>amount of P13.</w:t>
      </w:r>
      <w:r w:rsidRPr="00EF4855">
        <w:rPr>
          <w:rFonts w:ascii="Arial" w:hAnsi="Arial" w:cs="Arial"/>
          <w:sz w:val="22"/>
          <w:szCs w:val="22"/>
        </w:rPr>
        <w:t>222</w:t>
      </w:r>
      <w:r w:rsidR="00517962">
        <w:rPr>
          <w:rFonts w:ascii="Arial" w:hAnsi="Arial" w:cs="Arial"/>
          <w:sz w:val="22"/>
          <w:szCs w:val="22"/>
        </w:rPr>
        <w:t xml:space="preserve"> million</w:t>
      </w:r>
      <w:r w:rsidRPr="00EF4855">
        <w:rPr>
          <w:rFonts w:ascii="Arial" w:hAnsi="Arial" w:cs="Arial"/>
          <w:sz w:val="22"/>
          <w:szCs w:val="22"/>
        </w:rPr>
        <w:t xml:space="preserve">, </w:t>
      </w:r>
      <w:r w:rsidR="00426DB2">
        <w:rPr>
          <w:rFonts w:ascii="Arial" w:hAnsi="Arial" w:cs="Arial"/>
          <w:sz w:val="22"/>
          <w:szCs w:val="22"/>
        </w:rPr>
        <w:t xml:space="preserve">resulting in the overstatement of the </w:t>
      </w:r>
      <w:r w:rsidRPr="00EF4855">
        <w:rPr>
          <w:rFonts w:ascii="Arial" w:hAnsi="Arial" w:cs="Arial"/>
          <w:sz w:val="22"/>
          <w:szCs w:val="22"/>
        </w:rPr>
        <w:t>AP-Miscellaneous account by the said amount.</w:t>
      </w:r>
    </w:p>
    <w:p w:rsidR="0063423D" w:rsidRPr="00EF4855" w:rsidRDefault="0063423D" w:rsidP="004C39E3">
      <w:pPr>
        <w:pStyle w:val="ListParagraph"/>
        <w:tabs>
          <w:tab w:val="left" w:pos="426"/>
        </w:tabs>
        <w:ind w:left="1080"/>
        <w:jc w:val="both"/>
        <w:rPr>
          <w:rFonts w:ascii="Arial" w:hAnsi="Arial" w:cs="Arial"/>
          <w:sz w:val="22"/>
          <w:szCs w:val="22"/>
        </w:rPr>
      </w:pPr>
    </w:p>
    <w:p w:rsidR="00FE00B0" w:rsidRPr="00E76177" w:rsidRDefault="0019310E" w:rsidP="00DA78B4">
      <w:pPr>
        <w:pStyle w:val="ListParagraph"/>
        <w:numPr>
          <w:ilvl w:val="1"/>
          <w:numId w:val="1"/>
        </w:numPr>
        <w:ind w:left="1440"/>
        <w:jc w:val="both"/>
        <w:rPr>
          <w:rFonts w:ascii="Arial" w:hAnsi="Arial" w:cs="Arial"/>
          <w:sz w:val="22"/>
          <w:szCs w:val="22"/>
        </w:rPr>
      </w:pPr>
      <w:r w:rsidRPr="00E76177">
        <w:rPr>
          <w:rFonts w:ascii="Arial" w:hAnsi="Arial" w:cs="Arial"/>
          <w:sz w:val="22"/>
          <w:szCs w:val="22"/>
        </w:rPr>
        <w:t>Likewise, a total amount of P12.</w:t>
      </w:r>
      <w:r w:rsidR="0063423D" w:rsidRPr="00E76177">
        <w:rPr>
          <w:rFonts w:ascii="Arial" w:hAnsi="Arial" w:cs="Arial"/>
          <w:sz w:val="22"/>
          <w:szCs w:val="22"/>
        </w:rPr>
        <w:t>855</w:t>
      </w:r>
      <w:r w:rsidRPr="00E76177">
        <w:rPr>
          <w:rFonts w:ascii="Arial" w:hAnsi="Arial" w:cs="Arial"/>
          <w:sz w:val="22"/>
          <w:szCs w:val="22"/>
        </w:rPr>
        <w:t xml:space="preserve"> million</w:t>
      </w:r>
      <w:r w:rsidR="0063423D" w:rsidRPr="00E76177">
        <w:rPr>
          <w:rFonts w:ascii="Arial" w:hAnsi="Arial" w:cs="Arial"/>
          <w:sz w:val="22"/>
          <w:szCs w:val="22"/>
        </w:rPr>
        <w:t xml:space="preserve"> was accrued on December 31, 2017</w:t>
      </w:r>
      <w:r w:rsidR="00E76177">
        <w:rPr>
          <w:rFonts w:ascii="Arial" w:hAnsi="Arial" w:cs="Arial"/>
          <w:sz w:val="22"/>
          <w:szCs w:val="22"/>
        </w:rPr>
        <w:t>,</w:t>
      </w:r>
      <w:r w:rsidR="0063423D" w:rsidRPr="00E76177">
        <w:rPr>
          <w:rFonts w:ascii="Arial" w:hAnsi="Arial" w:cs="Arial"/>
          <w:sz w:val="22"/>
          <w:szCs w:val="22"/>
        </w:rPr>
        <w:t xml:space="preserve"> but the Prior Years’ expense account </w:t>
      </w:r>
      <w:r w:rsidR="00E76177">
        <w:rPr>
          <w:rFonts w:ascii="Arial" w:hAnsi="Arial" w:cs="Arial"/>
          <w:sz w:val="22"/>
          <w:szCs w:val="22"/>
        </w:rPr>
        <w:t>[</w:t>
      </w:r>
      <w:r w:rsidR="0063423D" w:rsidRPr="00E76177">
        <w:rPr>
          <w:rFonts w:ascii="Arial" w:hAnsi="Arial" w:cs="Arial"/>
          <w:sz w:val="22"/>
          <w:szCs w:val="22"/>
        </w:rPr>
        <w:t>424-2 (684)</w:t>
      </w:r>
      <w:r w:rsidR="00E76177">
        <w:rPr>
          <w:rFonts w:ascii="Arial" w:hAnsi="Arial" w:cs="Arial"/>
          <w:sz w:val="22"/>
          <w:szCs w:val="22"/>
        </w:rPr>
        <w:t xml:space="preserve">] was debited </w:t>
      </w:r>
      <w:r w:rsidR="0063423D" w:rsidRPr="00E76177">
        <w:rPr>
          <w:rFonts w:ascii="Arial" w:hAnsi="Arial" w:cs="Arial"/>
          <w:sz w:val="22"/>
          <w:szCs w:val="22"/>
        </w:rPr>
        <w:t xml:space="preserve"> instead of AP-Miscellaneous account, resulting in the overstatement of the said account by P12</w:t>
      </w:r>
      <w:r w:rsidRPr="00E76177">
        <w:rPr>
          <w:rFonts w:ascii="Arial" w:hAnsi="Arial" w:cs="Arial"/>
          <w:sz w:val="22"/>
          <w:szCs w:val="22"/>
        </w:rPr>
        <w:t>.</w:t>
      </w:r>
      <w:r w:rsidR="0063423D" w:rsidRPr="00E76177">
        <w:rPr>
          <w:rFonts w:ascii="Arial" w:hAnsi="Arial" w:cs="Arial"/>
          <w:sz w:val="22"/>
          <w:szCs w:val="22"/>
        </w:rPr>
        <w:t>855</w:t>
      </w:r>
      <w:r w:rsidRPr="00E76177">
        <w:rPr>
          <w:rFonts w:ascii="Arial" w:hAnsi="Arial" w:cs="Arial"/>
          <w:sz w:val="22"/>
          <w:szCs w:val="22"/>
        </w:rPr>
        <w:t xml:space="preserve"> million</w:t>
      </w:r>
      <w:r w:rsidR="0063423D" w:rsidRPr="00E76177">
        <w:rPr>
          <w:rFonts w:ascii="Arial" w:hAnsi="Arial" w:cs="Arial"/>
          <w:sz w:val="22"/>
          <w:szCs w:val="22"/>
        </w:rPr>
        <w:t>.</w:t>
      </w:r>
    </w:p>
    <w:p w:rsidR="00A123CD" w:rsidRPr="00A123CD" w:rsidRDefault="00A123CD" w:rsidP="00A123CD">
      <w:pPr>
        <w:pStyle w:val="ListParagraph"/>
        <w:rPr>
          <w:rFonts w:ascii="Arial" w:hAnsi="Arial" w:cs="Arial"/>
          <w:sz w:val="22"/>
          <w:szCs w:val="22"/>
        </w:rPr>
      </w:pPr>
    </w:p>
    <w:p w:rsidR="0063423D" w:rsidRPr="00EF4855" w:rsidRDefault="0063423D" w:rsidP="00DA78B4">
      <w:pPr>
        <w:pStyle w:val="ListParagraph"/>
        <w:numPr>
          <w:ilvl w:val="1"/>
          <w:numId w:val="1"/>
        </w:numPr>
        <w:ind w:left="1440"/>
        <w:jc w:val="both"/>
        <w:rPr>
          <w:rFonts w:ascii="Arial" w:hAnsi="Arial" w:cs="Arial"/>
          <w:sz w:val="22"/>
          <w:szCs w:val="22"/>
        </w:rPr>
      </w:pPr>
      <w:r w:rsidRPr="00EF4855">
        <w:rPr>
          <w:rFonts w:ascii="Arial" w:hAnsi="Arial" w:cs="Arial"/>
          <w:sz w:val="22"/>
          <w:szCs w:val="22"/>
        </w:rPr>
        <w:t>As a result</w:t>
      </w:r>
      <w:r w:rsidR="00991017" w:rsidRPr="00EF4855">
        <w:rPr>
          <w:rFonts w:ascii="Arial" w:hAnsi="Arial" w:cs="Arial"/>
          <w:sz w:val="22"/>
          <w:szCs w:val="22"/>
        </w:rPr>
        <w:t xml:space="preserve">, </w:t>
      </w:r>
      <w:r w:rsidRPr="00EF4855">
        <w:rPr>
          <w:rFonts w:ascii="Arial" w:hAnsi="Arial" w:cs="Arial"/>
          <w:sz w:val="22"/>
          <w:szCs w:val="22"/>
        </w:rPr>
        <w:t>the AP-Miscellaneous and Retained Earnings</w:t>
      </w:r>
      <w:r w:rsidR="00300BCA">
        <w:rPr>
          <w:rFonts w:ascii="Arial" w:hAnsi="Arial" w:cs="Arial"/>
          <w:sz w:val="22"/>
          <w:szCs w:val="22"/>
        </w:rPr>
        <w:t xml:space="preserve"> - CF</w:t>
      </w:r>
      <w:r w:rsidRPr="00EF4855">
        <w:rPr>
          <w:rFonts w:ascii="Arial" w:hAnsi="Arial" w:cs="Arial"/>
          <w:sz w:val="22"/>
          <w:szCs w:val="22"/>
        </w:rPr>
        <w:t xml:space="preserve"> accounts were overstated and understated, respectively, by the total amount of P26</w:t>
      </w:r>
      <w:r w:rsidR="0019310E" w:rsidRPr="00EF4855">
        <w:rPr>
          <w:rFonts w:ascii="Arial" w:hAnsi="Arial" w:cs="Arial"/>
          <w:sz w:val="22"/>
          <w:szCs w:val="22"/>
        </w:rPr>
        <w:t>.</w:t>
      </w:r>
      <w:r w:rsidRPr="00EF4855">
        <w:rPr>
          <w:rFonts w:ascii="Arial" w:hAnsi="Arial" w:cs="Arial"/>
          <w:sz w:val="22"/>
          <w:szCs w:val="22"/>
        </w:rPr>
        <w:t>077</w:t>
      </w:r>
      <w:r w:rsidR="0019310E" w:rsidRPr="00EF4855">
        <w:rPr>
          <w:rFonts w:ascii="Arial" w:hAnsi="Arial" w:cs="Arial"/>
          <w:sz w:val="22"/>
          <w:szCs w:val="22"/>
        </w:rPr>
        <w:t xml:space="preserve"> million</w:t>
      </w:r>
      <w:r w:rsidR="0016675D">
        <w:rPr>
          <w:rFonts w:ascii="Arial" w:hAnsi="Arial" w:cs="Arial"/>
          <w:sz w:val="22"/>
          <w:szCs w:val="22"/>
        </w:rPr>
        <w:t xml:space="preserve"> [P13.222 million + P12.855 million]</w:t>
      </w:r>
      <w:r w:rsidRPr="00EF4855">
        <w:rPr>
          <w:rFonts w:ascii="Arial" w:hAnsi="Arial" w:cs="Arial"/>
          <w:sz w:val="22"/>
          <w:szCs w:val="22"/>
        </w:rPr>
        <w:t xml:space="preserve">. </w:t>
      </w:r>
    </w:p>
    <w:p w:rsidR="0063423D" w:rsidRPr="00EF4855" w:rsidRDefault="0063423D" w:rsidP="004C39E3">
      <w:pPr>
        <w:pStyle w:val="ListParagraph"/>
        <w:ind w:left="360"/>
        <w:jc w:val="both"/>
        <w:rPr>
          <w:rFonts w:ascii="Arial" w:hAnsi="Arial" w:cs="Arial"/>
          <w:sz w:val="22"/>
          <w:szCs w:val="22"/>
        </w:rPr>
      </w:pPr>
    </w:p>
    <w:p w:rsidR="0063423D" w:rsidRPr="00EF4855" w:rsidRDefault="0063423D" w:rsidP="00E76177">
      <w:pPr>
        <w:pStyle w:val="ListParagraph"/>
        <w:tabs>
          <w:tab w:val="left" w:pos="5040"/>
        </w:tabs>
        <w:ind w:right="3600"/>
        <w:jc w:val="both"/>
        <w:rPr>
          <w:rFonts w:ascii="Arial" w:hAnsi="Arial" w:cs="Arial"/>
          <w:i/>
          <w:sz w:val="22"/>
          <w:szCs w:val="22"/>
        </w:rPr>
      </w:pPr>
      <w:r w:rsidRPr="00EF4855">
        <w:rPr>
          <w:rFonts w:ascii="Arial" w:hAnsi="Arial" w:cs="Arial"/>
          <w:i/>
          <w:sz w:val="22"/>
          <w:szCs w:val="22"/>
        </w:rPr>
        <w:t>Erroneous recording of payments for mandatory contributions</w:t>
      </w:r>
      <w:r w:rsidR="0028487A" w:rsidRPr="00EF4855">
        <w:rPr>
          <w:rFonts w:ascii="Arial" w:hAnsi="Arial" w:cs="Arial"/>
          <w:i/>
          <w:sz w:val="22"/>
          <w:szCs w:val="22"/>
        </w:rPr>
        <w:t xml:space="preserve"> totaling P206.523 million</w:t>
      </w:r>
    </w:p>
    <w:p w:rsidR="0063423D" w:rsidRPr="00EF4855" w:rsidRDefault="0063423D" w:rsidP="004C39E3">
      <w:pPr>
        <w:pStyle w:val="ListParagraph"/>
        <w:ind w:left="360"/>
        <w:jc w:val="both"/>
        <w:rPr>
          <w:rFonts w:ascii="Arial" w:hAnsi="Arial" w:cs="Arial"/>
          <w:b/>
          <w:sz w:val="22"/>
          <w:szCs w:val="22"/>
        </w:rPr>
      </w:pPr>
    </w:p>
    <w:p w:rsidR="0063423D" w:rsidRPr="00EF4855" w:rsidRDefault="0063423D" w:rsidP="00DA78B4">
      <w:pPr>
        <w:pStyle w:val="ListParagraph"/>
        <w:numPr>
          <w:ilvl w:val="1"/>
          <w:numId w:val="1"/>
        </w:numPr>
        <w:ind w:left="1440"/>
        <w:jc w:val="both"/>
        <w:rPr>
          <w:rFonts w:ascii="Arial" w:hAnsi="Arial" w:cs="Arial"/>
          <w:sz w:val="22"/>
          <w:szCs w:val="22"/>
        </w:rPr>
      </w:pPr>
      <w:r w:rsidRPr="00EF4855">
        <w:rPr>
          <w:rFonts w:ascii="Arial" w:hAnsi="Arial" w:cs="Arial"/>
          <w:sz w:val="22"/>
          <w:szCs w:val="22"/>
        </w:rPr>
        <w:t>Records showed that payments totaling P83</w:t>
      </w:r>
      <w:r w:rsidR="0019310E" w:rsidRPr="00EF4855">
        <w:rPr>
          <w:rFonts w:ascii="Arial" w:hAnsi="Arial" w:cs="Arial"/>
          <w:sz w:val="22"/>
          <w:szCs w:val="22"/>
        </w:rPr>
        <w:t>.</w:t>
      </w:r>
      <w:r w:rsidRPr="00EF4855">
        <w:rPr>
          <w:rFonts w:ascii="Arial" w:hAnsi="Arial" w:cs="Arial"/>
          <w:sz w:val="22"/>
          <w:szCs w:val="22"/>
        </w:rPr>
        <w:t>876</w:t>
      </w:r>
      <w:r w:rsidR="0019310E" w:rsidRPr="00EF4855">
        <w:rPr>
          <w:rFonts w:ascii="Arial" w:hAnsi="Arial" w:cs="Arial"/>
          <w:sz w:val="22"/>
          <w:szCs w:val="22"/>
        </w:rPr>
        <w:t xml:space="preserve"> million</w:t>
      </w:r>
      <w:r w:rsidRPr="00EF4855">
        <w:rPr>
          <w:rFonts w:ascii="Arial" w:hAnsi="Arial" w:cs="Arial"/>
          <w:sz w:val="22"/>
          <w:szCs w:val="22"/>
        </w:rPr>
        <w:t xml:space="preserve"> were made by PCSO during CY 2016 for the National Shelter Program of the Government.  However, instead of recording the payments as debit to AP-Miscellaneous account considering that this was previously accrued during CY 2015, Due to Other GOCCs-NHDMF account was debited resulting in the overstatement of the AP-Miscellaneous account by P83</w:t>
      </w:r>
      <w:r w:rsidR="0019310E" w:rsidRPr="00EF4855">
        <w:rPr>
          <w:rFonts w:ascii="Arial" w:hAnsi="Arial" w:cs="Arial"/>
          <w:sz w:val="22"/>
          <w:szCs w:val="22"/>
        </w:rPr>
        <w:t>.</w:t>
      </w:r>
      <w:r w:rsidRPr="00EF4855">
        <w:rPr>
          <w:rFonts w:ascii="Arial" w:hAnsi="Arial" w:cs="Arial"/>
          <w:sz w:val="22"/>
          <w:szCs w:val="22"/>
        </w:rPr>
        <w:t>876</w:t>
      </w:r>
      <w:r w:rsidR="0019310E" w:rsidRPr="00EF4855">
        <w:rPr>
          <w:rFonts w:ascii="Arial" w:hAnsi="Arial" w:cs="Arial"/>
          <w:sz w:val="22"/>
          <w:szCs w:val="22"/>
        </w:rPr>
        <w:t xml:space="preserve"> million</w:t>
      </w:r>
      <w:r w:rsidRPr="00EF4855">
        <w:rPr>
          <w:rFonts w:ascii="Arial" w:hAnsi="Arial" w:cs="Arial"/>
          <w:sz w:val="22"/>
          <w:szCs w:val="22"/>
        </w:rPr>
        <w:t xml:space="preserve"> as of December 31, 2018.</w:t>
      </w:r>
    </w:p>
    <w:p w:rsidR="0063423D" w:rsidRPr="00EF4855" w:rsidRDefault="0063423D" w:rsidP="004C39E3">
      <w:pPr>
        <w:pStyle w:val="ListParagraph"/>
        <w:ind w:left="360"/>
        <w:jc w:val="both"/>
        <w:rPr>
          <w:rFonts w:ascii="Arial" w:hAnsi="Arial" w:cs="Arial"/>
          <w:sz w:val="22"/>
          <w:szCs w:val="22"/>
        </w:rPr>
      </w:pPr>
    </w:p>
    <w:p w:rsidR="0063423D" w:rsidRPr="00EF4855" w:rsidRDefault="0063423D" w:rsidP="00DA78B4">
      <w:pPr>
        <w:pStyle w:val="ListParagraph"/>
        <w:numPr>
          <w:ilvl w:val="1"/>
          <w:numId w:val="1"/>
        </w:numPr>
        <w:ind w:left="1440"/>
        <w:jc w:val="both"/>
        <w:rPr>
          <w:rFonts w:ascii="Arial" w:hAnsi="Arial" w:cs="Arial"/>
          <w:sz w:val="22"/>
          <w:szCs w:val="22"/>
        </w:rPr>
      </w:pPr>
      <w:r w:rsidRPr="00EF4855">
        <w:rPr>
          <w:rFonts w:ascii="Arial" w:hAnsi="Arial" w:cs="Arial"/>
          <w:sz w:val="22"/>
          <w:szCs w:val="22"/>
        </w:rPr>
        <w:t>On the other hand, the Overseas Workers Welfare Administration (OWWA) – Congressional Migrant Workers Scholarship Fund as well as the National Commission on Indigenous Peoples for the Ancestral Domain (NCIPAD), replied to the confirmation conducted by PCSO that the amounts of P78</w:t>
      </w:r>
      <w:r w:rsidR="0019310E" w:rsidRPr="00EF4855">
        <w:rPr>
          <w:rFonts w:ascii="Arial" w:hAnsi="Arial" w:cs="Arial"/>
          <w:sz w:val="22"/>
          <w:szCs w:val="22"/>
        </w:rPr>
        <w:t>.</w:t>
      </w:r>
      <w:r w:rsidRPr="00EF4855">
        <w:rPr>
          <w:rFonts w:ascii="Arial" w:hAnsi="Arial" w:cs="Arial"/>
          <w:sz w:val="22"/>
          <w:szCs w:val="22"/>
        </w:rPr>
        <w:t>647</w:t>
      </w:r>
      <w:r w:rsidR="0019310E" w:rsidRPr="00EF4855">
        <w:rPr>
          <w:rFonts w:ascii="Arial" w:hAnsi="Arial" w:cs="Arial"/>
          <w:sz w:val="22"/>
          <w:szCs w:val="22"/>
        </w:rPr>
        <w:t xml:space="preserve"> million</w:t>
      </w:r>
      <w:r w:rsidRPr="00EF4855">
        <w:rPr>
          <w:rFonts w:ascii="Arial" w:hAnsi="Arial" w:cs="Arial"/>
          <w:sz w:val="22"/>
          <w:szCs w:val="22"/>
        </w:rPr>
        <w:t xml:space="preserve"> and P44</w:t>
      </w:r>
      <w:r w:rsidR="0019310E" w:rsidRPr="00EF4855">
        <w:rPr>
          <w:rFonts w:ascii="Arial" w:hAnsi="Arial" w:cs="Arial"/>
          <w:sz w:val="22"/>
          <w:szCs w:val="22"/>
        </w:rPr>
        <w:t>.</w:t>
      </w:r>
      <w:r w:rsidRPr="00EF4855">
        <w:rPr>
          <w:rFonts w:ascii="Arial" w:hAnsi="Arial" w:cs="Arial"/>
          <w:sz w:val="22"/>
          <w:szCs w:val="22"/>
        </w:rPr>
        <w:t>000</w:t>
      </w:r>
      <w:r w:rsidR="0019310E" w:rsidRPr="00EF4855">
        <w:rPr>
          <w:rFonts w:ascii="Arial" w:hAnsi="Arial" w:cs="Arial"/>
          <w:sz w:val="22"/>
          <w:szCs w:val="22"/>
        </w:rPr>
        <w:t xml:space="preserve"> million</w:t>
      </w:r>
      <w:r w:rsidRPr="00EF4855">
        <w:rPr>
          <w:rFonts w:ascii="Arial" w:hAnsi="Arial" w:cs="Arial"/>
          <w:sz w:val="22"/>
          <w:szCs w:val="22"/>
        </w:rPr>
        <w:t xml:space="preserve">, respectively, due from the said agency were already fully settled.  Verification, however, disclosed that the same were still included in the payables of PCSO as of December 31, 2018.    </w:t>
      </w:r>
    </w:p>
    <w:p w:rsidR="0063423D" w:rsidRPr="00EF4855" w:rsidRDefault="0063423D" w:rsidP="004C39E3">
      <w:pPr>
        <w:pStyle w:val="ListParagraph"/>
        <w:ind w:left="360"/>
        <w:jc w:val="both"/>
        <w:rPr>
          <w:rFonts w:ascii="Arial" w:hAnsi="Arial" w:cs="Arial"/>
          <w:sz w:val="22"/>
          <w:szCs w:val="22"/>
        </w:rPr>
      </w:pPr>
    </w:p>
    <w:p w:rsidR="0063423D" w:rsidRPr="00EF4855" w:rsidRDefault="00DA3A0A" w:rsidP="00DA78B4">
      <w:pPr>
        <w:pStyle w:val="ListParagraph"/>
        <w:numPr>
          <w:ilvl w:val="1"/>
          <w:numId w:val="1"/>
        </w:numPr>
        <w:ind w:left="1440"/>
        <w:jc w:val="both"/>
        <w:rPr>
          <w:rFonts w:ascii="Arial" w:hAnsi="Arial" w:cs="Arial"/>
          <w:color w:val="000000"/>
          <w:sz w:val="22"/>
          <w:szCs w:val="22"/>
        </w:rPr>
      </w:pPr>
      <w:r w:rsidRPr="00EF4855">
        <w:rPr>
          <w:rFonts w:ascii="Arial" w:hAnsi="Arial" w:cs="Arial"/>
          <w:sz w:val="22"/>
          <w:szCs w:val="22"/>
        </w:rPr>
        <w:t xml:space="preserve">The erroneous recording of payments for mandatory contributions resulted in the overstatement and understatement of </w:t>
      </w:r>
      <w:r w:rsidR="0063423D" w:rsidRPr="00EF4855">
        <w:rPr>
          <w:rFonts w:ascii="Arial" w:hAnsi="Arial" w:cs="Arial"/>
          <w:sz w:val="22"/>
          <w:szCs w:val="22"/>
        </w:rPr>
        <w:t>the AP-Miscellaneous and Retained Earnings accounts</w:t>
      </w:r>
      <w:r w:rsidRPr="00EF4855">
        <w:rPr>
          <w:rFonts w:ascii="Arial" w:hAnsi="Arial" w:cs="Arial"/>
          <w:sz w:val="22"/>
          <w:szCs w:val="22"/>
        </w:rPr>
        <w:t xml:space="preserve">, respectively, by </w:t>
      </w:r>
      <w:r w:rsidR="0063423D" w:rsidRPr="00EF4855">
        <w:rPr>
          <w:rFonts w:ascii="Arial" w:hAnsi="Arial" w:cs="Arial"/>
          <w:sz w:val="22"/>
          <w:szCs w:val="22"/>
        </w:rPr>
        <w:t>P</w:t>
      </w:r>
      <w:r w:rsidR="0063423D" w:rsidRPr="00EF4855">
        <w:rPr>
          <w:rFonts w:ascii="Arial" w:hAnsi="Arial" w:cs="Arial"/>
          <w:color w:val="000000"/>
          <w:sz w:val="22"/>
          <w:szCs w:val="22"/>
        </w:rPr>
        <w:t>206</w:t>
      </w:r>
      <w:r w:rsidRPr="00EF4855">
        <w:rPr>
          <w:rFonts w:ascii="Arial" w:hAnsi="Arial" w:cs="Arial"/>
          <w:color w:val="000000"/>
          <w:sz w:val="22"/>
          <w:szCs w:val="22"/>
        </w:rPr>
        <w:t>.</w:t>
      </w:r>
      <w:r w:rsidR="0063423D" w:rsidRPr="00EF4855">
        <w:rPr>
          <w:rFonts w:ascii="Arial" w:hAnsi="Arial" w:cs="Arial"/>
          <w:color w:val="000000"/>
          <w:sz w:val="22"/>
          <w:szCs w:val="22"/>
        </w:rPr>
        <w:t>523</w:t>
      </w:r>
      <w:r w:rsidRPr="00EF4855">
        <w:rPr>
          <w:rFonts w:ascii="Arial" w:hAnsi="Arial" w:cs="Arial"/>
          <w:color w:val="000000"/>
          <w:sz w:val="22"/>
          <w:szCs w:val="22"/>
        </w:rPr>
        <w:t xml:space="preserve"> million</w:t>
      </w:r>
      <w:r w:rsidR="0063423D" w:rsidRPr="00EF4855">
        <w:rPr>
          <w:rFonts w:ascii="Arial" w:hAnsi="Arial" w:cs="Arial"/>
          <w:color w:val="000000"/>
          <w:sz w:val="22"/>
          <w:szCs w:val="22"/>
        </w:rPr>
        <w:t>.</w:t>
      </w:r>
    </w:p>
    <w:p w:rsidR="0063423D" w:rsidRPr="00EF4855" w:rsidRDefault="0063423D" w:rsidP="004C39E3">
      <w:pPr>
        <w:pStyle w:val="ListParagraph"/>
        <w:ind w:left="360"/>
        <w:jc w:val="both"/>
        <w:rPr>
          <w:rFonts w:ascii="Arial" w:hAnsi="Arial" w:cs="Arial"/>
          <w:sz w:val="22"/>
          <w:szCs w:val="22"/>
        </w:rPr>
      </w:pPr>
    </w:p>
    <w:p w:rsidR="008B793C" w:rsidRPr="00DC0333" w:rsidRDefault="00FF78DF" w:rsidP="00DA78B4">
      <w:pPr>
        <w:pStyle w:val="ListParagraph"/>
        <w:numPr>
          <w:ilvl w:val="1"/>
          <w:numId w:val="1"/>
        </w:numPr>
        <w:ind w:left="1440"/>
        <w:jc w:val="both"/>
        <w:rPr>
          <w:rFonts w:ascii="Arial" w:hAnsi="Arial" w:cs="Arial"/>
          <w:sz w:val="22"/>
          <w:szCs w:val="22"/>
        </w:rPr>
      </w:pPr>
      <w:r w:rsidRPr="00DC0333">
        <w:rPr>
          <w:rFonts w:ascii="Arial" w:hAnsi="Arial" w:cs="Arial"/>
          <w:sz w:val="22"/>
          <w:szCs w:val="22"/>
        </w:rPr>
        <w:t xml:space="preserve">The abovementioned </w:t>
      </w:r>
      <w:r w:rsidR="0063423D" w:rsidRPr="00DC0333">
        <w:rPr>
          <w:rFonts w:ascii="Arial" w:hAnsi="Arial" w:cs="Arial"/>
          <w:sz w:val="22"/>
          <w:szCs w:val="22"/>
        </w:rPr>
        <w:t xml:space="preserve">misstatements of certain accounts </w:t>
      </w:r>
      <w:r w:rsidR="00471415" w:rsidRPr="00DC0333">
        <w:rPr>
          <w:rFonts w:ascii="Arial" w:hAnsi="Arial" w:cs="Arial"/>
          <w:sz w:val="22"/>
          <w:szCs w:val="22"/>
        </w:rPr>
        <w:t>resulting from the erroneous recording of transactions as discussed</w:t>
      </w:r>
      <w:r w:rsidRPr="00DC0333">
        <w:rPr>
          <w:rFonts w:ascii="Arial" w:hAnsi="Arial" w:cs="Arial"/>
          <w:sz w:val="22"/>
          <w:szCs w:val="22"/>
        </w:rPr>
        <w:t>,</w:t>
      </w:r>
      <w:r w:rsidR="0063423D" w:rsidRPr="00DC0333">
        <w:rPr>
          <w:rFonts w:ascii="Arial" w:hAnsi="Arial" w:cs="Arial"/>
          <w:sz w:val="22"/>
          <w:szCs w:val="22"/>
        </w:rPr>
        <w:t xml:space="preserve"> affected the fair</w:t>
      </w:r>
      <w:r w:rsidR="00585D27" w:rsidRPr="00DC0333">
        <w:rPr>
          <w:rFonts w:ascii="Arial" w:hAnsi="Arial" w:cs="Arial"/>
          <w:sz w:val="22"/>
          <w:szCs w:val="22"/>
        </w:rPr>
        <w:t>ness of</w:t>
      </w:r>
      <w:r w:rsidR="0063423D" w:rsidRPr="00DC0333">
        <w:rPr>
          <w:rFonts w:ascii="Arial" w:hAnsi="Arial" w:cs="Arial"/>
          <w:sz w:val="22"/>
          <w:szCs w:val="22"/>
        </w:rPr>
        <w:t xml:space="preserve"> presentation of the </w:t>
      </w:r>
      <w:r w:rsidRPr="00DC0333">
        <w:rPr>
          <w:rFonts w:ascii="Arial" w:hAnsi="Arial" w:cs="Arial"/>
          <w:sz w:val="22"/>
          <w:szCs w:val="22"/>
        </w:rPr>
        <w:t>Accounts Payable – Miscellaneous, Charity Expenses and Retained Earnings - CF</w:t>
      </w:r>
      <w:r w:rsidR="0063423D" w:rsidRPr="00DC0333">
        <w:rPr>
          <w:rFonts w:ascii="Arial" w:hAnsi="Arial" w:cs="Arial"/>
          <w:sz w:val="22"/>
          <w:szCs w:val="22"/>
        </w:rPr>
        <w:t xml:space="preserve"> accounts in the financial statements as of December 31, 2018 and were not in </w:t>
      </w:r>
      <w:r w:rsidR="00A123CD" w:rsidRPr="00DC0333">
        <w:rPr>
          <w:rFonts w:ascii="Arial" w:hAnsi="Arial" w:cs="Arial"/>
          <w:sz w:val="22"/>
          <w:szCs w:val="22"/>
        </w:rPr>
        <w:t>compliance</w:t>
      </w:r>
      <w:r w:rsidR="0063423D" w:rsidRPr="00DC0333">
        <w:rPr>
          <w:rFonts w:ascii="Arial" w:hAnsi="Arial" w:cs="Arial"/>
          <w:sz w:val="22"/>
          <w:szCs w:val="22"/>
        </w:rPr>
        <w:t xml:space="preserve"> with the provisions of Section 11</w:t>
      </w:r>
      <w:r w:rsidR="00A123CD" w:rsidRPr="00DC0333">
        <w:rPr>
          <w:rFonts w:ascii="Arial" w:hAnsi="Arial" w:cs="Arial"/>
          <w:sz w:val="22"/>
          <w:szCs w:val="22"/>
        </w:rPr>
        <w:t>1(2)</w:t>
      </w:r>
      <w:r w:rsidR="0063423D" w:rsidRPr="00DC0333">
        <w:rPr>
          <w:rFonts w:ascii="Arial" w:hAnsi="Arial" w:cs="Arial"/>
          <w:sz w:val="22"/>
          <w:szCs w:val="22"/>
        </w:rPr>
        <w:t xml:space="preserve"> of PD </w:t>
      </w:r>
      <w:r w:rsidR="00DC0333">
        <w:rPr>
          <w:rFonts w:ascii="Arial" w:hAnsi="Arial" w:cs="Arial"/>
          <w:sz w:val="22"/>
          <w:szCs w:val="22"/>
        </w:rPr>
        <w:t xml:space="preserve">No. </w:t>
      </w:r>
      <w:r w:rsidR="0063423D" w:rsidRPr="00DC0333">
        <w:rPr>
          <w:rFonts w:ascii="Arial" w:hAnsi="Arial" w:cs="Arial"/>
          <w:sz w:val="22"/>
          <w:szCs w:val="22"/>
        </w:rPr>
        <w:t>1445</w:t>
      </w:r>
      <w:r w:rsidR="008B793C" w:rsidRPr="00DC0333">
        <w:rPr>
          <w:rFonts w:ascii="Arial" w:hAnsi="Arial" w:cs="Arial"/>
          <w:sz w:val="22"/>
          <w:szCs w:val="22"/>
        </w:rPr>
        <w:t>.</w:t>
      </w:r>
    </w:p>
    <w:p w:rsidR="0063423D" w:rsidRPr="00EF4855" w:rsidRDefault="0063423D" w:rsidP="004C39E3">
      <w:pPr>
        <w:pStyle w:val="ListParagraph"/>
        <w:ind w:left="1080"/>
        <w:jc w:val="both"/>
        <w:rPr>
          <w:rFonts w:ascii="Arial" w:hAnsi="Arial" w:cs="Arial"/>
          <w:sz w:val="22"/>
          <w:szCs w:val="22"/>
        </w:rPr>
      </w:pPr>
    </w:p>
    <w:p w:rsidR="00766B26" w:rsidRPr="00EF4855" w:rsidRDefault="0063423D" w:rsidP="00DA78B4">
      <w:pPr>
        <w:pStyle w:val="ListParagraph"/>
        <w:numPr>
          <w:ilvl w:val="1"/>
          <w:numId w:val="1"/>
        </w:numPr>
        <w:ind w:left="1440"/>
        <w:jc w:val="both"/>
        <w:rPr>
          <w:rFonts w:ascii="Arial" w:hAnsi="Arial" w:cs="Arial"/>
          <w:b/>
          <w:sz w:val="22"/>
          <w:szCs w:val="22"/>
        </w:rPr>
      </w:pPr>
      <w:r w:rsidRPr="00EF4855">
        <w:rPr>
          <w:rFonts w:ascii="Arial" w:hAnsi="Arial" w:cs="Arial"/>
          <w:b/>
          <w:sz w:val="22"/>
          <w:szCs w:val="22"/>
        </w:rPr>
        <w:t>We</w:t>
      </w:r>
      <w:r w:rsidR="001D5272" w:rsidRPr="00EF4855">
        <w:rPr>
          <w:rFonts w:ascii="Arial" w:hAnsi="Arial" w:cs="Arial"/>
          <w:b/>
          <w:sz w:val="22"/>
          <w:szCs w:val="22"/>
        </w:rPr>
        <w:t xml:space="preserve"> </w:t>
      </w:r>
      <w:r w:rsidRPr="004A2D69">
        <w:rPr>
          <w:rFonts w:ascii="Arial" w:hAnsi="Arial" w:cs="Arial"/>
          <w:b/>
          <w:sz w:val="22"/>
          <w:szCs w:val="22"/>
        </w:rPr>
        <w:t>recommend</w:t>
      </w:r>
      <w:r w:rsidR="001D5272" w:rsidRPr="004A2D69">
        <w:rPr>
          <w:rFonts w:ascii="Arial" w:hAnsi="Arial" w:cs="Arial"/>
          <w:b/>
          <w:sz w:val="22"/>
          <w:szCs w:val="22"/>
        </w:rPr>
        <w:t>ed</w:t>
      </w:r>
      <w:r w:rsidR="001D5272" w:rsidRPr="00EF4855">
        <w:rPr>
          <w:rFonts w:ascii="Arial" w:hAnsi="Arial" w:cs="Arial"/>
          <w:b/>
          <w:sz w:val="22"/>
          <w:szCs w:val="22"/>
        </w:rPr>
        <w:t xml:space="preserve"> and </w:t>
      </w:r>
      <w:r w:rsidRPr="00EF4855">
        <w:rPr>
          <w:rFonts w:ascii="Arial" w:hAnsi="Arial" w:cs="Arial"/>
          <w:b/>
          <w:sz w:val="22"/>
          <w:szCs w:val="22"/>
        </w:rPr>
        <w:t xml:space="preserve">Management </w:t>
      </w:r>
      <w:r w:rsidR="001D5272" w:rsidRPr="00EF4855">
        <w:rPr>
          <w:rFonts w:ascii="Arial" w:hAnsi="Arial" w:cs="Arial"/>
          <w:b/>
          <w:sz w:val="22"/>
          <w:szCs w:val="22"/>
        </w:rPr>
        <w:t>agreed to</w:t>
      </w:r>
      <w:r w:rsidR="00766B26" w:rsidRPr="00EF4855">
        <w:rPr>
          <w:rFonts w:ascii="Arial" w:hAnsi="Arial" w:cs="Arial"/>
          <w:b/>
          <w:sz w:val="22"/>
          <w:szCs w:val="22"/>
        </w:rPr>
        <w:t>:</w:t>
      </w:r>
    </w:p>
    <w:p w:rsidR="00585D27" w:rsidRPr="00EF4855" w:rsidRDefault="00585D27" w:rsidP="004C39E3">
      <w:pPr>
        <w:pStyle w:val="ListParagraph"/>
        <w:ind w:left="1080"/>
        <w:contextualSpacing/>
        <w:jc w:val="both"/>
        <w:rPr>
          <w:rFonts w:ascii="Arial" w:hAnsi="Arial" w:cs="Arial"/>
          <w:b/>
          <w:sz w:val="22"/>
          <w:szCs w:val="22"/>
        </w:rPr>
      </w:pPr>
    </w:p>
    <w:p w:rsidR="0063423D" w:rsidRPr="00DC0333" w:rsidRDefault="00766B26" w:rsidP="00DA78B4">
      <w:pPr>
        <w:pStyle w:val="ListParagraph"/>
        <w:numPr>
          <w:ilvl w:val="0"/>
          <w:numId w:val="12"/>
        </w:numPr>
        <w:ind w:left="2070" w:hanging="630"/>
        <w:contextualSpacing/>
        <w:jc w:val="both"/>
        <w:rPr>
          <w:rFonts w:ascii="Arial" w:hAnsi="Arial" w:cs="Arial"/>
          <w:b/>
          <w:sz w:val="22"/>
          <w:szCs w:val="22"/>
        </w:rPr>
      </w:pPr>
      <w:r w:rsidRPr="00DC0333">
        <w:rPr>
          <w:rFonts w:ascii="Arial" w:hAnsi="Arial" w:cs="Arial"/>
          <w:b/>
          <w:sz w:val="22"/>
          <w:szCs w:val="22"/>
        </w:rPr>
        <w:t>D</w:t>
      </w:r>
      <w:r w:rsidR="0063423D" w:rsidRPr="00DC0333">
        <w:rPr>
          <w:rFonts w:ascii="Arial" w:hAnsi="Arial" w:cs="Arial"/>
          <w:b/>
          <w:sz w:val="22"/>
          <w:szCs w:val="22"/>
        </w:rPr>
        <w:t>irect the concerned accounting personnel to immediately effect the necessary adjusting entries to correct the overstatements of P255</w:t>
      </w:r>
      <w:r w:rsidR="0019310E" w:rsidRPr="00DC0333">
        <w:rPr>
          <w:rFonts w:ascii="Arial" w:hAnsi="Arial" w:cs="Arial"/>
          <w:b/>
          <w:sz w:val="22"/>
          <w:szCs w:val="22"/>
        </w:rPr>
        <w:t>.</w:t>
      </w:r>
      <w:r w:rsidR="0063423D" w:rsidRPr="00DC0333">
        <w:rPr>
          <w:rFonts w:ascii="Arial" w:hAnsi="Arial" w:cs="Arial"/>
          <w:b/>
          <w:sz w:val="22"/>
          <w:szCs w:val="22"/>
        </w:rPr>
        <w:t>949</w:t>
      </w:r>
      <w:r w:rsidR="0019310E" w:rsidRPr="00DC0333">
        <w:rPr>
          <w:rFonts w:ascii="Arial" w:hAnsi="Arial" w:cs="Arial"/>
          <w:b/>
          <w:sz w:val="22"/>
          <w:szCs w:val="22"/>
        </w:rPr>
        <w:t xml:space="preserve"> million</w:t>
      </w:r>
      <w:r w:rsidR="0063423D" w:rsidRPr="00DC0333">
        <w:rPr>
          <w:rFonts w:ascii="Arial" w:hAnsi="Arial" w:cs="Arial"/>
          <w:b/>
          <w:sz w:val="22"/>
          <w:szCs w:val="22"/>
        </w:rPr>
        <w:t xml:space="preserve"> and P23</w:t>
      </w:r>
      <w:r w:rsidR="0019310E" w:rsidRPr="00DC0333">
        <w:rPr>
          <w:rFonts w:ascii="Arial" w:hAnsi="Arial" w:cs="Arial"/>
          <w:b/>
          <w:sz w:val="22"/>
          <w:szCs w:val="22"/>
        </w:rPr>
        <w:t>.</w:t>
      </w:r>
      <w:r w:rsidR="0063423D" w:rsidRPr="00DC0333">
        <w:rPr>
          <w:rFonts w:ascii="Arial" w:hAnsi="Arial" w:cs="Arial"/>
          <w:b/>
          <w:sz w:val="22"/>
          <w:szCs w:val="22"/>
        </w:rPr>
        <w:t>348</w:t>
      </w:r>
      <w:r w:rsidR="0019310E" w:rsidRPr="00DC0333">
        <w:rPr>
          <w:rFonts w:ascii="Arial" w:hAnsi="Arial" w:cs="Arial"/>
          <w:b/>
          <w:sz w:val="22"/>
          <w:szCs w:val="22"/>
        </w:rPr>
        <w:t xml:space="preserve"> million</w:t>
      </w:r>
      <w:r w:rsidR="0063423D" w:rsidRPr="00DC0333">
        <w:rPr>
          <w:rFonts w:ascii="Arial" w:hAnsi="Arial" w:cs="Arial"/>
          <w:b/>
          <w:sz w:val="22"/>
          <w:szCs w:val="22"/>
        </w:rPr>
        <w:t xml:space="preserve"> of the Accounts Payable-Miscellaneous and Charity Expenses accounts, respectively, as well as the understatement of the </w:t>
      </w:r>
      <w:r w:rsidR="0063423D" w:rsidRPr="00DC0333">
        <w:rPr>
          <w:rFonts w:ascii="Arial" w:hAnsi="Arial" w:cs="Arial"/>
          <w:b/>
          <w:sz w:val="22"/>
          <w:szCs w:val="22"/>
        </w:rPr>
        <w:lastRenderedPageBreak/>
        <w:t>Retained Earnings</w:t>
      </w:r>
      <w:r w:rsidR="00DC0333">
        <w:rPr>
          <w:rFonts w:ascii="Arial" w:hAnsi="Arial" w:cs="Arial"/>
          <w:b/>
          <w:sz w:val="22"/>
          <w:szCs w:val="22"/>
        </w:rPr>
        <w:t xml:space="preserve"> – Charity Fund</w:t>
      </w:r>
      <w:r w:rsidR="0063423D" w:rsidRPr="00DC0333">
        <w:rPr>
          <w:rFonts w:ascii="Arial" w:hAnsi="Arial" w:cs="Arial"/>
          <w:b/>
          <w:sz w:val="22"/>
          <w:szCs w:val="22"/>
        </w:rPr>
        <w:t xml:space="preserve"> account by P232</w:t>
      </w:r>
      <w:r w:rsidR="0019310E" w:rsidRPr="00DC0333">
        <w:rPr>
          <w:rFonts w:ascii="Arial" w:hAnsi="Arial" w:cs="Arial"/>
          <w:b/>
          <w:sz w:val="22"/>
          <w:szCs w:val="22"/>
        </w:rPr>
        <w:t>.</w:t>
      </w:r>
      <w:r w:rsidR="0063423D" w:rsidRPr="00DC0333">
        <w:rPr>
          <w:rFonts w:ascii="Arial" w:hAnsi="Arial" w:cs="Arial"/>
          <w:b/>
          <w:sz w:val="22"/>
          <w:szCs w:val="22"/>
        </w:rPr>
        <w:t>600</w:t>
      </w:r>
      <w:r w:rsidR="0019310E" w:rsidRPr="00DC0333">
        <w:rPr>
          <w:rFonts w:ascii="Arial" w:hAnsi="Arial" w:cs="Arial"/>
          <w:b/>
          <w:sz w:val="22"/>
          <w:szCs w:val="22"/>
        </w:rPr>
        <w:t xml:space="preserve"> million</w:t>
      </w:r>
      <w:r w:rsidR="0063423D" w:rsidRPr="00DC0333">
        <w:rPr>
          <w:rFonts w:ascii="Arial" w:hAnsi="Arial" w:cs="Arial"/>
          <w:b/>
          <w:sz w:val="22"/>
          <w:szCs w:val="22"/>
        </w:rPr>
        <w:t xml:space="preserve"> as </w:t>
      </w:r>
      <w:r w:rsidR="00DC0333">
        <w:rPr>
          <w:rFonts w:ascii="Arial" w:hAnsi="Arial" w:cs="Arial"/>
          <w:b/>
          <w:sz w:val="22"/>
          <w:szCs w:val="22"/>
        </w:rPr>
        <w:t>at</w:t>
      </w:r>
      <w:r w:rsidR="0063423D" w:rsidRPr="00DC0333">
        <w:rPr>
          <w:rFonts w:ascii="Arial" w:hAnsi="Arial" w:cs="Arial"/>
          <w:b/>
          <w:sz w:val="22"/>
          <w:szCs w:val="22"/>
        </w:rPr>
        <w:t xml:space="preserve"> December 31, 2018.  </w:t>
      </w:r>
    </w:p>
    <w:p w:rsidR="00585D27" w:rsidRPr="00EF4855" w:rsidRDefault="00585D27" w:rsidP="004C39E3">
      <w:pPr>
        <w:pStyle w:val="ListParagraph"/>
        <w:ind w:left="1800"/>
        <w:contextualSpacing/>
        <w:jc w:val="both"/>
        <w:rPr>
          <w:rFonts w:ascii="Arial" w:hAnsi="Arial" w:cs="Arial"/>
          <w:b/>
          <w:sz w:val="22"/>
          <w:szCs w:val="22"/>
        </w:rPr>
      </w:pPr>
    </w:p>
    <w:p w:rsidR="00766B26" w:rsidRPr="00DC0333" w:rsidRDefault="00585D27" w:rsidP="00DA78B4">
      <w:pPr>
        <w:pStyle w:val="ListParagraph"/>
        <w:numPr>
          <w:ilvl w:val="0"/>
          <w:numId w:val="12"/>
        </w:numPr>
        <w:ind w:left="2070" w:hanging="630"/>
        <w:contextualSpacing/>
        <w:jc w:val="both"/>
        <w:rPr>
          <w:rFonts w:ascii="Arial" w:hAnsi="Arial" w:cs="Arial"/>
          <w:sz w:val="22"/>
          <w:szCs w:val="22"/>
        </w:rPr>
      </w:pPr>
      <w:r w:rsidRPr="00DC0333">
        <w:rPr>
          <w:rFonts w:ascii="Arial" w:hAnsi="Arial" w:cs="Arial"/>
          <w:b/>
          <w:sz w:val="22"/>
          <w:szCs w:val="22"/>
        </w:rPr>
        <w:t>E</w:t>
      </w:r>
      <w:r w:rsidR="00766B26" w:rsidRPr="00DC0333">
        <w:rPr>
          <w:rFonts w:ascii="Arial" w:hAnsi="Arial" w:cs="Arial"/>
          <w:b/>
          <w:sz w:val="22"/>
          <w:szCs w:val="22"/>
        </w:rPr>
        <w:t xml:space="preserve">nsure compliance with Section 111 (2), Chapter 2 of PD 1445 by directing the concerned accounting personnel to be more efficient and </w:t>
      </w:r>
      <w:r w:rsidR="00A123CD" w:rsidRPr="00DC0333">
        <w:rPr>
          <w:rFonts w:ascii="Arial" w:hAnsi="Arial" w:cs="Arial"/>
          <w:b/>
          <w:sz w:val="22"/>
          <w:szCs w:val="22"/>
        </w:rPr>
        <w:t>careful</w:t>
      </w:r>
      <w:r w:rsidR="00766B26" w:rsidRPr="00DC0333">
        <w:rPr>
          <w:rFonts w:ascii="Arial" w:hAnsi="Arial" w:cs="Arial"/>
          <w:b/>
          <w:sz w:val="22"/>
          <w:szCs w:val="22"/>
        </w:rPr>
        <w:t xml:space="preserve"> in the recording of the financial transactions of the PCSO to avoid inaccurate or misleading information.</w:t>
      </w:r>
    </w:p>
    <w:p w:rsidR="00B07B86" w:rsidRDefault="00B07B86" w:rsidP="004C39E3">
      <w:pPr>
        <w:pStyle w:val="ListParagraph"/>
        <w:ind w:left="1800"/>
        <w:contextualSpacing/>
        <w:jc w:val="both"/>
        <w:rPr>
          <w:rFonts w:ascii="Arial" w:hAnsi="Arial" w:cs="Arial"/>
          <w:b/>
          <w:sz w:val="22"/>
          <w:szCs w:val="22"/>
        </w:rPr>
      </w:pPr>
    </w:p>
    <w:p w:rsidR="00B07B86" w:rsidRPr="00300BCA" w:rsidRDefault="00B07B86" w:rsidP="004C39E3">
      <w:pPr>
        <w:pStyle w:val="ListParagraph"/>
        <w:ind w:left="1800"/>
        <w:contextualSpacing/>
        <w:jc w:val="both"/>
        <w:rPr>
          <w:rFonts w:ascii="Arial" w:hAnsi="Arial" w:cs="Arial"/>
          <w:b/>
          <w:sz w:val="22"/>
          <w:szCs w:val="22"/>
        </w:rPr>
      </w:pPr>
    </w:p>
    <w:p w:rsidR="0063423D" w:rsidRPr="00DC0333" w:rsidRDefault="008A230C" w:rsidP="00DA78B4">
      <w:pPr>
        <w:pStyle w:val="ListParagraph"/>
        <w:numPr>
          <w:ilvl w:val="0"/>
          <w:numId w:val="1"/>
        </w:numPr>
        <w:ind w:left="720" w:hanging="720"/>
        <w:jc w:val="both"/>
        <w:rPr>
          <w:rFonts w:ascii="Arial" w:hAnsi="Arial" w:cs="Arial"/>
          <w:b/>
        </w:rPr>
      </w:pPr>
      <w:r w:rsidRPr="00DC0333">
        <w:rPr>
          <w:rFonts w:ascii="Arial" w:hAnsi="Arial" w:cs="Arial"/>
          <w:b/>
          <w:sz w:val="22"/>
          <w:szCs w:val="22"/>
        </w:rPr>
        <w:t xml:space="preserve">Cash bonds of six (6) terminated </w:t>
      </w:r>
      <w:r w:rsidR="00610424">
        <w:rPr>
          <w:rFonts w:ascii="Arial" w:hAnsi="Arial" w:cs="Arial"/>
          <w:b/>
          <w:sz w:val="22"/>
          <w:szCs w:val="22"/>
        </w:rPr>
        <w:t>Authorized Agent Corporations/</w:t>
      </w:r>
      <w:r w:rsidR="00FB62D8">
        <w:rPr>
          <w:rFonts w:ascii="Arial" w:hAnsi="Arial" w:cs="Arial"/>
          <w:b/>
          <w:sz w:val="22"/>
          <w:szCs w:val="22"/>
        </w:rPr>
        <w:t xml:space="preserve">Authorized STL Agents </w:t>
      </w:r>
      <w:r w:rsidR="00610424">
        <w:rPr>
          <w:rFonts w:ascii="Arial" w:hAnsi="Arial" w:cs="Arial"/>
          <w:b/>
          <w:sz w:val="22"/>
          <w:szCs w:val="22"/>
        </w:rPr>
        <w:t>(</w:t>
      </w:r>
      <w:r w:rsidRPr="00DC0333">
        <w:rPr>
          <w:rFonts w:ascii="Arial" w:hAnsi="Arial" w:cs="Arial"/>
          <w:b/>
          <w:sz w:val="22"/>
          <w:szCs w:val="22"/>
        </w:rPr>
        <w:t>AACs/ASAs</w:t>
      </w:r>
      <w:r w:rsidR="00610424">
        <w:rPr>
          <w:rFonts w:ascii="Arial" w:hAnsi="Arial" w:cs="Arial"/>
          <w:b/>
          <w:sz w:val="22"/>
          <w:szCs w:val="22"/>
        </w:rPr>
        <w:t>)</w:t>
      </w:r>
      <w:r w:rsidRPr="00DC0333">
        <w:rPr>
          <w:rFonts w:ascii="Arial" w:hAnsi="Arial" w:cs="Arial"/>
          <w:b/>
          <w:sz w:val="22"/>
          <w:szCs w:val="22"/>
        </w:rPr>
        <w:t xml:space="preserve"> totaling P497</w:t>
      </w:r>
      <w:r w:rsidR="0019310E" w:rsidRPr="00DC0333">
        <w:rPr>
          <w:rFonts w:ascii="Arial" w:hAnsi="Arial" w:cs="Arial"/>
          <w:b/>
          <w:sz w:val="22"/>
          <w:szCs w:val="22"/>
        </w:rPr>
        <w:t>.</w:t>
      </w:r>
      <w:r w:rsidRPr="00DC0333">
        <w:rPr>
          <w:rFonts w:ascii="Arial" w:hAnsi="Arial" w:cs="Arial"/>
          <w:b/>
          <w:sz w:val="22"/>
          <w:szCs w:val="22"/>
        </w:rPr>
        <w:t>183</w:t>
      </w:r>
      <w:r w:rsidR="0019310E" w:rsidRPr="00DC0333">
        <w:rPr>
          <w:rFonts w:ascii="Arial" w:hAnsi="Arial" w:cs="Arial"/>
          <w:b/>
          <w:sz w:val="22"/>
          <w:szCs w:val="22"/>
        </w:rPr>
        <w:t xml:space="preserve"> million</w:t>
      </w:r>
      <w:r w:rsidRPr="00DC0333">
        <w:rPr>
          <w:rFonts w:ascii="Arial" w:hAnsi="Arial" w:cs="Arial"/>
          <w:b/>
          <w:sz w:val="22"/>
          <w:szCs w:val="22"/>
        </w:rPr>
        <w:t xml:space="preserve"> were not yet forfeited as of December 31, 2018 despite the issuance of forfeiture order/request by the B</w:t>
      </w:r>
      <w:r w:rsidR="003434BE" w:rsidRPr="00DC0333">
        <w:rPr>
          <w:rFonts w:ascii="Arial" w:hAnsi="Arial" w:cs="Arial"/>
          <w:b/>
          <w:sz w:val="22"/>
          <w:szCs w:val="22"/>
        </w:rPr>
        <w:t xml:space="preserve">ranch Operations </w:t>
      </w:r>
      <w:r w:rsidRPr="00DC0333">
        <w:rPr>
          <w:rFonts w:ascii="Arial" w:hAnsi="Arial" w:cs="Arial"/>
          <w:b/>
          <w:sz w:val="22"/>
          <w:szCs w:val="22"/>
        </w:rPr>
        <w:t>S</w:t>
      </w:r>
      <w:r w:rsidR="003434BE" w:rsidRPr="00DC0333">
        <w:rPr>
          <w:rFonts w:ascii="Arial" w:hAnsi="Arial" w:cs="Arial"/>
          <w:b/>
          <w:sz w:val="22"/>
          <w:szCs w:val="22"/>
        </w:rPr>
        <w:t>ector (BOS)</w:t>
      </w:r>
      <w:r w:rsidRPr="00DC0333">
        <w:rPr>
          <w:rFonts w:ascii="Arial" w:hAnsi="Arial" w:cs="Arial"/>
          <w:b/>
          <w:sz w:val="22"/>
          <w:szCs w:val="22"/>
        </w:rPr>
        <w:t xml:space="preserve">, resulting in the overstatement of the Performance Bonds Payable account with </w:t>
      </w:r>
      <w:r w:rsidR="000753A2" w:rsidRPr="00DC0333">
        <w:rPr>
          <w:rFonts w:ascii="Arial" w:hAnsi="Arial" w:cs="Arial"/>
          <w:b/>
          <w:sz w:val="22"/>
          <w:szCs w:val="22"/>
        </w:rPr>
        <w:t xml:space="preserve">a </w:t>
      </w:r>
      <w:r w:rsidRPr="00DC0333">
        <w:rPr>
          <w:rFonts w:ascii="Arial" w:hAnsi="Arial" w:cs="Arial"/>
          <w:b/>
          <w:sz w:val="22"/>
          <w:szCs w:val="22"/>
        </w:rPr>
        <w:t>balance of P4</w:t>
      </w:r>
      <w:r w:rsidR="0019310E" w:rsidRPr="00DC0333">
        <w:rPr>
          <w:rFonts w:ascii="Arial" w:hAnsi="Arial" w:cs="Arial"/>
          <w:b/>
          <w:sz w:val="22"/>
          <w:szCs w:val="22"/>
        </w:rPr>
        <w:t>.</w:t>
      </w:r>
      <w:r w:rsidRPr="00DC0333">
        <w:rPr>
          <w:rFonts w:ascii="Arial" w:hAnsi="Arial" w:cs="Arial"/>
          <w:b/>
          <w:sz w:val="22"/>
          <w:szCs w:val="22"/>
        </w:rPr>
        <w:t>044</w:t>
      </w:r>
      <w:r w:rsidR="0019310E" w:rsidRPr="00DC0333">
        <w:rPr>
          <w:rFonts w:ascii="Arial" w:hAnsi="Arial" w:cs="Arial"/>
          <w:b/>
          <w:sz w:val="22"/>
          <w:szCs w:val="22"/>
        </w:rPr>
        <w:t xml:space="preserve"> billion</w:t>
      </w:r>
      <w:r w:rsidRPr="00DC0333">
        <w:rPr>
          <w:rFonts w:ascii="Arial" w:hAnsi="Arial" w:cs="Arial"/>
          <w:b/>
          <w:sz w:val="22"/>
          <w:szCs w:val="22"/>
        </w:rPr>
        <w:t xml:space="preserve">  by P497</w:t>
      </w:r>
      <w:r w:rsidR="0019310E" w:rsidRPr="00DC0333">
        <w:rPr>
          <w:rFonts w:ascii="Arial" w:hAnsi="Arial" w:cs="Arial"/>
          <w:b/>
          <w:sz w:val="22"/>
          <w:szCs w:val="22"/>
        </w:rPr>
        <w:t>.</w:t>
      </w:r>
      <w:r w:rsidRPr="00DC0333">
        <w:rPr>
          <w:rFonts w:ascii="Arial" w:hAnsi="Arial" w:cs="Arial"/>
          <w:b/>
          <w:sz w:val="22"/>
          <w:szCs w:val="22"/>
        </w:rPr>
        <w:t>183</w:t>
      </w:r>
      <w:r w:rsidR="0019310E" w:rsidRPr="00DC0333">
        <w:rPr>
          <w:rFonts w:ascii="Arial" w:hAnsi="Arial" w:cs="Arial"/>
          <w:b/>
          <w:sz w:val="22"/>
          <w:szCs w:val="22"/>
        </w:rPr>
        <w:t xml:space="preserve"> million</w:t>
      </w:r>
      <w:r w:rsidRPr="00DC0333">
        <w:rPr>
          <w:rFonts w:ascii="Arial" w:hAnsi="Arial" w:cs="Arial"/>
          <w:b/>
          <w:sz w:val="22"/>
          <w:szCs w:val="22"/>
        </w:rPr>
        <w:t xml:space="preserve"> and misstatement of the balances of the other affected accounts by the corresponding amounts, which affected the </w:t>
      </w:r>
      <w:r w:rsidR="00A123CD" w:rsidRPr="00DC0333">
        <w:rPr>
          <w:rFonts w:ascii="Arial" w:hAnsi="Arial" w:cs="Arial"/>
          <w:b/>
          <w:sz w:val="22"/>
          <w:szCs w:val="22"/>
        </w:rPr>
        <w:t xml:space="preserve">faithful </w:t>
      </w:r>
      <w:r w:rsidRPr="00DC0333">
        <w:rPr>
          <w:rFonts w:ascii="Arial" w:hAnsi="Arial" w:cs="Arial"/>
          <w:b/>
          <w:sz w:val="22"/>
          <w:szCs w:val="22"/>
        </w:rPr>
        <w:t>presentation of</w:t>
      </w:r>
      <w:r w:rsidR="000753A2" w:rsidRPr="00DC0333">
        <w:rPr>
          <w:rFonts w:ascii="Arial" w:hAnsi="Arial" w:cs="Arial"/>
          <w:b/>
          <w:sz w:val="22"/>
          <w:szCs w:val="22"/>
        </w:rPr>
        <w:t xml:space="preserve"> the </w:t>
      </w:r>
      <w:r w:rsidRPr="00DC0333">
        <w:rPr>
          <w:rFonts w:ascii="Arial" w:hAnsi="Arial" w:cs="Arial"/>
          <w:b/>
          <w:sz w:val="22"/>
          <w:szCs w:val="22"/>
        </w:rPr>
        <w:t>balances of subject accounts in the financial statements as of December 31, 2018.</w:t>
      </w:r>
    </w:p>
    <w:p w:rsidR="00657CB7" w:rsidRPr="00EF4855" w:rsidRDefault="00657CB7" w:rsidP="004C39E3">
      <w:pPr>
        <w:pStyle w:val="ListParagraph"/>
        <w:jc w:val="both"/>
        <w:rPr>
          <w:rFonts w:ascii="Arial" w:hAnsi="Arial" w:cs="Arial"/>
          <w:b/>
          <w:sz w:val="22"/>
          <w:szCs w:val="22"/>
        </w:rPr>
      </w:pPr>
    </w:p>
    <w:p w:rsidR="00DC0333" w:rsidRPr="00DC0333" w:rsidRDefault="00DC0333" w:rsidP="00DA78B4">
      <w:pPr>
        <w:pStyle w:val="ListParagraph"/>
        <w:numPr>
          <w:ilvl w:val="0"/>
          <w:numId w:val="1"/>
        </w:numPr>
        <w:contextualSpacing/>
        <w:jc w:val="both"/>
        <w:rPr>
          <w:rFonts w:ascii="Arial" w:hAnsi="Arial" w:cs="Arial"/>
          <w:vanish/>
          <w:color w:val="000000" w:themeColor="text1"/>
          <w:sz w:val="22"/>
          <w:szCs w:val="22"/>
        </w:rPr>
      </w:pPr>
    </w:p>
    <w:p w:rsidR="00DC0333" w:rsidRPr="00DC0333" w:rsidRDefault="00DC0333" w:rsidP="00DA78B4">
      <w:pPr>
        <w:pStyle w:val="ListParagraph"/>
        <w:numPr>
          <w:ilvl w:val="0"/>
          <w:numId w:val="1"/>
        </w:numPr>
        <w:contextualSpacing/>
        <w:jc w:val="both"/>
        <w:rPr>
          <w:rFonts w:ascii="Arial" w:hAnsi="Arial" w:cs="Arial"/>
          <w:vanish/>
          <w:color w:val="000000" w:themeColor="text1"/>
          <w:sz w:val="22"/>
          <w:szCs w:val="22"/>
        </w:rPr>
      </w:pPr>
    </w:p>
    <w:p w:rsidR="00DC0333" w:rsidRPr="00DC0333" w:rsidRDefault="00DC0333" w:rsidP="00DA78B4">
      <w:pPr>
        <w:pStyle w:val="ListParagraph"/>
        <w:numPr>
          <w:ilvl w:val="0"/>
          <w:numId w:val="1"/>
        </w:numPr>
        <w:contextualSpacing/>
        <w:jc w:val="both"/>
        <w:rPr>
          <w:rFonts w:ascii="Arial" w:hAnsi="Arial" w:cs="Arial"/>
          <w:vanish/>
          <w:color w:val="000000" w:themeColor="text1"/>
          <w:sz w:val="22"/>
          <w:szCs w:val="22"/>
        </w:rPr>
      </w:pPr>
    </w:p>
    <w:p w:rsidR="00DC0333" w:rsidRPr="00DC0333" w:rsidRDefault="00DC0333" w:rsidP="00DA78B4">
      <w:pPr>
        <w:pStyle w:val="ListParagraph"/>
        <w:numPr>
          <w:ilvl w:val="0"/>
          <w:numId w:val="1"/>
        </w:numPr>
        <w:contextualSpacing/>
        <w:jc w:val="both"/>
        <w:rPr>
          <w:rFonts w:ascii="Arial" w:hAnsi="Arial" w:cs="Arial"/>
          <w:vanish/>
          <w:color w:val="000000" w:themeColor="text1"/>
          <w:sz w:val="22"/>
          <w:szCs w:val="22"/>
        </w:rPr>
      </w:pPr>
    </w:p>
    <w:p w:rsidR="00FE00B0" w:rsidRPr="00753E6F" w:rsidRDefault="003434BE" w:rsidP="00DA78B4">
      <w:pPr>
        <w:pStyle w:val="ListParagraph"/>
        <w:numPr>
          <w:ilvl w:val="1"/>
          <w:numId w:val="22"/>
        </w:numPr>
        <w:ind w:left="1440" w:hanging="720"/>
        <w:contextualSpacing/>
        <w:jc w:val="both"/>
        <w:rPr>
          <w:rFonts w:ascii="Arial" w:hAnsi="Arial" w:cs="Arial"/>
          <w:sz w:val="22"/>
          <w:szCs w:val="22"/>
        </w:rPr>
      </w:pPr>
      <w:r w:rsidRPr="00753E6F">
        <w:rPr>
          <w:rFonts w:ascii="Arial" w:hAnsi="Arial" w:cs="Arial"/>
          <w:sz w:val="22"/>
          <w:szCs w:val="22"/>
        </w:rPr>
        <w:t>Review</w:t>
      </w:r>
      <w:r w:rsidR="008A230C" w:rsidRPr="00753E6F">
        <w:rPr>
          <w:rFonts w:ascii="Arial" w:hAnsi="Arial" w:cs="Arial"/>
          <w:sz w:val="22"/>
          <w:szCs w:val="22"/>
        </w:rPr>
        <w:t xml:space="preserve"> of the accounting records disclosed that cash bonds posted by the concerned AACs/ASAs, which </w:t>
      </w:r>
      <w:r w:rsidR="00571FDB" w:rsidRPr="00753E6F">
        <w:rPr>
          <w:rFonts w:ascii="Arial" w:hAnsi="Arial" w:cs="Arial"/>
          <w:sz w:val="22"/>
          <w:szCs w:val="22"/>
        </w:rPr>
        <w:t>were</w:t>
      </w:r>
      <w:r w:rsidR="008A230C" w:rsidRPr="00753E6F">
        <w:rPr>
          <w:rFonts w:ascii="Arial" w:hAnsi="Arial" w:cs="Arial"/>
          <w:sz w:val="22"/>
          <w:szCs w:val="22"/>
        </w:rPr>
        <w:t xml:space="preserve"> required before being granted with</w:t>
      </w:r>
      <w:r w:rsidRPr="00753E6F">
        <w:rPr>
          <w:rFonts w:ascii="Arial" w:hAnsi="Arial" w:cs="Arial"/>
          <w:sz w:val="22"/>
          <w:szCs w:val="22"/>
        </w:rPr>
        <w:t xml:space="preserve"> authority to operate (</w:t>
      </w:r>
      <w:r w:rsidR="008A230C" w:rsidRPr="00753E6F">
        <w:rPr>
          <w:rFonts w:ascii="Arial" w:hAnsi="Arial" w:cs="Arial"/>
          <w:sz w:val="22"/>
          <w:szCs w:val="22"/>
        </w:rPr>
        <w:t>ATO</w:t>
      </w:r>
      <w:r w:rsidRPr="00753E6F">
        <w:rPr>
          <w:rFonts w:ascii="Arial" w:hAnsi="Arial" w:cs="Arial"/>
          <w:sz w:val="22"/>
          <w:szCs w:val="22"/>
        </w:rPr>
        <w:t>)</w:t>
      </w:r>
      <w:r w:rsidR="008A230C" w:rsidRPr="00753E6F">
        <w:rPr>
          <w:rFonts w:ascii="Arial" w:hAnsi="Arial" w:cs="Arial"/>
          <w:sz w:val="22"/>
          <w:szCs w:val="22"/>
        </w:rPr>
        <w:t>, were recorded initially in the books as debit to Cash in Bank and credit to Performance/Bidder’s Bonds Payable accounts. Upon termination of its operations, the cash bond is being returned to the AAC or forfeited in case of PMRR shortfall pursuant to Section 17 of the 2016 R</w:t>
      </w:r>
      <w:r w:rsidR="00FB62D8" w:rsidRPr="00753E6F">
        <w:rPr>
          <w:rFonts w:ascii="Arial" w:hAnsi="Arial" w:cs="Arial"/>
          <w:sz w:val="22"/>
          <w:szCs w:val="22"/>
        </w:rPr>
        <w:t xml:space="preserve">evised </w:t>
      </w:r>
      <w:r w:rsidR="008A230C" w:rsidRPr="00753E6F">
        <w:rPr>
          <w:rFonts w:ascii="Arial" w:hAnsi="Arial" w:cs="Arial"/>
          <w:sz w:val="22"/>
          <w:szCs w:val="22"/>
        </w:rPr>
        <w:t>I</w:t>
      </w:r>
      <w:r w:rsidR="00FB62D8" w:rsidRPr="00753E6F">
        <w:rPr>
          <w:rFonts w:ascii="Arial" w:hAnsi="Arial" w:cs="Arial"/>
          <w:sz w:val="22"/>
          <w:szCs w:val="22"/>
        </w:rPr>
        <w:t xml:space="preserve">mplementing </w:t>
      </w:r>
      <w:r w:rsidR="008A230C" w:rsidRPr="00753E6F">
        <w:rPr>
          <w:rFonts w:ascii="Arial" w:hAnsi="Arial" w:cs="Arial"/>
          <w:sz w:val="22"/>
          <w:szCs w:val="22"/>
        </w:rPr>
        <w:t>R</w:t>
      </w:r>
      <w:r w:rsidR="00FB62D8" w:rsidRPr="00753E6F">
        <w:rPr>
          <w:rFonts w:ascii="Arial" w:hAnsi="Arial" w:cs="Arial"/>
          <w:sz w:val="22"/>
          <w:szCs w:val="22"/>
        </w:rPr>
        <w:t xml:space="preserve">ules and </w:t>
      </w:r>
      <w:r w:rsidR="008A230C" w:rsidRPr="00753E6F">
        <w:rPr>
          <w:rFonts w:ascii="Arial" w:hAnsi="Arial" w:cs="Arial"/>
          <w:sz w:val="22"/>
          <w:szCs w:val="22"/>
        </w:rPr>
        <w:t>R</w:t>
      </w:r>
      <w:r w:rsidR="00FB62D8" w:rsidRPr="00753E6F">
        <w:rPr>
          <w:rFonts w:ascii="Arial" w:hAnsi="Arial" w:cs="Arial"/>
          <w:sz w:val="22"/>
          <w:szCs w:val="22"/>
        </w:rPr>
        <w:t>egulations (IRR)</w:t>
      </w:r>
      <w:r w:rsidR="008A230C" w:rsidRPr="00753E6F">
        <w:rPr>
          <w:rFonts w:ascii="Arial" w:hAnsi="Arial" w:cs="Arial"/>
          <w:sz w:val="22"/>
          <w:szCs w:val="22"/>
        </w:rPr>
        <w:t xml:space="preserve"> for the STL. </w:t>
      </w:r>
    </w:p>
    <w:p w:rsidR="00753E6F" w:rsidRPr="00753E6F" w:rsidRDefault="00753E6F" w:rsidP="00753E6F">
      <w:pPr>
        <w:pStyle w:val="ListParagraph"/>
        <w:ind w:left="1440"/>
        <w:contextualSpacing/>
        <w:jc w:val="both"/>
        <w:rPr>
          <w:rFonts w:ascii="Arial" w:hAnsi="Arial" w:cs="Arial"/>
        </w:rPr>
      </w:pPr>
    </w:p>
    <w:p w:rsidR="00FE00B0" w:rsidRPr="00EF4855" w:rsidRDefault="008A230C" w:rsidP="00DA78B4">
      <w:pPr>
        <w:pStyle w:val="ListParagraph"/>
        <w:numPr>
          <w:ilvl w:val="1"/>
          <w:numId w:val="22"/>
        </w:numPr>
        <w:ind w:left="1440" w:hanging="720"/>
        <w:contextualSpacing/>
        <w:jc w:val="both"/>
        <w:rPr>
          <w:rFonts w:ascii="Arial" w:hAnsi="Arial" w:cs="Arial"/>
          <w:color w:val="000000" w:themeColor="text1"/>
          <w:sz w:val="22"/>
          <w:szCs w:val="22"/>
        </w:rPr>
      </w:pPr>
      <w:r w:rsidRPr="00EF4855">
        <w:rPr>
          <w:rFonts w:ascii="Arial" w:hAnsi="Arial" w:cs="Arial"/>
          <w:color w:val="000000" w:themeColor="text1"/>
          <w:sz w:val="22"/>
          <w:szCs w:val="22"/>
        </w:rPr>
        <w:t xml:space="preserve">For the period 2017 to 2018, there were eleven (11) AACs/ASAs whose ATOs were terminated due to non-settlement of their PMRR Shortfalls for CY 2017 </w:t>
      </w:r>
      <w:r w:rsidR="00722017" w:rsidRPr="00EF4855">
        <w:rPr>
          <w:rFonts w:ascii="Arial" w:hAnsi="Arial" w:cs="Arial"/>
          <w:color w:val="000000" w:themeColor="text1"/>
          <w:sz w:val="22"/>
          <w:szCs w:val="22"/>
        </w:rPr>
        <w:t>totaling</w:t>
      </w:r>
      <w:r w:rsidRPr="00EF4855">
        <w:rPr>
          <w:rFonts w:ascii="Arial" w:hAnsi="Arial" w:cs="Arial"/>
          <w:color w:val="000000" w:themeColor="text1"/>
          <w:sz w:val="22"/>
          <w:szCs w:val="22"/>
        </w:rPr>
        <w:t xml:space="preserve"> P1</w:t>
      </w:r>
      <w:r w:rsidR="0019310E" w:rsidRPr="00EF4855">
        <w:rPr>
          <w:rFonts w:ascii="Arial" w:hAnsi="Arial" w:cs="Arial"/>
          <w:color w:val="000000" w:themeColor="text1"/>
          <w:sz w:val="22"/>
          <w:szCs w:val="22"/>
        </w:rPr>
        <w:t>.</w:t>
      </w:r>
      <w:r w:rsidRPr="00EF4855">
        <w:rPr>
          <w:rFonts w:ascii="Arial" w:hAnsi="Arial" w:cs="Arial"/>
          <w:color w:val="000000" w:themeColor="text1"/>
          <w:sz w:val="22"/>
          <w:szCs w:val="22"/>
        </w:rPr>
        <w:t>753</w:t>
      </w:r>
      <w:r w:rsidR="0019310E" w:rsidRPr="00EF4855">
        <w:rPr>
          <w:rFonts w:ascii="Arial" w:hAnsi="Arial" w:cs="Arial"/>
          <w:color w:val="000000" w:themeColor="text1"/>
          <w:sz w:val="22"/>
          <w:szCs w:val="22"/>
        </w:rPr>
        <w:t xml:space="preserve"> billion</w:t>
      </w:r>
      <w:r w:rsidR="002063A2" w:rsidRPr="00EF4855">
        <w:rPr>
          <w:rFonts w:ascii="Arial" w:hAnsi="Arial" w:cs="Arial"/>
          <w:color w:val="000000" w:themeColor="text1"/>
          <w:sz w:val="22"/>
          <w:szCs w:val="22"/>
        </w:rPr>
        <w:t>.</w:t>
      </w:r>
      <w:r w:rsidRPr="00EF4855">
        <w:rPr>
          <w:rFonts w:ascii="Arial" w:hAnsi="Arial" w:cs="Arial"/>
          <w:color w:val="000000" w:themeColor="text1"/>
          <w:sz w:val="22"/>
          <w:szCs w:val="22"/>
        </w:rPr>
        <w:t xml:space="preserve"> The concerned official of the BOS issued series of Memoranda during CY 2018 addressed to the Accounting and Budget Department (ABD) and Treasury Department (TD) relative to the forfeitures of the cash bonds of six (6) terminated AACs’ </w:t>
      </w:r>
      <w:r w:rsidR="00101E76" w:rsidRPr="00EF4855">
        <w:rPr>
          <w:rFonts w:ascii="Arial" w:hAnsi="Arial" w:cs="Arial"/>
          <w:color w:val="000000" w:themeColor="text1"/>
          <w:sz w:val="22"/>
          <w:szCs w:val="22"/>
        </w:rPr>
        <w:t>totaling</w:t>
      </w:r>
      <w:r w:rsidRPr="00EF4855">
        <w:rPr>
          <w:rFonts w:ascii="Arial" w:hAnsi="Arial" w:cs="Arial"/>
          <w:color w:val="000000" w:themeColor="text1"/>
          <w:sz w:val="22"/>
          <w:szCs w:val="22"/>
        </w:rPr>
        <w:t xml:space="preserve"> P497</w:t>
      </w:r>
      <w:r w:rsidR="0019310E" w:rsidRPr="00EF4855">
        <w:rPr>
          <w:rFonts w:ascii="Arial" w:hAnsi="Arial" w:cs="Arial"/>
          <w:color w:val="000000" w:themeColor="text1"/>
          <w:sz w:val="22"/>
          <w:szCs w:val="22"/>
        </w:rPr>
        <w:t>.</w:t>
      </w:r>
      <w:r w:rsidRPr="00EF4855">
        <w:rPr>
          <w:rFonts w:ascii="Arial" w:hAnsi="Arial" w:cs="Arial"/>
          <w:color w:val="000000" w:themeColor="text1"/>
          <w:sz w:val="22"/>
          <w:szCs w:val="22"/>
        </w:rPr>
        <w:t>183</w:t>
      </w:r>
      <w:r w:rsidR="0019310E" w:rsidRPr="00EF4855">
        <w:rPr>
          <w:rFonts w:ascii="Arial" w:hAnsi="Arial" w:cs="Arial"/>
          <w:color w:val="000000" w:themeColor="text1"/>
          <w:sz w:val="22"/>
          <w:szCs w:val="22"/>
        </w:rPr>
        <w:t xml:space="preserve"> million</w:t>
      </w:r>
      <w:r w:rsidRPr="00EF4855">
        <w:rPr>
          <w:rFonts w:ascii="Arial" w:hAnsi="Arial" w:cs="Arial"/>
          <w:color w:val="000000" w:themeColor="text1"/>
          <w:sz w:val="22"/>
          <w:szCs w:val="22"/>
        </w:rPr>
        <w:t xml:space="preserve">. </w:t>
      </w:r>
    </w:p>
    <w:p w:rsidR="00FE00B0" w:rsidRPr="00EF4855" w:rsidRDefault="00FE00B0" w:rsidP="004C39E3">
      <w:pPr>
        <w:pStyle w:val="ListParagraph"/>
        <w:rPr>
          <w:rFonts w:ascii="Arial" w:hAnsi="Arial" w:cs="Arial"/>
          <w:color w:val="000000" w:themeColor="text1"/>
          <w:sz w:val="22"/>
          <w:szCs w:val="22"/>
        </w:rPr>
      </w:pPr>
    </w:p>
    <w:p w:rsidR="00FE00B0" w:rsidRPr="00FB62D8" w:rsidRDefault="008A230C" w:rsidP="00DA78B4">
      <w:pPr>
        <w:pStyle w:val="ListParagraph"/>
        <w:numPr>
          <w:ilvl w:val="1"/>
          <w:numId w:val="22"/>
        </w:numPr>
        <w:ind w:left="1440" w:hanging="720"/>
        <w:contextualSpacing/>
        <w:jc w:val="both"/>
        <w:rPr>
          <w:rFonts w:ascii="Arial" w:hAnsi="Arial" w:cs="Arial"/>
          <w:sz w:val="22"/>
          <w:szCs w:val="22"/>
        </w:rPr>
      </w:pPr>
      <w:r w:rsidRPr="00FB62D8">
        <w:rPr>
          <w:rFonts w:ascii="Arial" w:hAnsi="Arial" w:cs="Arial"/>
          <w:sz w:val="22"/>
          <w:szCs w:val="22"/>
        </w:rPr>
        <w:t xml:space="preserve">Verification of records, however, disclosed that the cash bonds of the subject AACs were not yet forfeited as of December 31, 2018 despite the issuance of termination/forfeiture order by the BOS.  </w:t>
      </w:r>
      <w:r w:rsidR="003434BE" w:rsidRPr="00FB62D8">
        <w:rPr>
          <w:rFonts w:ascii="Arial" w:hAnsi="Arial" w:cs="Arial"/>
          <w:sz w:val="22"/>
          <w:szCs w:val="22"/>
        </w:rPr>
        <w:t>The d</w:t>
      </w:r>
      <w:r w:rsidRPr="00FB62D8">
        <w:rPr>
          <w:rFonts w:ascii="Arial" w:hAnsi="Arial" w:cs="Arial"/>
          <w:sz w:val="22"/>
          <w:szCs w:val="22"/>
        </w:rPr>
        <w:t>elay in the recognition in the books of the forfeitures of said cash bonds resulted in the overstatement of the Performance/Bidder’s Bonds Payable account by P497</w:t>
      </w:r>
      <w:r w:rsidR="0019310E" w:rsidRPr="00FB62D8">
        <w:rPr>
          <w:rFonts w:ascii="Arial" w:hAnsi="Arial" w:cs="Arial"/>
          <w:sz w:val="22"/>
          <w:szCs w:val="22"/>
        </w:rPr>
        <w:t>.</w:t>
      </w:r>
      <w:r w:rsidRPr="00FB62D8">
        <w:rPr>
          <w:rFonts w:ascii="Arial" w:hAnsi="Arial" w:cs="Arial"/>
          <w:sz w:val="22"/>
          <w:szCs w:val="22"/>
        </w:rPr>
        <w:t>183</w:t>
      </w:r>
      <w:r w:rsidR="0019310E" w:rsidRPr="00FB62D8">
        <w:rPr>
          <w:rFonts w:ascii="Arial" w:hAnsi="Arial" w:cs="Arial"/>
          <w:sz w:val="22"/>
          <w:szCs w:val="22"/>
        </w:rPr>
        <w:t xml:space="preserve"> million</w:t>
      </w:r>
      <w:r w:rsidRPr="00FB62D8">
        <w:rPr>
          <w:rFonts w:ascii="Arial" w:hAnsi="Arial" w:cs="Arial"/>
          <w:sz w:val="22"/>
          <w:szCs w:val="22"/>
        </w:rPr>
        <w:t xml:space="preserve"> and the misstatement of the other related accounts, affecting the fair presentation of the balances of the subject accounts in the financial statem</w:t>
      </w:r>
      <w:r w:rsidR="00571FDB" w:rsidRPr="00FB62D8">
        <w:rPr>
          <w:rFonts w:ascii="Arial" w:hAnsi="Arial" w:cs="Arial"/>
          <w:sz w:val="22"/>
          <w:szCs w:val="22"/>
        </w:rPr>
        <w:t>ents as of December 31, 2018, and delay in the actual transfer of the fund to the Charity Fund.</w:t>
      </w:r>
      <w:r w:rsidRPr="00FB62D8">
        <w:rPr>
          <w:rFonts w:ascii="Arial" w:hAnsi="Arial" w:cs="Arial"/>
          <w:sz w:val="22"/>
          <w:szCs w:val="22"/>
        </w:rPr>
        <w:t xml:space="preserve">  </w:t>
      </w:r>
    </w:p>
    <w:p w:rsidR="00FE00B0" w:rsidRPr="00EF4855" w:rsidRDefault="00FE00B0" w:rsidP="004C39E3">
      <w:pPr>
        <w:pStyle w:val="ListParagraph"/>
        <w:rPr>
          <w:rFonts w:ascii="Arial" w:hAnsi="Arial" w:cs="Arial"/>
          <w:color w:val="000000" w:themeColor="text1"/>
          <w:sz w:val="22"/>
          <w:szCs w:val="22"/>
          <w:highlight w:val="yellow"/>
        </w:rPr>
      </w:pPr>
    </w:p>
    <w:p w:rsidR="00FE00B0" w:rsidRPr="00EF4855" w:rsidRDefault="008A230C" w:rsidP="00DA78B4">
      <w:pPr>
        <w:pStyle w:val="ListParagraph"/>
        <w:numPr>
          <w:ilvl w:val="1"/>
          <w:numId w:val="22"/>
        </w:numPr>
        <w:ind w:left="1440" w:hanging="720"/>
        <w:contextualSpacing/>
        <w:jc w:val="both"/>
        <w:rPr>
          <w:rFonts w:ascii="Arial" w:hAnsi="Arial" w:cs="Arial"/>
          <w:color w:val="000000" w:themeColor="text1"/>
          <w:sz w:val="22"/>
          <w:szCs w:val="22"/>
        </w:rPr>
      </w:pPr>
      <w:r w:rsidRPr="00EF4855">
        <w:rPr>
          <w:rFonts w:ascii="Arial" w:hAnsi="Arial" w:cs="Arial"/>
          <w:color w:val="000000" w:themeColor="text1"/>
          <w:sz w:val="22"/>
          <w:szCs w:val="22"/>
        </w:rPr>
        <w:t>In addition, the amount due to the Charity Fund from the said forfeitures, pursuant to Board Resolution No. 111</w:t>
      </w:r>
      <w:r w:rsidR="00CE0CB4">
        <w:rPr>
          <w:rFonts w:ascii="Arial" w:hAnsi="Arial" w:cs="Arial"/>
          <w:color w:val="000000" w:themeColor="text1"/>
          <w:sz w:val="22"/>
          <w:szCs w:val="22"/>
        </w:rPr>
        <w:t>,</w:t>
      </w:r>
      <w:r w:rsidRPr="00EF4855">
        <w:rPr>
          <w:rFonts w:ascii="Arial" w:hAnsi="Arial" w:cs="Arial"/>
          <w:color w:val="000000" w:themeColor="text1"/>
          <w:sz w:val="22"/>
          <w:szCs w:val="22"/>
        </w:rPr>
        <w:t xml:space="preserve"> series of 2018, that could have been utilized for the various charitable programs of the PCSO, most specially the Individual Medical Assistance Program (IMAP), was also </w:t>
      </w:r>
      <w:r w:rsidRPr="00EF4855">
        <w:rPr>
          <w:rFonts w:ascii="Arial" w:hAnsi="Arial" w:cs="Arial"/>
          <w:color w:val="000000" w:themeColor="text1"/>
          <w:sz w:val="22"/>
          <w:szCs w:val="22"/>
        </w:rPr>
        <w:lastRenderedPageBreak/>
        <w:t>held in abeyance to the detriment of the supposed beneficiaries of the said program.</w:t>
      </w:r>
    </w:p>
    <w:p w:rsidR="00FE00B0" w:rsidRPr="00EF4855" w:rsidRDefault="00FE00B0" w:rsidP="004C39E3">
      <w:pPr>
        <w:pStyle w:val="ListParagraph"/>
        <w:rPr>
          <w:rFonts w:ascii="Arial" w:hAnsi="Arial" w:cs="Arial"/>
          <w:b/>
          <w:color w:val="000000" w:themeColor="text1"/>
          <w:sz w:val="22"/>
          <w:szCs w:val="22"/>
        </w:rPr>
      </w:pPr>
    </w:p>
    <w:p w:rsidR="00571FDB" w:rsidRPr="00571FDB" w:rsidRDefault="008A230C" w:rsidP="00DA78B4">
      <w:pPr>
        <w:pStyle w:val="ListParagraph"/>
        <w:numPr>
          <w:ilvl w:val="1"/>
          <w:numId w:val="22"/>
        </w:numPr>
        <w:ind w:left="1440" w:hanging="720"/>
        <w:contextualSpacing/>
        <w:jc w:val="both"/>
        <w:rPr>
          <w:rFonts w:ascii="Arial" w:hAnsi="Arial" w:cs="Arial"/>
          <w:color w:val="000000" w:themeColor="text1"/>
          <w:sz w:val="22"/>
          <w:szCs w:val="22"/>
        </w:rPr>
      </w:pPr>
      <w:r w:rsidRPr="002276DE">
        <w:rPr>
          <w:rFonts w:ascii="Arial" w:hAnsi="Arial" w:cs="Arial"/>
          <w:b/>
          <w:color w:val="000000" w:themeColor="text1"/>
          <w:sz w:val="22"/>
          <w:szCs w:val="22"/>
        </w:rPr>
        <w:t>We recommend</w:t>
      </w:r>
      <w:r w:rsidR="00722017" w:rsidRPr="002276DE">
        <w:rPr>
          <w:rFonts w:ascii="Arial" w:hAnsi="Arial" w:cs="Arial"/>
          <w:b/>
          <w:color w:val="000000" w:themeColor="text1"/>
          <w:sz w:val="22"/>
          <w:szCs w:val="22"/>
        </w:rPr>
        <w:t xml:space="preserve">ed and </w:t>
      </w:r>
      <w:r w:rsidRPr="002276DE">
        <w:rPr>
          <w:rFonts w:ascii="Arial" w:hAnsi="Arial" w:cs="Arial"/>
          <w:b/>
          <w:color w:val="000000" w:themeColor="text1"/>
          <w:sz w:val="22"/>
          <w:szCs w:val="22"/>
        </w:rPr>
        <w:t xml:space="preserve">Management </w:t>
      </w:r>
      <w:r w:rsidR="00722017" w:rsidRPr="002276DE">
        <w:rPr>
          <w:rFonts w:ascii="Arial" w:hAnsi="Arial" w:cs="Arial"/>
          <w:b/>
          <w:color w:val="000000" w:themeColor="text1"/>
          <w:sz w:val="22"/>
          <w:szCs w:val="22"/>
        </w:rPr>
        <w:t xml:space="preserve">agreed to </w:t>
      </w:r>
      <w:r w:rsidRPr="002276DE">
        <w:rPr>
          <w:rFonts w:ascii="Arial" w:hAnsi="Arial" w:cs="Arial"/>
          <w:b/>
          <w:color w:val="000000" w:themeColor="text1"/>
          <w:sz w:val="22"/>
          <w:szCs w:val="22"/>
        </w:rPr>
        <w:t xml:space="preserve">direct the concerned accounting personnel to effect the necessary adjusting entries to recognize in the books the forfeitures of the cash bonds of the said six (6) terminated AACs so that the balances of the Performance/Bidder’s Bonds Payable account and other affected accounts shall be fairly presented in the financial statements.  This should be </w:t>
      </w:r>
      <w:r w:rsidR="00753E6F">
        <w:rPr>
          <w:rFonts w:ascii="Arial" w:hAnsi="Arial" w:cs="Arial"/>
          <w:b/>
          <w:color w:val="000000" w:themeColor="text1"/>
          <w:sz w:val="22"/>
          <w:szCs w:val="22"/>
        </w:rPr>
        <w:t>accompanied</w:t>
      </w:r>
      <w:r w:rsidRPr="002276DE">
        <w:rPr>
          <w:rFonts w:ascii="Arial" w:hAnsi="Arial" w:cs="Arial"/>
          <w:b/>
          <w:color w:val="000000" w:themeColor="text1"/>
          <w:sz w:val="22"/>
          <w:szCs w:val="22"/>
        </w:rPr>
        <w:t xml:space="preserve"> with the actual transfer of funds to the Charity Fund, pursuant to Board Resolution No. 111</w:t>
      </w:r>
      <w:r w:rsidR="002D52C7">
        <w:rPr>
          <w:rFonts w:ascii="Arial" w:hAnsi="Arial" w:cs="Arial"/>
          <w:b/>
          <w:color w:val="000000" w:themeColor="text1"/>
          <w:sz w:val="22"/>
          <w:szCs w:val="22"/>
        </w:rPr>
        <w:t>,</w:t>
      </w:r>
      <w:r w:rsidRPr="00EF4855">
        <w:rPr>
          <w:rFonts w:ascii="Arial" w:hAnsi="Arial" w:cs="Arial"/>
          <w:b/>
          <w:color w:val="000000" w:themeColor="text1"/>
          <w:sz w:val="22"/>
          <w:szCs w:val="22"/>
        </w:rPr>
        <w:t xml:space="preserve"> series of 2018, so that the same can be utilized to fund the various charitable programs of the PCSO, particularly the IMAP.</w:t>
      </w:r>
    </w:p>
    <w:p w:rsidR="00571FDB" w:rsidRPr="00571FDB" w:rsidRDefault="00571FDB" w:rsidP="00571FDB">
      <w:pPr>
        <w:pStyle w:val="ListParagraph"/>
        <w:rPr>
          <w:rFonts w:ascii="Arial" w:hAnsi="Arial" w:cs="Arial"/>
          <w:sz w:val="22"/>
          <w:szCs w:val="22"/>
        </w:rPr>
      </w:pPr>
    </w:p>
    <w:p w:rsidR="00571FDB" w:rsidRPr="00571FDB" w:rsidRDefault="00300BCA" w:rsidP="00DA78B4">
      <w:pPr>
        <w:pStyle w:val="ListParagraph"/>
        <w:numPr>
          <w:ilvl w:val="1"/>
          <w:numId w:val="22"/>
        </w:numPr>
        <w:ind w:left="1440" w:hanging="720"/>
        <w:contextualSpacing/>
        <w:jc w:val="both"/>
        <w:rPr>
          <w:rFonts w:ascii="Arial" w:hAnsi="Arial" w:cs="Arial"/>
          <w:color w:val="000000" w:themeColor="text1"/>
          <w:sz w:val="22"/>
          <w:szCs w:val="22"/>
        </w:rPr>
      </w:pPr>
      <w:r w:rsidRPr="004A2D69">
        <w:rPr>
          <w:rFonts w:ascii="Arial" w:hAnsi="Arial" w:cs="Arial"/>
          <w:color w:val="000000" w:themeColor="text1"/>
          <w:sz w:val="22"/>
          <w:szCs w:val="22"/>
        </w:rPr>
        <w:t>Management</w:t>
      </w:r>
      <w:r w:rsidRPr="00571FDB">
        <w:rPr>
          <w:rFonts w:ascii="Arial" w:hAnsi="Arial" w:cs="Arial"/>
          <w:sz w:val="22"/>
          <w:szCs w:val="22"/>
        </w:rPr>
        <w:t xml:space="preserve"> informed that the cash bond forfeiture was recorded in the books in April 2019.</w:t>
      </w:r>
    </w:p>
    <w:p w:rsidR="00571FDB" w:rsidRPr="00571FDB" w:rsidRDefault="00571FDB" w:rsidP="00571FDB">
      <w:pPr>
        <w:pStyle w:val="ListParagraph"/>
        <w:rPr>
          <w:rFonts w:ascii="Arial" w:hAnsi="Arial" w:cs="Arial"/>
          <w:sz w:val="22"/>
          <w:szCs w:val="22"/>
        </w:rPr>
      </w:pPr>
    </w:p>
    <w:p w:rsidR="00300BCA" w:rsidRPr="002D52C7" w:rsidRDefault="00300BCA" w:rsidP="00DA78B4">
      <w:pPr>
        <w:pStyle w:val="ListParagraph"/>
        <w:numPr>
          <w:ilvl w:val="1"/>
          <w:numId w:val="22"/>
        </w:numPr>
        <w:ind w:left="1440" w:hanging="720"/>
        <w:contextualSpacing/>
        <w:jc w:val="both"/>
        <w:rPr>
          <w:rFonts w:ascii="Arial" w:hAnsi="Arial" w:cs="Arial"/>
          <w:sz w:val="22"/>
          <w:szCs w:val="22"/>
        </w:rPr>
      </w:pPr>
      <w:r w:rsidRPr="002D52C7">
        <w:rPr>
          <w:rFonts w:ascii="Arial" w:hAnsi="Arial" w:cs="Arial"/>
          <w:sz w:val="22"/>
          <w:szCs w:val="22"/>
        </w:rPr>
        <w:t xml:space="preserve">As a rejoinder, </w:t>
      </w:r>
      <w:r w:rsidR="00B07B86" w:rsidRPr="002D52C7">
        <w:rPr>
          <w:rFonts w:ascii="Arial" w:hAnsi="Arial" w:cs="Arial"/>
          <w:sz w:val="22"/>
          <w:szCs w:val="22"/>
        </w:rPr>
        <w:t xml:space="preserve">the Audit Team would like </w:t>
      </w:r>
      <w:r w:rsidR="00325359" w:rsidRPr="002D52C7">
        <w:rPr>
          <w:rFonts w:ascii="Arial" w:hAnsi="Arial" w:cs="Arial"/>
          <w:sz w:val="22"/>
          <w:szCs w:val="22"/>
        </w:rPr>
        <w:t xml:space="preserve">to </w:t>
      </w:r>
      <w:r w:rsidR="00D1287D" w:rsidRPr="002D52C7">
        <w:rPr>
          <w:rFonts w:ascii="Arial" w:hAnsi="Arial" w:cs="Arial"/>
          <w:sz w:val="22"/>
          <w:szCs w:val="22"/>
        </w:rPr>
        <w:t>reiterate</w:t>
      </w:r>
      <w:r w:rsidR="00325359" w:rsidRPr="002D52C7">
        <w:rPr>
          <w:rFonts w:ascii="Arial" w:hAnsi="Arial" w:cs="Arial"/>
          <w:sz w:val="22"/>
          <w:szCs w:val="22"/>
        </w:rPr>
        <w:t xml:space="preserve"> </w:t>
      </w:r>
      <w:r w:rsidR="00D1287D" w:rsidRPr="002D52C7">
        <w:rPr>
          <w:rFonts w:ascii="Arial" w:hAnsi="Arial" w:cs="Arial"/>
          <w:sz w:val="22"/>
          <w:szCs w:val="22"/>
        </w:rPr>
        <w:t xml:space="preserve">to </w:t>
      </w:r>
      <w:r w:rsidR="00325359" w:rsidRPr="002D52C7">
        <w:rPr>
          <w:rFonts w:ascii="Arial" w:hAnsi="Arial" w:cs="Arial"/>
          <w:sz w:val="22"/>
          <w:szCs w:val="22"/>
        </w:rPr>
        <w:t xml:space="preserve">the concerned PCSO officials that the recording of the </w:t>
      </w:r>
      <w:r w:rsidRPr="002D52C7">
        <w:rPr>
          <w:rFonts w:ascii="Arial" w:hAnsi="Arial" w:cs="Arial"/>
          <w:sz w:val="22"/>
          <w:szCs w:val="22"/>
        </w:rPr>
        <w:t>fo</w:t>
      </w:r>
      <w:r w:rsidR="00236912" w:rsidRPr="002D52C7">
        <w:rPr>
          <w:rFonts w:ascii="Arial" w:hAnsi="Arial" w:cs="Arial"/>
          <w:sz w:val="22"/>
          <w:szCs w:val="22"/>
        </w:rPr>
        <w:t>rfeited cash bond should</w:t>
      </w:r>
      <w:r w:rsidRPr="002D52C7">
        <w:rPr>
          <w:rFonts w:ascii="Arial" w:hAnsi="Arial" w:cs="Arial"/>
          <w:sz w:val="22"/>
          <w:szCs w:val="22"/>
        </w:rPr>
        <w:t xml:space="preserve"> be </w:t>
      </w:r>
      <w:r w:rsidR="00753E6F">
        <w:rPr>
          <w:rFonts w:ascii="Arial" w:hAnsi="Arial" w:cs="Arial"/>
          <w:sz w:val="22"/>
          <w:szCs w:val="22"/>
        </w:rPr>
        <w:t>accompanied</w:t>
      </w:r>
      <w:r w:rsidR="00325359" w:rsidRPr="002D52C7">
        <w:rPr>
          <w:rFonts w:ascii="Arial" w:hAnsi="Arial" w:cs="Arial"/>
          <w:sz w:val="22"/>
          <w:szCs w:val="22"/>
        </w:rPr>
        <w:t xml:space="preserve"> with the actual transfer of the forfeited amount </w:t>
      </w:r>
      <w:r w:rsidRPr="002D52C7">
        <w:rPr>
          <w:rFonts w:ascii="Arial" w:hAnsi="Arial" w:cs="Arial"/>
          <w:sz w:val="22"/>
          <w:szCs w:val="22"/>
        </w:rPr>
        <w:t>to the C</w:t>
      </w:r>
      <w:r w:rsidR="00B07B86" w:rsidRPr="002D52C7">
        <w:rPr>
          <w:rFonts w:ascii="Arial" w:hAnsi="Arial" w:cs="Arial"/>
          <w:sz w:val="22"/>
          <w:szCs w:val="22"/>
        </w:rPr>
        <w:t xml:space="preserve">harity Fund pursuant to BR No. </w:t>
      </w:r>
      <w:r w:rsidRPr="002D52C7">
        <w:rPr>
          <w:rFonts w:ascii="Arial" w:hAnsi="Arial" w:cs="Arial"/>
          <w:sz w:val="22"/>
          <w:szCs w:val="22"/>
        </w:rPr>
        <w:t>111</w:t>
      </w:r>
      <w:r w:rsidR="002D52C7">
        <w:rPr>
          <w:rFonts w:ascii="Arial" w:hAnsi="Arial" w:cs="Arial"/>
          <w:sz w:val="22"/>
          <w:szCs w:val="22"/>
        </w:rPr>
        <w:t>,</w:t>
      </w:r>
      <w:r w:rsidRPr="002D52C7">
        <w:rPr>
          <w:rFonts w:ascii="Arial" w:hAnsi="Arial" w:cs="Arial"/>
          <w:sz w:val="22"/>
          <w:szCs w:val="22"/>
        </w:rPr>
        <w:t xml:space="preserve"> series of 2018</w:t>
      </w:r>
      <w:r w:rsidR="00DC447D" w:rsidRPr="002D52C7">
        <w:rPr>
          <w:rFonts w:ascii="Arial" w:hAnsi="Arial" w:cs="Arial"/>
          <w:sz w:val="22"/>
          <w:szCs w:val="22"/>
        </w:rPr>
        <w:t>.</w:t>
      </w:r>
    </w:p>
    <w:p w:rsidR="00300BCA" w:rsidRDefault="00300BCA" w:rsidP="004C39E3">
      <w:pPr>
        <w:pStyle w:val="ListParagraph"/>
        <w:ind w:left="360"/>
        <w:rPr>
          <w:rFonts w:ascii="Arial" w:hAnsi="Arial" w:cs="Arial"/>
          <w:sz w:val="22"/>
          <w:szCs w:val="22"/>
        </w:rPr>
      </w:pPr>
    </w:p>
    <w:p w:rsidR="00300BCA" w:rsidRPr="00EF4855" w:rsidRDefault="00300BCA" w:rsidP="004C39E3">
      <w:pPr>
        <w:pStyle w:val="ListParagraph"/>
        <w:ind w:left="360"/>
        <w:rPr>
          <w:rFonts w:ascii="Arial" w:hAnsi="Arial" w:cs="Arial"/>
          <w:sz w:val="22"/>
          <w:szCs w:val="22"/>
        </w:rPr>
      </w:pPr>
    </w:p>
    <w:p w:rsidR="000D77EA" w:rsidRPr="00753E6F" w:rsidRDefault="000D77EA" w:rsidP="00DA78B4">
      <w:pPr>
        <w:pStyle w:val="ListParagraph"/>
        <w:numPr>
          <w:ilvl w:val="2"/>
          <w:numId w:val="3"/>
        </w:numPr>
        <w:ind w:left="720" w:hanging="720"/>
        <w:jc w:val="both"/>
        <w:rPr>
          <w:rFonts w:ascii="Arial" w:hAnsi="Arial" w:cs="Arial"/>
          <w:b/>
          <w:sz w:val="22"/>
          <w:szCs w:val="22"/>
        </w:rPr>
      </w:pPr>
      <w:r w:rsidRPr="00753E6F">
        <w:rPr>
          <w:rFonts w:ascii="Arial" w:hAnsi="Arial" w:cs="Arial"/>
          <w:b/>
          <w:sz w:val="22"/>
          <w:szCs w:val="22"/>
        </w:rPr>
        <w:t xml:space="preserve">The faithful representation of the </w:t>
      </w:r>
      <w:r w:rsidR="00E0604C" w:rsidRPr="00753E6F">
        <w:rPr>
          <w:rFonts w:ascii="Arial" w:hAnsi="Arial" w:cs="Arial"/>
          <w:b/>
          <w:sz w:val="22"/>
          <w:szCs w:val="22"/>
        </w:rPr>
        <w:t xml:space="preserve">balance of the </w:t>
      </w:r>
      <w:r w:rsidRPr="00753E6F">
        <w:rPr>
          <w:rFonts w:ascii="Arial" w:hAnsi="Arial" w:cs="Arial"/>
          <w:b/>
          <w:sz w:val="22"/>
          <w:szCs w:val="22"/>
        </w:rPr>
        <w:t xml:space="preserve">Due to BIR-Documentary Stamp </w:t>
      </w:r>
      <w:r w:rsidR="0006514C" w:rsidRPr="00753E6F">
        <w:rPr>
          <w:rFonts w:ascii="Arial" w:hAnsi="Arial" w:cs="Arial"/>
          <w:b/>
          <w:sz w:val="22"/>
          <w:szCs w:val="22"/>
        </w:rPr>
        <w:t>Taxes account</w:t>
      </w:r>
      <w:r w:rsidRPr="00753E6F">
        <w:rPr>
          <w:rFonts w:ascii="Arial" w:hAnsi="Arial" w:cs="Arial"/>
          <w:b/>
          <w:sz w:val="22"/>
          <w:szCs w:val="22"/>
        </w:rPr>
        <w:t xml:space="preserve"> </w:t>
      </w:r>
      <w:r w:rsidR="0006514C" w:rsidRPr="00753E6F">
        <w:rPr>
          <w:rFonts w:ascii="Arial" w:hAnsi="Arial" w:cs="Arial"/>
          <w:b/>
          <w:sz w:val="22"/>
          <w:szCs w:val="22"/>
        </w:rPr>
        <w:t>totaling</w:t>
      </w:r>
      <w:r w:rsidR="00E0604C" w:rsidRPr="00753E6F">
        <w:rPr>
          <w:rFonts w:ascii="Arial" w:hAnsi="Arial" w:cs="Arial"/>
          <w:b/>
          <w:sz w:val="22"/>
          <w:szCs w:val="22"/>
        </w:rPr>
        <w:t xml:space="preserve"> </w:t>
      </w:r>
      <w:r w:rsidRPr="00753E6F">
        <w:rPr>
          <w:rFonts w:ascii="Arial" w:hAnsi="Arial" w:cs="Arial"/>
          <w:b/>
          <w:sz w:val="22"/>
          <w:szCs w:val="22"/>
        </w:rPr>
        <w:t>P681</w:t>
      </w:r>
      <w:r w:rsidR="0006514C" w:rsidRPr="00753E6F">
        <w:rPr>
          <w:rFonts w:ascii="Arial" w:hAnsi="Arial" w:cs="Arial"/>
          <w:b/>
          <w:sz w:val="22"/>
          <w:szCs w:val="22"/>
        </w:rPr>
        <w:t>.</w:t>
      </w:r>
      <w:r w:rsidRPr="00753E6F">
        <w:rPr>
          <w:rFonts w:ascii="Arial" w:hAnsi="Arial" w:cs="Arial"/>
          <w:b/>
          <w:sz w:val="22"/>
          <w:szCs w:val="22"/>
        </w:rPr>
        <w:t>801</w:t>
      </w:r>
      <w:r w:rsidR="0006514C" w:rsidRPr="00753E6F">
        <w:rPr>
          <w:rFonts w:ascii="Arial" w:hAnsi="Arial" w:cs="Arial"/>
          <w:b/>
          <w:sz w:val="22"/>
          <w:szCs w:val="22"/>
        </w:rPr>
        <w:t xml:space="preserve"> million</w:t>
      </w:r>
      <w:r w:rsidRPr="00753E6F">
        <w:rPr>
          <w:rFonts w:ascii="Arial" w:hAnsi="Arial" w:cs="Arial"/>
          <w:b/>
          <w:sz w:val="22"/>
          <w:szCs w:val="22"/>
        </w:rPr>
        <w:t xml:space="preserve"> as </w:t>
      </w:r>
      <w:r w:rsidR="007E4B9F" w:rsidRPr="00753E6F">
        <w:rPr>
          <w:rFonts w:ascii="Arial" w:hAnsi="Arial" w:cs="Arial"/>
          <w:b/>
          <w:sz w:val="22"/>
          <w:szCs w:val="22"/>
        </w:rPr>
        <w:t>at</w:t>
      </w:r>
      <w:r w:rsidRPr="00753E6F">
        <w:rPr>
          <w:rFonts w:ascii="Arial" w:hAnsi="Arial" w:cs="Arial"/>
          <w:b/>
          <w:sz w:val="22"/>
          <w:szCs w:val="22"/>
        </w:rPr>
        <w:t xml:space="preserve"> December 31, 2018 </w:t>
      </w:r>
      <w:r w:rsidR="00A36B28" w:rsidRPr="00753E6F">
        <w:rPr>
          <w:rFonts w:ascii="Arial" w:hAnsi="Arial" w:cs="Arial"/>
          <w:b/>
          <w:sz w:val="22"/>
          <w:szCs w:val="22"/>
        </w:rPr>
        <w:t xml:space="preserve">was </w:t>
      </w:r>
      <w:r w:rsidRPr="00753E6F">
        <w:rPr>
          <w:rFonts w:ascii="Arial" w:hAnsi="Arial" w:cs="Arial"/>
          <w:b/>
          <w:sz w:val="22"/>
          <w:szCs w:val="22"/>
        </w:rPr>
        <w:t xml:space="preserve">not established due to </w:t>
      </w:r>
      <w:r w:rsidR="00A36B28" w:rsidRPr="00753E6F">
        <w:rPr>
          <w:rFonts w:ascii="Arial" w:hAnsi="Arial" w:cs="Arial"/>
          <w:b/>
          <w:sz w:val="22"/>
          <w:szCs w:val="22"/>
        </w:rPr>
        <w:t xml:space="preserve">the </w:t>
      </w:r>
      <w:r w:rsidRPr="00753E6F">
        <w:rPr>
          <w:rFonts w:ascii="Arial" w:hAnsi="Arial" w:cs="Arial"/>
          <w:b/>
          <w:sz w:val="22"/>
          <w:szCs w:val="22"/>
        </w:rPr>
        <w:t>unreconciled amount of P109</w:t>
      </w:r>
      <w:r w:rsidR="0019310E" w:rsidRPr="00753E6F">
        <w:rPr>
          <w:rFonts w:ascii="Arial" w:hAnsi="Arial" w:cs="Arial"/>
          <w:b/>
          <w:sz w:val="22"/>
          <w:szCs w:val="22"/>
        </w:rPr>
        <w:t>.</w:t>
      </w:r>
      <w:r w:rsidRPr="00753E6F">
        <w:rPr>
          <w:rFonts w:ascii="Arial" w:hAnsi="Arial" w:cs="Arial"/>
          <w:b/>
          <w:sz w:val="22"/>
          <w:szCs w:val="22"/>
        </w:rPr>
        <w:t>252</w:t>
      </w:r>
      <w:r w:rsidR="0019310E" w:rsidRPr="00753E6F">
        <w:rPr>
          <w:rFonts w:ascii="Arial" w:hAnsi="Arial" w:cs="Arial"/>
          <w:b/>
          <w:sz w:val="22"/>
          <w:szCs w:val="22"/>
        </w:rPr>
        <w:t xml:space="preserve"> million</w:t>
      </w:r>
      <w:r w:rsidR="007E4B9F" w:rsidRPr="00753E6F">
        <w:rPr>
          <w:rFonts w:ascii="Arial" w:hAnsi="Arial" w:cs="Arial"/>
          <w:b/>
          <w:sz w:val="22"/>
          <w:szCs w:val="22"/>
        </w:rPr>
        <w:t>, contrary to P</w:t>
      </w:r>
      <w:r w:rsidRPr="00753E6F">
        <w:rPr>
          <w:rFonts w:ascii="Arial" w:hAnsi="Arial" w:cs="Arial"/>
          <w:b/>
          <w:sz w:val="22"/>
          <w:szCs w:val="22"/>
        </w:rPr>
        <w:t xml:space="preserve">aragraph 15 of PAS 1. </w:t>
      </w:r>
    </w:p>
    <w:p w:rsidR="0090052A" w:rsidRPr="00753E6F" w:rsidRDefault="0090052A" w:rsidP="0090052A">
      <w:pPr>
        <w:pStyle w:val="ListParagraph"/>
        <w:jc w:val="both"/>
        <w:rPr>
          <w:rFonts w:ascii="Arial" w:hAnsi="Arial" w:cs="Arial"/>
          <w:b/>
          <w:sz w:val="22"/>
          <w:szCs w:val="22"/>
        </w:rPr>
      </w:pPr>
    </w:p>
    <w:p w:rsidR="002276DE" w:rsidRPr="00753E6F" w:rsidRDefault="002276DE" w:rsidP="00DA78B4">
      <w:pPr>
        <w:pStyle w:val="ListParagraph"/>
        <w:numPr>
          <w:ilvl w:val="0"/>
          <w:numId w:val="22"/>
        </w:numPr>
        <w:jc w:val="both"/>
        <w:rPr>
          <w:rFonts w:ascii="Arial" w:hAnsi="Arial" w:cs="Arial"/>
          <w:vanish/>
          <w:sz w:val="22"/>
          <w:szCs w:val="22"/>
        </w:rPr>
      </w:pPr>
    </w:p>
    <w:p w:rsidR="000D77EA" w:rsidRPr="00753E6F" w:rsidRDefault="000D77EA" w:rsidP="00DA78B4">
      <w:pPr>
        <w:pStyle w:val="ListParagraph"/>
        <w:numPr>
          <w:ilvl w:val="1"/>
          <w:numId w:val="22"/>
        </w:numPr>
        <w:ind w:left="1440" w:hanging="720"/>
        <w:jc w:val="both"/>
        <w:rPr>
          <w:rFonts w:ascii="Arial" w:hAnsi="Arial" w:cs="Arial"/>
          <w:sz w:val="22"/>
          <w:szCs w:val="22"/>
        </w:rPr>
      </w:pPr>
      <w:r w:rsidRPr="00753E6F">
        <w:rPr>
          <w:rFonts w:ascii="Arial" w:hAnsi="Arial" w:cs="Arial"/>
          <w:sz w:val="22"/>
          <w:szCs w:val="22"/>
        </w:rPr>
        <w:t>Paragraph 15 of the PAS</w:t>
      </w:r>
      <w:r w:rsidR="007E4B9F" w:rsidRPr="00753E6F">
        <w:rPr>
          <w:rFonts w:ascii="Arial" w:hAnsi="Arial" w:cs="Arial"/>
          <w:sz w:val="22"/>
          <w:szCs w:val="22"/>
        </w:rPr>
        <w:t xml:space="preserve"> 1</w:t>
      </w:r>
      <w:r w:rsidR="00BC00CA" w:rsidRPr="00753E6F">
        <w:rPr>
          <w:rFonts w:ascii="Arial" w:hAnsi="Arial" w:cs="Arial"/>
          <w:sz w:val="22"/>
          <w:szCs w:val="22"/>
        </w:rPr>
        <w:t>,</w:t>
      </w:r>
      <w:r w:rsidRPr="00753E6F">
        <w:rPr>
          <w:rFonts w:ascii="Arial" w:hAnsi="Arial" w:cs="Arial"/>
          <w:sz w:val="22"/>
          <w:szCs w:val="22"/>
        </w:rPr>
        <w:t xml:space="preserve"> on presentation of financial statements provides that:</w:t>
      </w:r>
    </w:p>
    <w:p w:rsidR="000D77EA" w:rsidRPr="00EF4855" w:rsidRDefault="000D77EA" w:rsidP="004C39E3">
      <w:pPr>
        <w:pStyle w:val="ListParagraph"/>
        <w:ind w:left="0" w:firstLine="349"/>
        <w:jc w:val="both"/>
        <w:rPr>
          <w:rFonts w:ascii="Arial" w:hAnsi="Arial" w:cs="Arial"/>
          <w:i/>
          <w:sz w:val="22"/>
          <w:szCs w:val="22"/>
        </w:rPr>
      </w:pPr>
    </w:p>
    <w:p w:rsidR="000D77EA" w:rsidRPr="00EF4855" w:rsidRDefault="000D77EA" w:rsidP="007E4B9F">
      <w:pPr>
        <w:spacing w:after="0" w:line="240" w:lineRule="auto"/>
        <w:ind w:left="1800" w:right="730"/>
        <w:jc w:val="both"/>
        <w:rPr>
          <w:rFonts w:ascii="Arial" w:hAnsi="Arial" w:cs="Arial"/>
          <w:i/>
        </w:rPr>
      </w:pPr>
      <w:r w:rsidRPr="00EF4855">
        <w:rPr>
          <w:rFonts w:ascii="Arial" w:hAnsi="Arial" w:cs="Arial"/>
          <w:i/>
        </w:rPr>
        <w:t>Financial statements shall present fairly the financial position, financial performance &amp; cash flows of an entity. Fair presentation requires the faithful representation of the effects of transactions, other events &amp; conditions in accordance with the definitions and recognition criteria for assets, liabilities, income and expenses set</w:t>
      </w:r>
      <w:r w:rsidR="005313E4" w:rsidRPr="00EF4855">
        <w:rPr>
          <w:rFonts w:ascii="Arial" w:hAnsi="Arial" w:cs="Arial"/>
          <w:i/>
        </w:rPr>
        <w:t xml:space="preserve"> out in the Framework. xxx.</w:t>
      </w:r>
    </w:p>
    <w:p w:rsidR="005313E4" w:rsidRPr="00EF4855" w:rsidRDefault="005313E4" w:rsidP="004C39E3">
      <w:pPr>
        <w:spacing w:after="0" w:line="240" w:lineRule="auto"/>
        <w:ind w:left="2160" w:right="730"/>
        <w:jc w:val="both"/>
        <w:rPr>
          <w:rFonts w:ascii="Arial" w:hAnsi="Arial" w:cs="Arial"/>
          <w:i/>
        </w:rPr>
      </w:pPr>
    </w:p>
    <w:p w:rsidR="000D77EA" w:rsidRPr="00EF4855" w:rsidRDefault="000D77EA" w:rsidP="00DA78B4">
      <w:pPr>
        <w:pStyle w:val="ListParagraph"/>
        <w:numPr>
          <w:ilvl w:val="1"/>
          <w:numId w:val="22"/>
        </w:numPr>
        <w:ind w:left="1440" w:hanging="720"/>
        <w:jc w:val="both"/>
        <w:rPr>
          <w:rFonts w:ascii="Arial" w:hAnsi="Arial" w:cs="Arial"/>
          <w:sz w:val="22"/>
          <w:szCs w:val="22"/>
        </w:rPr>
      </w:pPr>
      <w:r w:rsidRPr="00EF4855">
        <w:rPr>
          <w:rFonts w:ascii="Arial" w:hAnsi="Arial" w:cs="Arial"/>
          <w:sz w:val="22"/>
          <w:szCs w:val="22"/>
        </w:rPr>
        <w:t>Pursuant to existing Bureau of Internal Revenue (BIR) regulations, the PCSO withholds and remits to the BIR the Documentary Stamp Taxes (DST) on the gross retail receipts of Lotto, Small Town Lottery</w:t>
      </w:r>
      <w:r w:rsidR="00505BD1">
        <w:rPr>
          <w:rFonts w:ascii="Arial" w:hAnsi="Arial" w:cs="Arial"/>
          <w:sz w:val="22"/>
          <w:szCs w:val="22"/>
        </w:rPr>
        <w:t xml:space="preserve"> (STL)</w:t>
      </w:r>
      <w:r w:rsidRPr="00EF4855">
        <w:rPr>
          <w:rFonts w:ascii="Arial" w:hAnsi="Arial" w:cs="Arial"/>
          <w:sz w:val="22"/>
          <w:szCs w:val="22"/>
        </w:rPr>
        <w:t>, Instant Sweepstakes Program, Keno</w:t>
      </w:r>
      <w:r w:rsidR="005E10B5" w:rsidRPr="00EF4855">
        <w:rPr>
          <w:rFonts w:ascii="Arial" w:hAnsi="Arial" w:cs="Arial"/>
          <w:sz w:val="22"/>
          <w:szCs w:val="22"/>
        </w:rPr>
        <w:t>,</w:t>
      </w:r>
      <w:r w:rsidRPr="00EF4855">
        <w:rPr>
          <w:rFonts w:ascii="Arial" w:hAnsi="Arial" w:cs="Arial"/>
          <w:sz w:val="22"/>
          <w:szCs w:val="22"/>
        </w:rPr>
        <w:t xml:space="preserve"> and Sweepstakes.  The BIR requires that the DST be filed and paid within (5) days after the close of the month. The amount</w:t>
      </w:r>
      <w:r w:rsidR="00BC00CA">
        <w:rPr>
          <w:rFonts w:ascii="Arial" w:hAnsi="Arial" w:cs="Arial"/>
          <w:sz w:val="22"/>
          <w:szCs w:val="22"/>
        </w:rPr>
        <w:t>s</w:t>
      </w:r>
      <w:r w:rsidRPr="00EF4855">
        <w:rPr>
          <w:rFonts w:ascii="Arial" w:hAnsi="Arial" w:cs="Arial"/>
          <w:sz w:val="22"/>
          <w:szCs w:val="22"/>
        </w:rPr>
        <w:t xml:space="preserve"> of DST withheld and remitted were recorded by the Accounting and Budget Department (ABD) under the Due to BIR – DST account.  Therefore, the balance of the said account as </w:t>
      </w:r>
      <w:r w:rsidR="00505BD1">
        <w:rPr>
          <w:rFonts w:ascii="Arial" w:hAnsi="Arial" w:cs="Arial"/>
          <w:sz w:val="22"/>
          <w:szCs w:val="22"/>
        </w:rPr>
        <w:t>at</w:t>
      </w:r>
      <w:r w:rsidRPr="00EF4855">
        <w:rPr>
          <w:rFonts w:ascii="Arial" w:hAnsi="Arial" w:cs="Arial"/>
          <w:sz w:val="22"/>
          <w:szCs w:val="22"/>
        </w:rPr>
        <w:t xml:space="preserve"> December 31, 2018 should only pertain to the unremitted DST for the month of December </w:t>
      </w:r>
      <w:r w:rsidR="005E10B5" w:rsidRPr="00EF4855">
        <w:rPr>
          <w:rFonts w:ascii="Arial" w:hAnsi="Arial" w:cs="Arial"/>
          <w:sz w:val="22"/>
          <w:szCs w:val="22"/>
        </w:rPr>
        <w:t>2018 that</w:t>
      </w:r>
      <w:r w:rsidRPr="00EF4855">
        <w:rPr>
          <w:rFonts w:ascii="Arial" w:hAnsi="Arial" w:cs="Arial"/>
          <w:sz w:val="22"/>
          <w:szCs w:val="22"/>
        </w:rPr>
        <w:t xml:space="preserve"> was supposed to be remitted to the BIR </w:t>
      </w:r>
      <w:r w:rsidR="00505BD1">
        <w:rPr>
          <w:rFonts w:ascii="Arial" w:hAnsi="Arial" w:cs="Arial"/>
          <w:sz w:val="22"/>
          <w:szCs w:val="22"/>
        </w:rPr>
        <w:t>i</w:t>
      </w:r>
      <w:r w:rsidRPr="00EF4855">
        <w:rPr>
          <w:rFonts w:ascii="Arial" w:hAnsi="Arial" w:cs="Arial"/>
          <w:sz w:val="22"/>
          <w:szCs w:val="22"/>
        </w:rPr>
        <w:t>n January of the following year.</w:t>
      </w:r>
    </w:p>
    <w:p w:rsidR="000D77EA" w:rsidRPr="00EF4855" w:rsidRDefault="000D77EA" w:rsidP="004C39E3">
      <w:pPr>
        <w:pStyle w:val="ListParagraph"/>
        <w:rPr>
          <w:rFonts w:ascii="Arial" w:hAnsi="Arial" w:cs="Arial"/>
          <w:sz w:val="22"/>
          <w:szCs w:val="22"/>
        </w:rPr>
      </w:pPr>
    </w:p>
    <w:p w:rsidR="000D77EA" w:rsidRPr="00505BD1" w:rsidRDefault="000D77EA" w:rsidP="00DA78B4">
      <w:pPr>
        <w:pStyle w:val="ListParagraph"/>
        <w:numPr>
          <w:ilvl w:val="1"/>
          <w:numId w:val="22"/>
        </w:numPr>
        <w:ind w:left="1440" w:hanging="720"/>
        <w:jc w:val="both"/>
        <w:rPr>
          <w:rFonts w:ascii="Arial" w:hAnsi="Arial" w:cs="Arial"/>
          <w:sz w:val="22"/>
          <w:szCs w:val="22"/>
          <w:lang w:val="en-PH"/>
        </w:rPr>
      </w:pPr>
      <w:r w:rsidRPr="00505BD1">
        <w:rPr>
          <w:rFonts w:ascii="Arial" w:hAnsi="Arial" w:cs="Arial"/>
          <w:sz w:val="22"/>
          <w:szCs w:val="22"/>
        </w:rPr>
        <w:lastRenderedPageBreak/>
        <w:t>Review</w:t>
      </w:r>
      <w:r w:rsidRPr="00505BD1">
        <w:rPr>
          <w:rFonts w:ascii="Arial" w:hAnsi="Arial" w:cs="Arial"/>
          <w:sz w:val="22"/>
          <w:szCs w:val="22"/>
          <w:lang w:val="en-PH"/>
        </w:rPr>
        <w:t xml:space="preserve"> of accounting records revealed that the unremitted DST pertaining to the lotto, keno, STL, ISP and Sweepstakes retail receipts for CY 2018 was only P572</w:t>
      </w:r>
      <w:r w:rsidR="0019310E" w:rsidRPr="00505BD1">
        <w:rPr>
          <w:rFonts w:ascii="Arial" w:hAnsi="Arial" w:cs="Arial"/>
          <w:sz w:val="22"/>
          <w:szCs w:val="22"/>
          <w:lang w:val="en-PH"/>
        </w:rPr>
        <w:t>.</w:t>
      </w:r>
      <w:r w:rsidRPr="00505BD1">
        <w:rPr>
          <w:rFonts w:ascii="Arial" w:hAnsi="Arial" w:cs="Arial"/>
          <w:sz w:val="22"/>
          <w:szCs w:val="22"/>
          <w:lang w:val="en-PH"/>
        </w:rPr>
        <w:t>548</w:t>
      </w:r>
      <w:r w:rsidR="0019310E" w:rsidRPr="00505BD1">
        <w:rPr>
          <w:rFonts w:ascii="Arial" w:hAnsi="Arial" w:cs="Arial"/>
          <w:sz w:val="22"/>
          <w:szCs w:val="22"/>
          <w:lang w:val="en-PH"/>
        </w:rPr>
        <w:t xml:space="preserve"> million</w:t>
      </w:r>
      <w:r w:rsidRPr="00505BD1">
        <w:rPr>
          <w:rFonts w:ascii="Arial" w:hAnsi="Arial" w:cs="Arial"/>
          <w:sz w:val="22"/>
          <w:szCs w:val="22"/>
          <w:lang w:val="en-PH"/>
        </w:rPr>
        <w:t xml:space="preserve">. </w:t>
      </w:r>
      <w:r w:rsidRPr="00505BD1">
        <w:rPr>
          <w:rFonts w:ascii="Arial" w:hAnsi="Arial" w:cs="Arial"/>
          <w:sz w:val="22"/>
          <w:szCs w:val="22"/>
        </w:rPr>
        <w:t>Verification, however, disclosed that the balance of the subject account as of December 31, 2018 was P681</w:t>
      </w:r>
      <w:r w:rsidR="0019310E" w:rsidRPr="00505BD1">
        <w:rPr>
          <w:rFonts w:ascii="Arial" w:hAnsi="Arial" w:cs="Arial"/>
          <w:sz w:val="22"/>
          <w:szCs w:val="22"/>
        </w:rPr>
        <w:t>.</w:t>
      </w:r>
      <w:r w:rsidRPr="00505BD1">
        <w:rPr>
          <w:rFonts w:ascii="Arial" w:hAnsi="Arial" w:cs="Arial"/>
          <w:sz w:val="22"/>
          <w:szCs w:val="22"/>
        </w:rPr>
        <w:t>801</w:t>
      </w:r>
      <w:r w:rsidR="0019310E" w:rsidRPr="00505BD1">
        <w:rPr>
          <w:rFonts w:ascii="Arial" w:hAnsi="Arial" w:cs="Arial"/>
          <w:sz w:val="22"/>
          <w:szCs w:val="22"/>
        </w:rPr>
        <w:t xml:space="preserve"> million</w:t>
      </w:r>
      <w:r w:rsidRPr="00505BD1">
        <w:rPr>
          <w:rFonts w:ascii="Arial" w:hAnsi="Arial" w:cs="Arial"/>
          <w:sz w:val="22"/>
          <w:szCs w:val="22"/>
        </w:rPr>
        <w:t xml:space="preserve">, or a difference of </w:t>
      </w:r>
      <w:r w:rsidRPr="00505BD1">
        <w:rPr>
          <w:rFonts w:ascii="Arial" w:hAnsi="Arial" w:cs="Arial"/>
          <w:sz w:val="22"/>
          <w:szCs w:val="22"/>
          <w:lang w:val="en-PH"/>
        </w:rPr>
        <w:t>P109</w:t>
      </w:r>
      <w:r w:rsidR="0019310E" w:rsidRPr="00505BD1">
        <w:rPr>
          <w:rFonts w:ascii="Arial" w:hAnsi="Arial" w:cs="Arial"/>
          <w:sz w:val="22"/>
          <w:szCs w:val="22"/>
          <w:lang w:val="en-PH"/>
        </w:rPr>
        <w:t>.</w:t>
      </w:r>
      <w:r w:rsidRPr="00505BD1">
        <w:rPr>
          <w:rFonts w:ascii="Arial" w:hAnsi="Arial" w:cs="Arial"/>
          <w:sz w:val="22"/>
          <w:szCs w:val="22"/>
          <w:lang w:val="en-PH"/>
        </w:rPr>
        <w:t>252</w:t>
      </w:r>
      <w:r w:rsidR="0019310E" w:rsidRPr="00505BD1">
        <w:rPr>
          <w:rFonts w:ascii="Arial" w:hAnsi="Arial" w:cs="Arial"/>
          <w:sz w:val="22"/>
          <w:szCs w:val="22"/>
          <w:lang w:val="en-PH"/>
        </w:rPr>
        <w:t xml:space="preserve"> million</w:t>
      </w:r>
      <w:r w:rsidRPr="00505BD1">
        <w:rPr>
          <w:rFonts w:ascii="Arial" w:hAnsi="Arial" w:cs="Arial"/>
          <w:sz w:val="22"/>
          <w:szCs w:val="22"/>
          <w:lang w:val="en-PH"/>
        </w:rPr>
        <w:t xml:space="preserve">. The ABD informed </w:t>
      </w:r>
      <w:r w:rsidR="00894DF3" w:rsidRPr="00505BD1">
        <w:rPr>
          <w:rFonts w:ascii="Arial" w:hAnsi="Arial" w:cs="Arial"/>
          <w:sz w:val="22"/>
          <w:szCs w:val="22"/>
          <w:lang w:val="en-PH"/>
        </w:rPr>
        <w:t xml:space="preserve">the </w:t>
      </w:r>
      <w:r w:rsidR="00680A31" w:rsidRPr="00505BD1">
        <w:rPr>
          <w:rFonts w:ascii="Arial" w:hAnsi="Arial" w:cs="Arial"/>
          <w:sz w:val="22"/>
          <w:szCs w:val="22"/>
          <w:lang w:val="en-PH"/>
        </w:rPr>
        <w:t>Audit Team</w:t>
      </w:r>
      <w:r w:rsidR="00894DF3" w:rsidRPr="00505BD1">
        <w:rPr>
          <w:rFonts w:ascii="Arial" w:hAnsi="Arial" w:cs="Arial"/>
          <w:sz w:val="22"/>
          <w:szCs w:val="22"/>
          <w:lang w:val="en-PH"/>
        </w:rPr>
        <w:t xml:space="preserve"> </w:t>
      </w:r>
      <w:r w:rsidRPr="00505BD1">
        <w:rPr>
          <w:rFonts w:ascii="Arial" w:hAnsi="Arial" w:cs="Arial"/>
          <w:sz w:val="22"/>
          <w:szCs w:val="22"/>
          <w:lang w:val="en-PH"/>
        </w:rPr>
        <w:t xml:space="preserve">during inquiry that the cause/s of </w:t>
      </w:r>
      <w:r w:rsidR="0019310E" w:rsidRPr="00505BD1">
        <w:rPr>
          <w:rFonts w:ascii="Arial" w:hAnsi="Arial" w:cs="Arial"/>
          <w:sz w:val="22"/>
          <w:szCs w:val="22"/>
          <w:lang w:val="en-PH"/>
        </w:rPr>
        <w:t xml:space="preserve">said </w:t>
      </w:r>
      <w:r w:rsidRPr="00505BD1">
        <w:rPr>
          <w:rFonts w:ascii="Arial" w:hAnsi="Arial" w:cs="Arial"/>
          <w:sz w:val="22"/>
          <w:szCs w:val="22"/>
          <w:lang w:val="en-PH"/>
        </w:rPr>
        <w:t>discrepancy cannot be determined yet.</w:t>
      </w:r>
    </w:p>
    <w:p w:rsidR="000D77EA" w:rsidRPr="00EF4855" w:rsidRDefault="000D77EA" w:rsidP="004C39E3">
      <w:pPr>
        <w:pStyle w:val="ListParagraph"/>
        <w:rPr>
          <w:rFonts w:ascii="Arial" w:hAnsi="Arial" w:cs="Arial"/>
          <w:sz w:val="22"/>
          <w:szCs w:val="22"/>
          <w:lang w:val="en-PH"/>
        </w:rPr>
      </w:pPr>
    </w:p>
    <w:p w:rsidR="000D77EA" w:rsidRPr="00EF4855" w:rsidRDefault="00202148" w:rsidP="00DA78B4">
      <w:pPr>
        <w:pStyle w:val="ListParagraph"/>
        <w:numPr>
          <w:ilvl w:val="1"/>
          <w:numId w:val="22"/>
        </w:numPr>
        <w:ind w:left="1440" w:hanging="720"/>
        <w:jc w:val="both"/>
        <w:rPr>
          <w:rFonts w:ascii="Arial" w:hAnsi="Arial" w:cs="Arial"/>
          <w:sz w:val="22"/>
          <w:szCs w:val="22"/>
          <w:lang w:val="en-PH"/>
        </w:rPr>
      </w:pPr>
      <w:r w:rsidRPr="00EF4855">
        <w:rPr>
          <w:rFonts w:ascii="Arial" w:hAnsi="Arial" w:cs="Arial"/>
          <w:sz w:val="22"/>
          <w:szCs w:val="22"/>
          <w:lang w:val="en-PH"/>
        </w:rPr>
        <w:t xml:space="preserve">The existence of </w:t>
      </w:r>
      <w:r w:rsidR="00236912">
        <w:rPr>
          <w:rFonts w:ascii="Arial" w:hAnsi="Arial" w:cs="Arial"/>
          <w:sz w:val="22"/>
          <w:szCs w:val="22"/>
          <w:lang w:val="en-PH"/>
        </w:rPr>
        <w:t xml:space="preserve">a </w:t>
      </w:r>
      <w:r w:rsidRPr="00EF4855">
        <w:rPr>
          <w:rFonts w:ascii="Arial" w:hAnsi="Arial" w:cs="Arial"/>
          <w:sz w:val="22"/>
          <w:szCs w:val="22"/>
          <w:lang w:val="en-PH"/>
        </w:rPr>
        <w:t>variance of P109</w:t>
      </w:r>
      <w:r w:rsidR="0019310E" w:rsidRPr="00EF4855">
        <w:rPr>
          <w:rFonts w:ascii="Arial" w:hAnsi="Arial" w:cs="Arial"/>
          <w:sz w:val="22"/>
          <w:szCs w:val="22"/>
          <w:lang w:val="en-PH"/>
        </w:rPr>
        <w:t>.</w:t>
      </w:r>
      <w:r w:rsidRPr="00EF4855">
        <w:rPr>
          <w:rFonts w:ascii="Arial" w:hAnsi="Arial" w:cs="Arial"/>
          <w:sz w:val="22"/>
          <w:szCs w:val="22"/>
          <w:lang w:val="en-PH"/>
        </w:rPr>
        <w:t>252</w:t>
      </w:r>
      <w:r w:rsidR="0019310E" w:rsidRPr="00EF4855">
        <w:rPr>
          <w:rFonts w:ascii="Arial" w:hAnsi="Arial" w:cs="Arial"/>
          <w:sz w:val="22"/>
          <w:szCs w:val="22"/>
          <w:lang w:val="en-PH"/>
        </w:rPr>
        <w:t xml:space="preserve"> million </w:t>
      </w:r>
      <w:r w:rsidRPr="00EF4855">
        <w:rPr>
          <w:rFonts w:ascii="Arial" w:hAnsi="Arial" w:cs="Arial"/>
          <w:sz w:val="22"/>
          <w:szCs w:val="22"/>
        </w:rPr>
        <w:t xml:space="preserve">was not </w:t>
      </w:r>
      <w:r w:rsidRPr="00EF4855">
        <w:rPr>
          <w:rFonts w:ascii="Arial" w:hAnsi="Arial" w:cs="Arial"/>
          <w:sz w:val="22"/>
          <w:szCs w:val="22"/>
          <w:lang w:val="en-PH"/>
        </w:rPr>
        <w:t>in accordance with the provision of Paragraph 15 of PAS 1 and was providing misleading and inaccurate information to the users of the financial statements of the PCSO, hence</w:t>
      </w:r>
      <w:r w:rsidR="00823448">
        <w:rPr>
          <w:rFonts w:ascii="Arial" w:hAnsi="Arial" w:cs="Arial"/>
          <w:sz w:val="22"/>
          <w:szCs w:val="22"/>
          <w:lang w:val="en-PH"/>
        </w:rPr>
        <w:t>,</w:t>
      </w:r>
      <w:r w:rsidRPr="00EF4855">
        <w:rPr>
          <w:rFonts w:ascii="Arial" w:hAnsi="Arial" w:cs="Arial"/>
          <w:sz w:val="22"/>
          <w:szCs w:val="22"/>
          <w:lang w:val="en-PH"/>
        </w:rPr>
        <w:t xml:space="preserve"> the year-end balance of the Due to BIR – DST in the amount of P</w:t>
      </w:r>
      <w:r w:rsidRPr="00EF4855">
        <w:rPr>
          <w:rFonts w:ascii="Arial" w:hAnsi="Arial" w:cs="Arial"/>
          <w:sz w:val="22"/>
          <w:szCs w:val="22"/>
        </w:rPr>
        <w:t>681</w:t>
      </w:r>
      <w:r w:rsidR="0019310E" w:rsidRPr="00EF4855">
        <w:rPr>
          <w:rFonts w:ascii="Arial" w:hAnsi="Arial" w:cs="Arial"/>
          <w:sz w:val="22"/>
          <w:szCs w:val="22"/>
        </w:rPr>
        <w:t>.</w:t>
      </w:r>
      <w:r w:rsidRPr="00EF4855">
        <w:rPr>
          <w:rFonts w:ascii="Arial" w:hAnsi="Arial" w:cs="Arial"/>
          <w:sz w:val="22"/>
          <w:szCs w:val="22"/>
        </w:rPr>
        <w:t>801</w:t>
      </w:r>
      <w:r w:rsidR="0019310E" w:rsidRPr="00EF4855">
        <w:rPr>
          <w:rFonts w:ascii="Arial" w:hAnsi="Arial" w:cs="Arial"/>
          <w:sz w:val="22"/>
          <w:szCs w:val="22"/>
        </w:rPr>
        <w:t xml:space="preserve"> million</w:t>
      </w:r>
      <w:r w:rsidRPr="00EF4855">
        <w:rPr>
          <w:rFonts w:ascii="Arial" w:hAnsi="Arial" w:cs="Arial"/>
          <w:sz w:val="22"/>
          <w:szCs w:val="22"/>
        </w:rPr>
        <w:t xml:space="preserve"> </w:t>
      </w:r>
      <w:r w:rsidR="000D77EA" w:rsidRPr="00EF4855">
        <w:rPr>
          <w:rFonts w:ascii="Arial" w:hAnsi="Arial" w:cs="Arial"/>
          <w:sz w:val="22"/>
          <w:szCs w:val="22"/>
          <w:lang w:val="en-PH"/>
        </w:rPr>
        <w:t xml:space="preserve">was not fairly presented in the financial statements as </w:t>
      </w:r>
      <w:r w:rsidR="00505BD1">
        <w:rPr>
          <w:rFonts w:ascii="Arial" w:hAnsi="Arial" w:cs="Arial"/>
          <w:sz w:val="22"/>
          <w:szCs w:val="22"/>
          <w:lang w:val="en-PH"/>
        </w:rPr>
        <w:t>at</w:t>
      </w:r>
      <w:r w:rsidR="000D77EA" w:rsidRPr="00EF4855">
        <w:rPr>
          <w:rFonts w:ascii="Arial" w:hAnsi="Arial" w:cs="Arial"/>
          <w:sz w:val="22"/>
          <w:szCs w:val="22"/>
          <w:lang w:val="en-PH"/>
        </w:rPr>
        <w:t xml:space="preserve"> December 31, 2018.</w:t>
      </w:r>
    </w:p>
    <w:p w:rsidR="000D77EA" w:rsidRPr="00EF4855" w:rsidRDefault="000D77EA" w:rsidP="004C39E3">
      <w:pPr>
        <w:spacing w:after="0" w:line="240" w:lineRule="auto"/>
        <w:ind w:firstLine="720"/>
        <w:jc w:val="both"/>
        <w:rPr>
          <w:rFonts w:ascii="Arial" w:hAnsi="Arial" w:cs="Arial"/>
        </w:rPr>
      </w:pPr>
    </w:p>
    <w:p w:rsidR="000D77EA" w:rsidRPr="00EF4855" w:rsidRDefault="000D77EA" w:rsidP="00DA78B4">
      <w:pPr>
        <w:pStyle w:val="ListParagraph"/>
        <w:numPr>
          <w:ilvl w:val="1"/>
          <w:numId w:val="22"/>
        </w:numPr>
        <w:ind w:left="1440" w:hanging="720"/>
        <w:jc w:val="both"/>
        <w:rPr>
          <w:rFonts w:ascii="Arial" w:hAnsi="Arial" w:cs="Arial"/>
          <w:b/>
          <w:sz w:val="22"/>
          <w:szCs w:val="22"/>
        </w:rPr>
      </w:pPr>
      <w:r w:rsidRPr="00D208BF">
        <w:rPr>
          <w:rFonts w:ascii="Arial" w:hAnsi="Arial" w:cs="Arial"/>
          <w:b/>
          <w:sz w:val="22"/>
          <w:szCs w:val="22"/>
          <w:lang w:val="en-PH"/>
        </w:rPr>
        <w:t>We</w:t>
      </w:r>
      <w:r w:rsidRPr="00EF4855">
        <w:rPr>
          <w:rFonts w:ascii="Arial" w:hAnsi="Arial" w:cs="Arial"/>
          <w:b/>
          <w:sz w:val="22"/>
          <w:szCs w:val="22"/>
        </w:rPr>
        <w:t xml:space="preserve"> recommended </w:t>
      </w:r>
      <w:r w:rsidR="002D2A6F" w:rsidRPr="00EF4855">
        <w:rPr>
          <w:rFonts w:ascii="Arial" w:hAnsi="Arial" w:cs="Arial"/>
          <w:b/>
          <w:sz w:val="22"/>
          <w:szCs w:val="22"/>
        </w:rPr>
        <w:t xml:space="preserve">and </w:t>
      </w:r>
      <w:r w:rsidRPr="00EF4855">
        <w:rPr>
          <w:rFonts w:ascii="Arial" w:hAnsi="Arial" w:cs="Arial"/>
          <w:b/>
          <w:sz w:val="22"/>
          <w:szCs w:val="22"/>
        </w:rPr>
        <w:t>Management</w:t>
      </w:r>
      <w:r w:rsidR="00351CC5" w:rsidRPr="00EF4855">
        <w:rPr>
          <w:rFonts w:ascii="Arial" w:hAnsi="Arial" w:cs="Arial"/>
          <w:b/>
          <w:sz w:val="22"/>
          <w:szCs w:val="22"/>
        </w:rPr>
        <w:t xml:space="preserve"> agreed</w:t>
      </w:r>
      <w:r w:rsidRPr="00EF4855">
        <w:rPr>
          <w:rFonts w:ascii="Arial" w:hAnsi="Arial" w:cs="Arial"/>
          <w:b/>
          <w:sz w:val="22"/>
          <w:szCs w:val="22"/>
        </w:rPr>
        <w:t xml:space="preserve"> </w:t>
      </w:r>
      <w:r w:rsidR="002D2A6F" w:rsidRPr="00EF4855">
        <w:rPr>
          <w:rFonts w:ascii="Arial" w:hAnsi="Arial" w:cs="Arial"/>
          <w:b/>
          <w:sz w:val="22"/>
          <w:szCs w:val="22"/>
        </w:rPr>
        <w:t xml:space="preserve">to </w:t>
      </w:r>
      <w:r w:rsidRPr="00EF4855">
        <w:rPr>
          <w:rFonts w:ascii="Arial" w:hAnsi="Arial" w:cs="Arial"/>
          <w:b/>
          <w:sz w:val="22"/>
          <w:szCs w:val="22"/>
        </w:rPr>
        <w:t xml:space="preserve">direct the concerned accounting personnel to conduct immediate reconciliation/analysis of the transactions affecting the Due to BIR-DST account in order to determine the cause/s of the material </w:t>
      </w:r>
      <w:r w:rsidR="002D2A6F" w:rsidRPr="00EF4855">
        <w:rPr>
          <w:rFonts w:ascii="Arial" w:hAnsi="Arial" w:cs="Arial"/>
          <w:b/>
          <w:sz w:val="22"/>
          <w:szCs w:val="22"/>
        </w:rPr>
        <w:t>discrepancy</w:t>
      </w:r>
      <w:r w:rsidRPr="00EF4855">
        <w:rPr>
          <w:rFonts w:ascii="Arial" w:hAnsi="Arial" w:cs="Arial"/>
          <w:b/>
          <w:sz w:val="22"/>
          <w:szCs w:val="22"/>
        </w:rPr>
        <w:t xml:space="preserve"> of P109</w:t>
      </w:r>
      <w:r w:rsidR="009B42A3" w:rsidRPr="00EF4855">
        <w:rPr>
          <w:rFonts w:ascii="Arial" w:hAnsi="Arial" w:cs="Arial"/>
          <w:b/>
          <w:sz w:val="22"/>
          <w:szCs w:val="22"/>
        </w:rPr>
        <w:t>.</w:t>
      </w:r>
      <w:r w:rsidRPr="00EF4855">
        <w:rPr>
          <w:rFonts w:ascii="Arial" w:hAnsi="Arial" w:cs="Arial"/>
          <w:b/>
          <w:sz w:val="22"/>
          <w:szCs w:val="22"/>
        </w:rPr>
        <w:t>252</w:t>
      </w:r>
      <w:r w:rsidR="009B42A3" w:rsidRPr="00EF4855">
        <w:rPr>
          <w:rFonts w:ascii="Arial" w:hAnsi="Arial" w:cs="Arial"/>
          <w:b/>
          <w:sz w:val="22"/>
          <w:szCs w:val="22"/>
        </w:rPr>
        <w:t xml:space="preserve"> million</w:t>
      </w:r>
      <w:r w:rsidRPr="00EF4855">
        <w:rPr>
          <w:rFonts w:ascii="Arial" w:hAnsi="Arial" w:cs="Arial"/>
          <w:b/>
          <w:sz w:val="22"/>
          <w:szCs w:val="22"/>
        </w:rPr>
        <w:t>.  Thereafter, effect the necessary adjusting entries so that the balance of the said account shall reflect a faithful representation of the effects of transactions in accordance with Paragraph 15 of PAS 1.</w:t>
      </w:r>
    </w:p>
    <w:p w:rsidR="00826544" w:rsidRDefault="00826544" w:rsidP="004C39E3">
      <w:pPr>
        <w:pStyle w:val="ListParagraph"/>
        <w:rPr>
          <w:rFonts w:ascii="Arial" w:hAnsi="Arial" w:cs="Arial"/>
          <w:sz w:val="22"/>
          <w:szCs w:val="22"/>
        </w:rPr>
      </w:pPr>
    </w:p>
    <w:p w:rsidR="00753E6F" w:rsidRDefault="00753E6F" w:rsidP="004C39E3">
      <w:pPr>
        <w:spacing w:after="0" w:line="240" w:lineRule="auto"/>
        <w:rPr>
          <w:rFonts w:ascii="Arial" w:hAnsi="Arial" w:cs="Arial"/>
          <w:b/>
        </w:rPr>
      </w:pPr>
    </w:p>
    <w:p w:rsidR="00FD6CEE" w:rsidRPr="00EF4855" w:rsidRDefault="00943886" w:rsidP="004C39E3">
      <w:pPr>
        <w:spacing w:after="0" w:line="240" w:lineRule="auto"/>
        <w:rPr>
          <w:rFonts w:ascii="Arial" w:hAnsi="Arial" w:cs="Arial"/>
          <w:b/>
        </w:rPr>
      </w:pPr>
      <w:r w:rsidRPr="00EF4855">
        <w:rPr>
          <w:rFonts w:ascii="Arial" w:hAnsi="Arial" w:cs="Arial"/>
          <w:b/>
        </w:rPr>
        <w:t>Instant Sweepstakes Program</w:t>
      </w:r>
      <w:r w:rsidR="00B84B5B" w:rsidRPr="00EF4855">
        <w:rPr>
          <w:rFonts w:ascii="Arial" w:hAnsi="Arial" w:cs="Arial"/>
          <w:b/>
        </w:rPr>
        <w:t xml:space="preserve"> (ISP)</w:t>
      </w:r>
    </w:p>
    <w:p w:rsidR="00943886" w:rsidRPr="002276DE" w:rsidRDefault="00943886" w:rsidP="004C39E3">
      <w:pPr>
        <w:pStyle w:val="ListParagraph"/>
        <w:ind w:left="360"/>
        <w:rPr>
          <w:rFonts w:ascii="Arial" w:hAnsi="Arial" w:cs="Arial"/>
          <w:sz w:val="22"/>
          <w:szCs w:val="22"/>
        </w:rPr>
      </w:pPr>
    </w:p>
    <w:p w:rsidR="00943886" w:rsidRPr="00505BD1" w:rsidRDefault="00943886" w:rsidP="00DA78B4">
      <w:pPr>
        <w:pStyle w:val="ListParagraph"/>
        <w:numPr>
          <w:ilvl w:val="0"/>
          <w:numId w:val="22"/>
        </w:numPr>
        <w:ind w:left="720" w:hanging="720"/>
        <w:jc w:val="both"/>
        <w:rPr>
          <w:rFonts w:ascii="Arial" w:hAnsi="Arial" w:cs="Arial"/>
          <w:b/>
        </w:rPr>
      </w:pPr>
      <w:r w:rsidRPr="00505BD1">
        <w:rPr>
          <w:rFonts w:ascii="Arial" w:hAnsi="Arial" w:cs="Arial"/>
          <w:b/>
          <w:sz w:val="22"/>
          <w:szCs w:val="22"/>
        </w:rPr>
        <w:t xml:space="preserve">PCSO recognized in its books the full amount of CY 2018 retail receipts generated by the </w:t>
      </w:r>
      <w:r w:rsidR="0062797D" w:rsidRPr="00505BD1">
        <w:rPr>
          <w:rFonts w:ascii="Arial" w:hAnsi="Arial" w:cs="Arial"/>
          <w:b/>
          <w:sz w:val="22"/>
          <w:szCs w:val="22"/>
        </w:rPr>
        <w:t>Instant Sweepstakes Authorized Corporation (</w:t>
      </w:r>
      <w:r w:rsidRPr="00505BD1">
        <w:rPr>
          <w:rFonts w:ascii="Arial" w:hAnsi="Arial" w:cs="Arial"/>
          <w:b/>
          <w:sz w:val="22"/>
          <w:szCs w:val="22"/>
        </w:rPr>
        <w:t>ISAC</w:t>
      </w:r>
      <w:r w:rsidR="0062797D" w:rsidRPr="00505BD1">
        <w:rPr>
          <w:rFonts w:ascii="Arial" w:hAnsi="Arial" w:cs="Arial"/>
          <w:b/>
          <w:sz w:val="22"/>
          <w:szCs w:val="22"/>
        </w:rPr>
        <w:t>)</w:t>
      </w:r>
      <w:r w:rsidRPr="00505BD1">
        <w:rPr>
          <w:rFonts w:ascii="Arial" w:hAnsi="Arial" w:cs="Arial"/>
          <w:b/>
          <w:sz w:val="22"/>
          <w:szCs w:val="22"/>
        </w:rPr>
        <w:t xml:space="preserve"> </w:t>
      </w:r>
      <w:r w:rsidR="002C7DBD" w:rsidRPr="00505BD1">
        <w:rPr>
          <w:rFonts w:ascii="Arial" w:hAnsi="Arial" w:cs="Arial"/>
          <w:b/>
          <w:sz w:val="22"/>
          <w:szCs w:val="22"/>
        </w:rPr>
        <w:t>in the amount of P1</w:t>
      </w:r>
      <w:r w:rsidR="00D17F48" w:rsidRPr="00505BD1">
        <w:rPr>
          <w:rFonts w:ascii="Arial" w:hAnsi="Arial" w:cs="Arial"/>
          <w:b/>
          <w:sz w:val="22"/>
          <w:szCs w:val="22"/>
        </w:rPr>
        <w:t>.</w:t>
      </w:r>
      <w:r w:rsidR="002C7DBD" w:rsidRPr="00505BD1">
        <w:rPr>
          <w:rFonts w:ascii="Arial" w:hAnsi="Arial" w:cs="Arial"/>
          <w:b/>
          <w:sz w:val="22"/>
          <w:szCs w:val="22"/>
        </w:rPr>
        <w:t>149</w:t>
      </w:r>
      <w:r w:rsidR="00D17F48" w:rsidRPr="00505BD1">
        <w:rPr>
          <w:rFonts w:ascii="Arial" w:hAnsi="Arial" w:cs="Arial"/>
          <w:b/>
          <w:sz w:val="22"/>
          <w:szCs w:val="22"/>
        </w:rPr>
        <w:t xml:space="preserve"> billion</w:t>
      </w:r>
      <w:r w:rsidR="002C7DBD" w:rsidRPr="00505BD1">
        <w:rPr>
          <w:rFonts w:ascii="Arial" w:hAnsi="Arial" w:cs="Arial"/>
          <w:b/>
          <w:sz w:val="22"/>
          <w:szCs w:val="22"/>
        </w:rPr>
        <w:t xml:space="preserve"> </w:t>
      </w:r>
      <w:r w:rsidR="00517962" w:rsidRPr="00505BD1">
        <w:rPr>
          <w:rFonts w:ascii="Arial" w:hAnsi="Arial" w:cs="Arial"/>
          <w:b/>
          <w:sz w:val="22"/>
          <w:szCs w:val="22"/>
        </w:rPr>
        <w:t>despite the fact that only 13 per cent</w:t>
      </w:r>
      <w:r w:rsidRPr="00505BD1">
        <w:rPr>
          <w:rFonts w:ascii="Arial" w:hAnsi="Arial" w:cs="Arial"/>
          <w:b/>
          <w:sz w:val="22"/>
          <w:szCs w:val="22"/>
        </w:rPr>
        <w:t xml:space="preserve"> of the ISAC’s gross receipts accrue to the PCSO as guaranteed share, which was tantamount to misrepresentation of the actual revenues derived from the ISP, contrary to PAS 1 and Par</w:t>
      </w:r>
      <w:r w:rsidR="00505BD1">
        <w:rPr>
          <w:rFonts w:ascii="Arial" w:hAnsi="Arial" w:cs="Arial"/>
          <w:b/>
          <w:sz w:val="22"/>
          <w:szCs w:val="22"/>
        </w:rPr>
        <w:t>agraph</w:t>
      </w:r>
      <w:r w:rsidRPr="00505BD1">
        <w:rPr>
          <w:rFonts w:ascii="Arial" w:hAnsi="Arial" w:cs="Arial"/>
          <w:b/>
          <w:sz w:val="22"/>
          <w:szCs w:val="22"/>
        </w:rPr>
        <w:t xml:space="preserve"> 4.4</w:t>
      </w:r>
      <w:r w:rsidR="00894DF3" w:rsidRPr="00505BD1">
        <w:rPr>
          <w:rFonts w:ascii="Arial" w:hAnsi="Arial" w:cs="Arial"/>
          <w:b/>
          <w:sz w:val="22"/>
          <w:szCs w:val="22"/>
        </w:rPr>
        <w:t>7</w:t>
      </w:r>
      <w:r w:rsidRPr="00505BD1">
        <w:rPr>
          <w:rFonts w:ascii="Arial" w:hAnsi="Arial" w:cs="Arial"/>
          <w:b/>
          <w:sz w:val="22"/>
          <w:szCs w:val="22"/>
        </w:rPr>
        <w:t xml:space="preserve"> of the </w:t>
      </w:r>
      <w:r w:rsidR="00177C84" w:rsidRPr="00515404">
        <w:rPr>
          <w:rFonts w:ascii="Arial" w:hAnsi="Arial" w:cs="Arial"/>
          <w:b/>
          <w:sz w:val="22"/>
          <w:szCs w:val="22"/>
        </w:rPr>
        <w:t>Conceptual Framework for Financial Reporting</w:t>
      </w:r>
      <w:r w:rsidR="00177C84" w:rsidRPr="00505BD1">
        <w:rPr>
          <w:rFonts w:ascii="Arial" w:hAnsi="Arial" w:cs="Arial"/>
          <w:b/>
          <w:sz w:val="22"/>
          <w:szCs w:val="22"/>
        </w:rPr>
        <w:t xml:space="preserve"> </w:t>
      </w:r>
      <w:r w:rsidR="00177C84">
        <w:rPr>
          <w:rFonts w:ascii="Arial" w:hAnsi="Arial" w:cs="Arial"/>
          <w:b/>
          <w:sz w:val="22"/>
          <w:szCs w:val="22"/>
        </w:rPr>
        <w:t>(</w:t>
      </w:r>
      <w:r w:rsidRPr="00505BD1">
        <w:rPr>
          <w:rFonts w:ascii="Arial" w:hAnsi="Arial" w:cs="Arial"/>
          <w:b/>
          <w:sz w:val="22"/>
          <w:szCs w:val="22"/>
        </w:rPr>
        <w:t>C</w:t>
      </w:r>
      <w:r w:rsidR="00793E7B" w:rsidRPr="00505BD1">
        <w:rPr>
          <w:rFonts w:ascii="Arial" w:hAnsi="Arial" w:cs="Arial"/>
          <w:b/>
          <w:sz w:val="22"/>
          <w:szCs w:val="22"/>
        </w:rPr>
        <w:t>FFR</w:t>
      </w:r>
      <w:r w:rsidR="00177C84">
        <w:rPr>
          <w:rFonts w:ascii="Arial" w:hAnsi="Arial" w:cs="Arial"/>
          <w:b/>
          <w:sz w:val="22"/>
          <w:szCs w:val="22"/>
        </w:rPr>
        <w:t>)</w:t>
      </w:r>
      <w:r w:rsidR="00B84B5B" w:rsidRPr="00505BD1">
        <w:rPr>
          <w:rFonts w:ascii="Arial" w:hAnsi="Arial" w:cs="Arial"/>
          <w:b/>
          <w:sz w:val="22"/>
          <w:szCs w:val="22"/>
        </w:rPr>
        <w:t>.</w:t>
      </w:r>
    </w:p>
    <w:p w:rsidR="00943886" w:rsidRPr="00753E6F" w:rsidRDefault="00943886" w:rsidP="00753E6F">
      <w:pPr>
        <w:pStyle w:val="ListParagraph"/>
        <w:rPr>
          <w:rFonts w:ascii="Arial" w:hAnsi="Arial" w:cs="Arial"/>
          <w:sz w:val="20"/>
          <w:szCs w:val="20"/>
        </w:rPr>
      </w:pPr>
    </w:p>
    <w:p w:rsidR="002276DE" w:rsidRPr="00753E6F" w:rsidRDefault="002276DE" w:rsidP="00DA78B4">
      <w:pPr>
        <w:pStyle w:val="ListParagraph"/>
        <w:numPr>
          <w:ilvl w:val="0"/>
          <w:numId w:val="22"/>
        </w:numPr>
        <w:ind w:left="720" w:firstLine="0"/>
        <w:jc w:val="both"/>
        <w:rPr>
          <w:rFonts w:ascii="Arial" w:hAnsi="Arial" w:cs="Arial"/>
          <w:vanish/>
          <w:sz w:val="20"/>
          <w:szCs w:val="20"/>
        </w:rPr>
      </w:pPr>
    </w:p>
    <w:p w:rsidR="00793E7B" w:rsidRPr="00753E6F" w:rsidRDefault="00793E7B" w:rsidP="00DA78B4">
      <w:pPr>
        <w:pStyle w:val="ListParagraph"/>
        <w:numPr>
          <w:ilvl w:val="1"/>
          <w:numId w:val="23"/>
        </w:numPr>
        <w:ind w:left="1440" w:hanging="720"/>
        <w:jc w:val="both"/>
        <w:rPr>
          <w:rFonts w:ascii="Arial" w:hAnsi="Arial" w:cs="Arial"/>
          <w:sz w:val="22"/>
          <w:szCs w:val="22"/>
        </w:rPr>
      </w:pPr>
      <w:r w:rsidRPr="00753E6F">
        <w:rPr>
          <w:rFonts w:ascii="Arial" w:hAnsi="Arial" w:cs="Arial"/>
          <w:sz w:val="22"/>
          <w:szCs w:val="22"/>
        </w:rPr>
        <w:t xml:space="preserve">Paragraph 15 of PAS </w:t>
      </w:r>
      <w:r w:rsidR="00894DF3" w:rsidRPr="00753E6F">
        <w:rPr>
          <w:rFonts w:ascii="Arial" w:hAnsi="Arial" w:cs="Arial"/>
          <w:sz w:val="22"/>
          <w:szCs w:val="22"/>
        </w:rPr>
        <w:t xml:space="preserve">1 </w:t>
      </w:r>
      <w:r w:rsidRPr="00753E6F">
        <w:rPr>
          <w:rFonts w:ascii="Arial" w:hAnsi="Arial" w:cs="Arial"/>
          <w:sz w:val="22"/>
          <w:szCs w:val="22"/>
        </w:rPr>
        <w:t>on presentation of financial statements and Paragraph 4.47 of the Conceptual Framework for Financial Reporting state that:</w:t>
      </w:r>
    </w:p>
    <w:p w:rsidR="00793E7B" w:rsidRPr="002276DE" w:rsidRDefault="00793E7B" w:rsidP="004C39E3">
      <w:pPr>
        <w:pStyle w:val="ListParagraph"/>
        <w:ind w:left="1080"/>
        <w:jc w:val="both"/>
        <w:rPr>
          <w:rFonts w:ascii="Arial" w:hAnsi="Arial" w:cs="Arial"/>
          <w:sz w:val="22"/>
          <w:szCs w:val="22"/>
        </w:rPr>
      </w:pPr>
    </w:p>
    <w:p w:rsidR="009E2837" w:rsidRPr="002276DE" w:rsidRDefault="009E2837" w:rsidP="00505BD1">
      <w:pPr>
        <w:pStyle w:val="ListParagraph"/>
        <w:ind w:left="1800" w:right="720"/>
        <w:jc w:val="both"/>
        <w:rPr>
          <w:rFonts w:ascii="Arial" w:hAnsi="Arial" w:cs="Arial"/>
          <w:sz w:val="22"/>
          <w:szCs w:val="22"/>
        </w:rPr>
      </w:pPr>
      <w:r w:rsidRPr="002276DE">
        <w:rPr>
          <w:rFonts w:ascii="Arial" w:hAnsi="Arial" w:cs="Arial"/>
          <w:sz w:val="22"/>
          <w:szCs w:val="22"/>
        </w:rPr>
        <w:t>Paragraph 15 of PAS 1</w:t>
      </w:r>
      <w:r w:rsidR="00793E7B" w:rsidRPr="002276DE">
        <w:rPr>
          <w:rFonts w:ascii="Arial" w:hAnsi="Arial" w:cs="Arial"/>
          <w:sz w:val="22"/>
          <w:szCs w:val="22"/>
        </w:rPr>
        <w:t xml:space="preserve"> - </w:t>
      </w:r>
    </w:p>
    <w:p w:rsidR="00BF4E08" w:rsidRPr="002276DE" w:rsidRDefault="00BF4E08" w:rsidP="00505BD1">
      <w:pPr>
        <w:pStyle w:val="ListParagraph"/>
        <w:ind w:left="1800" w:right="720"/>
        <w:jc w:val="both"/>
        <w:rPr>
          <w:rFonts w:ascii="Arial" w:hAnsi="Arial" w:cs="Arial"/>
          <w:i/>
          <w:sz w:val="22"/>
          <w:szCs w:val="22"/>
        </w:rPr>
      </w:pPr>
    </w:p>
    <w:p w:rsidR="009E2837" w:rsidRPr="002276DE" w:rsidRDefault="009E2837" w:rsidP="00505BD1">
      <w:pPr>
        <w:spacing w:after="0" w:line="240" w:lineRule="auto"/>
        <w:ind w:left="1800" w:right="720"/>
        <w:jc w:val="both"/>
        <w:rPr>
          <w:rFonts w:ascii="Arial" w:hAnsi="Arial" w:cs="Arial"/>
          <w:i/>
        </w:rPr>
      </w:pPr>
      <w:r w:rsidRPr="002276DE">
        <w:rPr>
          <w:rFonts w:ascii="Arial" w:hAnsi="Arial" w:cs="Arial"/>
          <w:i/>
        </w:rPr>
        <w:t>Financial statements shall present fairly the financial position, financial performance &amp; cash flows of an entity. Fair presentation requires the faithful representation of the effects of transactions, other events &amp; conditions in accordance with the definitions and recognition criteria for assets, liabilities, income and expenses set out in the Framework. xx</w:t>
      </w:r>
      <w:r w:rsidR="002C0088" w:rsidRPr="002276DE">
        <w:rPr>
          <w:rFonts w:ascii="Arial" w:hAnsi="Arial" w:cs="Arial"/>
          <w:i/>
        </w:rPr>
        <w:t>x.</w:t>
      </w:r>
      <w:r w:rsidRPr="002276DE">
        <w:rPr>
          <w:rFonts w:ascii="Arial" w:hAnsi="Arial" w:cs="Arial"/>
          <w:i/>
        </w:rPr>
        <w:t xml:space="preserve"> </w:t>
      </w:r>
    </w:p>
    <w:p w:rsidR="009E2837" w:rsidRDefault="009E2837" w:rsidP="00D208BF">
      <w:pPr>
        <w:spacing w:after="0" w:line="240" w:lineRule="auto"/>
        <w:ind w:left="1710" w:right="720"/>
        <w:jc w:val="both"/>
        <w:rPr>
          <w:rFonts w:ascii="Arial" w:hAnsi="Arial" w:cs="Arial"/>
        </w:rPr>
      </w:pPr>
    </w:p>
    <w:p w:rsidR="00753E6F" w:rsidRDefault="00753E6F" w:rsidP="00D208BF">
      <w:pPr>
        <w:spacing w:after="0" w:line="240" w:lineRule="auto"/>
        <w:ind w:left="1710" w:right="720"/>
        <w:jc w:val="both"/>
        <w:rPr>
          <w:rFonts w:ascii="Arial" w:hAnsi="Arial" w:cs="Arial"/>
        </w:rPr>
      </w:pPr>
    </w:p>
    <w:p w:rsidR="00753E6F" w:rsidRDefault="00753E6F" w:rsidP="00D208BF">
      <w:pPr>
        <w:spacing w:after="0" w:line="240" w:lineRule="auto"/>
        <w:ind w:left="1710" w:right="720"/>
        <w:jc w:val="both"/>
        <w:rPr>
          <w:rFonts w:ascii="Arial" w:hAnsi="Arial" w:cs="Arial"/>
        </w:rPr>
      </w:pPr>
    </w:p>
    <w:p w:rsidR="00753E6F" w:rsidRPr="002276DE" w:rsidRDefault="00753E6F" w:rsidP="00D208BF">
      <w:pPr>
        <w:spacing w:after="0" w:line="240" w:lineRule="auto"/>
        <w:ind w:left="1710" w:right="720"/>
        <w:jc w:val="both"/>
        <w:rPr>
          <w:rFonts w:ascii="Arial" w:hAnsi="Arial" w:cs="Arial"/>
        </w:rPr>
      </w:pPr>
    </w:p>
    <w:p w:rsidR="00BF4E08" w:rsidRPr="002276DE" w:rsidRDefault="009E2837" w:rsidP="00505BD1">
      <w:pPr>
        <w:spacing w:after="0" w:line="240" w:lineRule="auto"/>
        <w:ind w:left="1800" w:right="720"/>
        <w:jc w:val="both"/>
        <w:rPr>
          <w:rFonts w:ascii="Arial" w:hAnsi="Arial" w:cs="Arial"/>
        </w:rPr>
      </w:pPr>
      <w:r w:rsidRPr="002276DE">
        <w:rPr>
          <w:rFonts w:ascii="Arial" w:hAnsi="Arial" w:cs="Arial"/>
        </w:rPr>
        <w:lastRenderedPageBreak/>
        <w:t>Paragraph 4.47 of CFFR</w:t>
      </w:r>
      <w:r w:rsidR="00793E7B" w:rsidRPr="002276DE">
        <w:rPr>
          <w:rFonts w:ascii="Arial" w:hAnsi="Arial" w:cs="Arial"/>
        </w:rPr>
        <w:t xml:space="preserve"> </w:t>
      </w:r>
      <w:r w:rsidR="00155F91" w:rsidRPr="002276DE">
        <w:rPr>
          <w:rFonts w:ascii="Arial" w:hAnsi="Arial" w:cs="Arial"/>
        </w:rPr>
        <w:t>–</w:t>
      </w:r>
      <w:r w:rsidR="00793E7B" w:rsidRPr="002276DE">
        <w:rPr>
          <w:rFonts w:ascii="Arial" w:hAnsi="Arial" w:cs="Arial"/>
        </w:rPr>
        <w:t xml:space="preserve"> </w:t>
      </w:r>
    </w:p>
    <w:p w:rsidR="00155F91" w:rsidRPr="002276DE" w:rsidRDefault="00155F91" w:rsidP="00505BD1">
      <w:pPr>
        <w:spacing w:after="0" w:line="240" w:lineRule="auto"/>
        <w:ind w:left="1800" w:right="720"/>
        <w:jc w:val="both"/>
        <w:rPr>
          <w:rFonts w:ascii="Arial" w:hAnsi="Arial" w:cs="Arial"/>
        </w:rPr>
      </w:pPr>
    </w:p>
    <w:p w:rsidR="009E2837" w:rsidRPr="002276DE" w:rsidRDefault="009E2837" w:rsidP="00505BD1">
      <w:pPr>
        <w:pStyle w:val="ListParagraph"/>
        <w:ind w:left="1800" w:right="720"/>
        <w:jc w:val="both"/>
        <w:rPr>
          <w:rFonts w:ascii="Arial" w:hAnsi="Arial" w:cs="Arial"/>
          <w:i/>
          <w:sz w:val="22"/>
          <w:szCs w:val="22"/>
        </w:rPr>
      </w:pPr>
      <w:r w:rsidRPr="002276DE">
        <w:rPr>
          <w:rFonts w:ascii="Arial" w:hAnsi="Arial" w:cs="Arial"/>
          <w:i/>
          <w:sz w:val="22"/>
          <w:szCs w:val="22"/>
        </w:rPr>
        <w:t>Income is recognized in the income statement when an increase in future economic benefits related to an increase in an asset or a decrease of a liability has arisen that can be measured reliably. This means, in effect, that recognition of income occurs simultaneously with the recogni</w:t>
      </w:r>
      <w:r w:rsidR="00505BD1">
        <w:rPr>
          <w:rFonts w:ascii="Arial" w:hAnsi="Arial" w:cs="Arial"/>
          <w:i/>
          <w:sz w:val="22"/>
          <w:szCs w:val="22"/>
        </w:rPr>
        <w:t>tion of increases in assets xxx.</w:t>
      </w:r>
    </w:p>
    <w:p w:rsidR="009E2837" w:rsidRPr="002276DE" w:rsidRDefault="009E2837" w:rsidP="00505BD1">
      <w:pPr>
        <w:pStyle w:val="ListParagraph"/>
        <w:ind w:left="1800"/>
        <w:jc w:val="both"/>
        <w:rPr>
          <w:rFonts w:ascii="Arial" w:hAnsi="Arial" w:cs="Arial"/>
          <w:sz w:val="22"/>
          <w:szCs w:val="22"/>
        </w:rPr>
      </w:pPr>
    </w:p>
    <w:p w:rsidR="00BA6698" w:rsidRPr="002276DE" w:rsidRDefault="00BA6698" w:rsidP="00DA78B4">
      <w:pPr>
        <w:pStyle w:val="ListParagraph"/>
        <w:numPr>
          <w:ilvl w:val="1"/>
          <w:numId w:val="23"/>
        </w:numPr>
        <w:ind w:left="1440" w:hanging="720"/>
        <w:jc w:val="both"/>
        <w:rPr>
          <w:rFonts w:ascii="Arial" w:hAnsi="Arial" w:cs="Arial"/>
          <w:sz w:val="22"/>
          <w:szCs w:val="22"/>
        </w:rPr>
      </w:pPr>
      <w:r w:rsidRPr="002276DE">
        <w:rPr>
          <w:rFonts w:ascii="Arial" w:hAnsi="Arial" w:cs="Arial"/>
          <w:sz w:val="22"/>
          <w:szCs w:val="22"/>
        </w:rPr>
        <w:t>Pursuant to its mandate, the PCSO Board of Directors approved the implementation of the ISP, which was a program that was operationalized through a selection of an ISAC that shall be under a non-exclusive all in contract involving production, distribution, marketing, advertising and selling of Instant Sweepstakes tickets nationwide. The PCSO shall exercise direct control and supervision over the details of the operations but the ISAC undertakes all the investment risks on the project.</w:t>
      </w:r>
    </w:p>
    <w:p w:rsidR="00BA6698" w:rsidRPr="002276DE" w:rsidRDefault="00BA6698" w:rsidP="004C39E3">
      <w:pPr>
        <w:spacing w:after="0" w:line="240" w:lineRule="auto"/>
        <w:jc w:val="both"/>
        <w:rPr>
          <w:rFonts w:ascii="Arial" w:hAnsi="Arial" w:cs="Arial"/>
        </w:rPr>
      </w:pPr>
    </w:p>
    <w:p w:rsidR="00BA6698" w:rsidRPr="002276DE" w:rsidRDefault="00BA6698" w:rsidP="00DA78B4">
      <w:pPr>
        <w:pStyle w:val="ListParagraph"/>
        <w:numPr>
          <w:ilvl w:val="1"/>
          <w:numId w:val="23"/>
        </w:numPr>
        <w:ind w:left="1440" w:hanging="720"/>
        <w:jc w:val="both"/>
        <w:rPr>
          <w:rFonts w:ascii="Arial" w:hAnsi="Arial" w:cs="Arial"/>
          <w:sz w:val="22"/>
          <w:szCs w:val="22"/>
        </w:rPr>
      </w:pPr>
      <w:r w:rsidRPr="002276DE">
        <w:rPr>
          <w:rFonts w:ascii="Arial" w:hAnsi="Arial" w:cs="Arial"/>
          <w:sz w:val="22"/>
          <w:szCs w:val="22"/>
        </w:rPr>
        <w:t xml:space="preserve">As explicitly provided in the Revised </w:t>
      </w:r>
      <w:r w:rsidR="00B247C0">
        <w:rPr>
          <w:rFonts w:ascii="Arial" w:hAnsi="Arial" w:cs="Arial"/>
          <w:sz w:val="22"/>
          <w:szCs w:val="22"/>
        </w:rPr>
        <w:t>IRR</w:t>
      </w:r>
      <w:r w:rsidRPr="002276DE">
        <w:rPr>
          <w:rFonts w:ascii="Arial" w:hAnsi="Arial" w:cs="Arial"/>
          <w:sz w:val="22"/>
          <w:szCs w:val="22"/>
        </w:rPr>
        <w:t xml:space="preserve"> for the ISP, the ISAC shall have a guaranteed total sale of P5 billion for a period of five (5) years or </w:t>
      </w:r>
      <w:r w:rsidR="00882A3B">
        <w:rPr>
          <w:rFonts w:ascii="Arial" w:hAnsi="Arial" w:cs="Arial"/>
          <w:sz w:val="22"/>
          <w:szCs w:val="22"/>
        </w:rPr>
        <w:t xml:space="preserve">       </w:t>
      </w:r>
      <w:r w:rsidRPr="002276DE">
        <w:rPr>
          <w:rFonts w:ascii="Arial" w:hAnsi="Arial" w:cs="Arial"/>
          <w:sz w:val="22"/>
          <w:szCs w:val="22"/>
        </w:rPr>
        <w:t xml:space="preserve">P1 billion per year, with PCSO having a guaranteed share of thirteen percent (13%) at no cost or risk to PCSO. </w:t>
      </w:r>
      <w:r w:rsidR="00B84B5B" w:rsidRPr="002276DE">
        <w:rPr>
          <w:rFonts w:ascii="Arial" w:hAnsi="Arial" w:cs="Arial"/>
          <w:sz w:val="22"/>
          <w:szCs w:val="22"/>
        </w:rPr>
        <w:t>T</w:t>
      </w:r>
      <w:r w:rsidRPr="002276DE">
        <w:rPr>
          <w:rFonts w:ascii="Arial" w:hAnsi="Arial" w:cs="Arial"/>
          <w:sz w:val="22"/>
          <w:szCs w:val="22"/>
        </w:rPr>
        <w:t>he said guaranteed share</w:t>
      </w:r>
      <w:r w:rsidR="00B247C0">
        <w:rPr>
          <w:rFonts w:ascii="Arial" w:hAnsi="Arial" w:cs="Arial"/>
          <w:sz w:val="22"/>
          <w:szCs w:val="22"/>
        </w:rPr>
        <w:t>s</w:t>
      </w:r>
      <w:r w:rsidRPr="002276DE">
        <w:rPr>
          <w:rFonts w:ascii="Arial" w:hAnsi="Arial" w:cs="Arial"/>
          <w:sz w:val="22"/>
          <w:szCs w:val="22"/>
        </w:rPr>
        <w:t xml:space="preserve"> of P130 million per year or P650 million for a period of five (5) years were remitted to PCSO in advance in the form of sixty (60) post-dated checks in equal amounts of P10</w:t>
      </w:r>
      <w:r w:rsidR="00D17F48" w:rsidRPr="002276DE">
        <w:rPr>
          <w:rFonts w:ascii="Arial" w:hAnsi="Arial" w:cs="Arial"/>
          <w:sz w:val="22"/>
          <w:szCs w:val="22"/>
        </w:rPr>
        <w:t>.</w:t>
      </w:r>
      <w:r w:rsidRPr="002276DE">
        <w:rPr>
          <w:rFonts w:ascii="Arial" w:hAnsi="Arial" w:cs="Arial"/>
          <w:sz w:val="22"/>
          <w:szCs w:val="22"/>
        </w:rPr>
        <w:t>833</w:t>
      </w:r>
      <w:r w:rsidR="00D17F48" w:rsidRPr="002276DE">
        <w:rPr>
          <w:rFonts w:ascii="Arial" w:hAnsi="Arial" w:cs="Arial"/>
          <w:sz w:val="22"/>
          <w:szCs w:val="22"/>
        </w:rPr>
        <w:t xml:space="preserve"> million</w:t>
      </w:r>
      <w:r w:rsidRPr="002276DE">
        <w:rPr>
          <w:rFonts w:ascii="Arial" w:hAnsi="Arial" w:cs="Arial"/>
          <w:sz w:val="22"/>
          <w:szCs w:val="22"/>
        </w:rPr>
        <w:t>/month, which shall fall due every 30</w:t>
      </w:r>
      <w:r w:rsidRPr="002276DE">
        <w:rPr>
          <w:rFonts w:ascii="Arial" w:hAnsi="Arial" w:cs="Arial"/>
          <w:sz w:val="22"/>
          <w:szCs w:val="22"/>
          <w:vertAlign w:val="superscript"/>
        </w:rPr>
        <w:t>th</w:t>
      </w:r>
      <w:r w:rsidRPr="002276DE">
        <w:rPr>
          <w:rFonts w:ascii="Arial" w:hAnsi="Arial" w:cs="Arial"/>
          <w:sz w:val="22"/>
          <w:szCs w:val="22"/>
        </w:rPr>
        <w:t xml:space="preserve"> day of each and every month.  </w:t>
      </w:r>
    </w:p>
    <w:p w:rsidR="00B247C0" w:rsidRPr="002276DE" w:rsidRDefault="00B247C0" w:rsidP="004C39E3">
      <w:pPr>
        <w:spacing w:after="0" w:line="240" w:lineRule="auto"/>
        <w:ind w:firstLine="720"/>
        <w:jc w:val="both"/>
        <w:rPr>
          <w:rFonts w:ascii="Arial" w:hAnsi="Arial" w:cs="Arial"/>
        </w:rPr>
      </w:pPr>
    </w:p>
    <w:p w:rsidR="00BA6698" w:rsidRPr="002276DE" w:rsidRDefault="00BA6698" w:rsidP="00DA78B4">
      <w:pPr>
        <w:pStyle w:val="ListParagraph"/>
        <w:numPr>
          <w:ilvl w:val="1"/>
          <w:numId w:val="23"/>
        </w:numPr>
        <w:ind w:left="1440" w:hanging="720"/>
        <w:jc w:val="both"/>
        <w:rPr>
          <w:rFonts w:ascii="Arial" w:hAnsi="Arial" w:cs="Arial"/>
          <w:sz w:val="22"/>
          <w:szCs w:val="22"/>
        </w:rPr>
      </w:pPr>
      <w:r w:rsidRPr="002276DE">
        <w:rPr>
          <w:rFonts w:ascii="Arial" w:hAnsi="Arial" w:cs="Arial"/>
          <w:sz w:val="22"/>
          <w:szCs w:val="22"/>
        </w:rPr>
        <w:t>Further verification disclosed that PCSO recognized in its books of accounts as of December 31, 2018 a total revenue of P1</w:t>
      </w:r>
      <w:r w:rsidR="00D17F48" w:rsidRPr="002276DE">
        <w:rPr>
          <w:rFonts w:ascii="Arial" w:hAnsi="Arial" w:cs="Arial"/>
          <w:sz w:val="22"/>
          <w:szCs w:val="22"/>
        </w:rPr>
        <w:t>.</w:t>
      </w:r>
      <w:r w:rsidRPr="002276DE">
        <w:rPr>
          <w:rFonts w:ascii="Arial" w:hAnsi="Arial" w:cs="Arial"/>
          <w:sz w:val="22"/>
          <w:szCs w:val="22"/>
        </w:rPr>
        <w:t>149</w:t>
      </w:r>
      <w:r w:rsidR="00D17F48" w:rsidRPr="002276DE">
        <w:rPr>
          <w:rFonts w:ascii="Arial" w:hAnsi="Arial" w:cs="Arial"/>
          <w:sz w:val="22"/>
          <w:szCs w:val="22"/>
        </w:rPr>
        <w:t xml:space="preserve"> billion</w:t>
      </w:r>
      <w:r w:rsidRPr="002276DE">
        <w:rPr>
          <w:rFonts w:ascii="Arial" w:hAnsi="Arial" w:cs="Arial"/>
          <w:sz w:val="22"/>
          <w:szCs w:val="22"/>
        </w:rPr>
        <w:t>, representing the reported revenue of the ISAC amounting to P1 billion guaranteed sales plus P149</w:t>
      </w:r>
      <w:r w:rsidR="00D17F48" w:rsidRPr="002276DE">
        <w:rPr>
          <w:rFonts w:ascii="Arial" w:hAnsi="Arial" w:cs="Arial"/>
          <w:sz w:val="22"/>
          <w:szCs w:val="22"/>
        </w:rPr>
        <w:t>.</w:t>
      </w:r>
      <w:r w:rsidRPr="002276DE">
        <w:rPr>
          <w:rFonts w:ascii="Arial" w:hAnsi="Arial" w:cs="Arial"/>
          <w:sz w:val="22"/>
          <w:szCs w:val="22"/>
        </w:rPr>
        <w:t>124 million receipts in excess of the gua</w:t>
      </w:r>
      <w:r w:rsidR="00517962">
        <w:rPr>
          <w:rFonts w:ascii="Arial" w:hAnsi="Arial" w:cs="Arial"/>
          <w:sz w:val="22"/>
          <w:szCs w:val="22"/>
        </w:rPr>
        <w:t>ranteed sales instead of its 13 per cent</w:t>
      </w:r>
      <w:r w:rsidRPr="002276DE">
        <w:rPr>
          <w:rFonts w:ascii="Arial" w:hAnsi="Arial" w:cs="Arial"/>
          <w:sz w:val="22"/>
          <w:szCs w:val="22"/>
        </w:rPr>
        <w:t xml:space="preserve"> share, whi</w:t>
      </w:r>
      <w:r w:rsidR="00D17F48" w:rsidRPr="002276DE">
        <w:rPr>
          <w:rFonts w:ascii="Arial" w:hAnsi="Arial" w:cs="Arial"/>
          <w:sz w:val="22"/>
          <w:szCs w:val="22"/>
        </w:rPr>
        <w:t>ch should have amounted to P149.</w:t>
      </w:r>
      <w:r w:rsidRPr="002276DE">
        <w:rPr>
          <w:rFonts w:ascii="Arial" w:hAnsi="Arial" w:cs="Arial"/>
          <w:sz w:val="22"/>
          <w:szCs w:val="22"/>
        </w:rPr>
        <w:t>386</w:t>
      </w:r>
      <w:r w:rsidR="00D17F48" w:rsidRPr="002276DE">
        <w:rPr>
          <w:rFonts w:ascii="Arial" w:hAnsi="Arial" w:cs="Arial"/>
          <w:sz w:val="22"/>
          <w:szCs w:val="22"/>
        </w:rPr>
        <w:t xml:space="preserve"> million</w:t>
      </w:r>
      <w:r w:rsidRPr="002276DE">
        <w:rPr>
          <w:rFonts w:ascii="Arial" w:hAnsi="Arial" w:cs="Arial"/>
          <w:sz w:val="22"/>
          <w:szCs w:val="22"/>
        </w:rPr>
        <w:t xml:space="preserve"> only, contrary to Paragraph 15 of PAS 1 and Paragraph 4.47 of the CFFR</w:t>
      </w:r>
      <w:r w:rsidR="009B6A3F" w:rsidRPr="002276DE">
        <w:rPr>
          <w:rFonts w:ascii="Arial" w:hAnsi="Arial" w:cs="Arial"/>
          <w:sz w:val="22"/>
          <w:szCs w:val="22"/>
        </w:rPr>
        <w:t>.</w:t>
      </w:r>
    </w:p>
    <w:p w:rsidR="00BA6698" w:rsidRPr="002276DE" w:rsidRDefault="00BA6698" w:rsidP="004C39E3">
      <w:pPr>
        <w:spacing w:after="0" w:line="240" w:lineRule="auto"/>
        <w:jc w:val="both"/>
        <w:rPr>
          <w:rFonts w:ascii="Arial" w:hAnsi="Arial" w:cs="Arial"/>
        </w:rPr>
      </w:pPr>
    </w:p>
    <w:p w:rsidR="009B6A3F" w:rsidRPr="002276DE" w:rsidRDefault="00BA6698" w:rsidP="00DA78B4">
      <w:pPr>
        <w:pStyle w:val="ListParagraph"/>
        <w:numPr>
          <w:ilvl w:val="1"/>
          <w:numId w:val="23"/>
        </w:numPr>
        <w:ind w:left="1440" w:hanging="720"/>
        <w:jc w:val="both"/>
        <w:rPr>
          <w:rFonts w:ascii="Arial" w:hAnsi="Arial" w:cs="Arial"/>
          <w:sz w:val="22"/>
          <w:szCs w:val="22"/>
        </w:rPr>
      </w:pPr>
      <w:r w:rsidRPr="002276DE">
        <w:rPr>
          <w:rFonts w:ascii="Arial" w:hAnsi="Arial" w:cs="Arial"/>
          <w:sz w:val="22"/>
          <w:szCs w:val="22"/>
        </w:rPr>
        <w:t>Only the PCSO’s actual share of P149</w:t>
      </w:r>
      <w:r w:rsidR="00D17F48" w:rsidRPr="002276DE">
        <w:rPr>
          <w:rFonts w:ascii="Arial" w:hAnsi="Arial" w:cs="Arial"/>
          <w:sz w:val="22"/>
          <w:szCs w:val="22"/>
        </w:rPr>
        <w:t>.</w:t>
      </w:r>
      <w:r w:rsidRPr="002276DE">
        <w:rPr>
          <w:rFonts w:ascii="Arial" w:hAnsi="Arial" w:cs="Arial"/>
          <w:sz w:val="22"/>
          <w:szCs w:val="22"/>
        </w:rPr>
        <w:t>386</w:t>
      </w:r>
      <w:r w:rsidR="00D17F48" w:rsidRPr="002276DE">
        <w:rPr>
          <w:rFonts w:ascii="Arial" w:hAnsi="Arial" w:cs="Arial"/>
          <w:sz w:val="22"/>
          <w:szCs w:val="22"/>
        </w:rPr>
        <w:t xml:space="preserve"> million</w:t>
      </w:r>
      <w:r w:rsidRPr="002276DE">
        <w:rPr>
          <w:rFonts w:ascii="Arial" w:hAnsi="Arial" w:cs="Arial"/>
          <w:sz w:val="22"/>
          <w:szCs w:val="22"/>
        </w:rPr>
        <w:t xml:space="preserve"> contributed to the increase in its assets, therefore, only the said amount should have been recognized as income in accordance with the above-stated accounting standard.  </w:t>
      </w:r>
    </w:p>
    <w:p w:rsidR="009B6A3F" w:rsidRPr="002276DE" w:rsidRDefault="009B6A3F" w:rsidP="004C39E3">
      <w:pPr>
        <w:pStyle w:val="ListParagraph"/>
        <w:rPr>
          <w:rFonts w:ascii="Arial" w:hAnsi="Arial" w:cs="Arial"/>
          <w:sz w:val="22"/>
          <w:szCs w:val="22"/>
        </w:rPr>
      </w:pPr>
    </w:p>
    <w:p w:rsidR="00BA6698" w:rsidRPr="00B247C0" w:rsidRDefault="00BA6698" w:rsidP="00DA78B4">
      <w:pPr>
        <w:pStyle w:val="ListParagraph"/>
        <w:numPr>
          <w:ilvl w:val="1"/>
          <w:numId w:val="23"/>
        </w:numPr>
        <w:ind w:left="1440" w:hanging="720"/>
        <w:jc w:val="both"/>
        <w:rPr>
          <w:rFonts w:ascii="Arial" w:hAnsi="Arial" w:cs="Arial"/>
          <w:sz w:val="22"/>
          <w:szCs w:val="22"/>
        </w:rPr>
      </w:pPr>
      <w:r w:rsidRPr="00B247C0">
        <w:rPr>
          <w:rFonts w:ascii="Arial" w:hAnsi="Arial" w:cs="Arial"/>
          <w:sz w:val="22"/>
          <w:szCs w:val="22"/>
        </w:rPr>
        <w:t>In addition, we also noted that under Note 2</w:t>
      </w:r>
      <w:r w:rsidR="00882A3B">
        <w:rPr>
          <w:rFonts w:ascii="Arial" w:hAnsi="Arial" w:cs="Arial"/>
          <w:sz w:val="22"/>
          <w:szCs w:val="22"/>
        </w:rPr>
        <w:t>3</w:t>
      </w:r>
      <w:r w:rsidRPr="00B247C0">
        <w:rPr>
          <w:rFonts w:ascii="Arial" w:hAnsi="Arial" w:cs="Arial"/>
          <w:sz w:val="22"/>
          <w:szCs w:val="22"/>
        </w:rPr>
        <w:t>–Gross Revenue of the CY 2018 Notes to the Financial Statements of the PCSO, the total gross retail receipts of ISP in the amount of P1</w:t>
      </w:r>
      <w:r w:rsidR="00D17F48" w:rsidRPr="00B247C0">
        <w:rPr>
          <w:rFonts w:ascii="Arial" w:hAnsi="Arial" w:cs="Arial"/>
          <w:sz w:val="22"/>
          <w:szCs w:val="22"/>
        </w:rPr>
        <w:t>.</w:t>
      </w:r>
      <w:r w:rsidRPr="00B247C0">
        <w:rPr>
          <w:rFonts w:ascii="Arial" w:hAnsi="Arial" w:cs="Arial"/>
          <w:sz w:val="22"/>
          <w:szCs w:val="22"/>
        </w:rPr>
        <w:t>149</w:t>
      </w:r>
      <w:r w:rsidR="00D17F48" w:rsidRPr="00B247C0">
        <w:rPr>
          <w:rFonts w:ascii="Arial" w:hAnsi="Arial" w:cs="Arial"/>
          <w:sz w:val="22"/>
          <w:szCs w:val="22"/>
        </w:rPr>
        <w:t xml:space="preserve"> billion</w:t>
      </w:r>
      <w:r w:rsidRPr="00B247C0">
        <w:rPr>
          <w:rFonts w:ascii="Arial" w:hAnsi="Arial" w:cs="Arial"/>
          <w:sz w:val="22"/>
          <w:szCs w:val="22"/>
        </w:rPr>
        <w:t xml:space="preserve"> was presented as part of PCSO’s retail receipts, without any appropriate disclosure, when in fact only 13</w:t>
      </w:r>
      <w:r w:rsidR="00517962" w:rsidRPr="00B247C0">
        <w:rPr>
          <w:rFonts w:ascii="Arial" w:hAnsi="Arial" w:cs="Arial"/>
          <w:sz w:val="22"/>
          <w:szCs w:val="22"/>
        </w:rPr>
        <w:t xml:space="preserve"> per cent</w:t>
      </w:r>
      <w:r w:rsidRPr="00B247C0">
        <w:rPr>
          <w:rFonts w:ascii="Arial" w:hAnsi="Arial" w:cs="Arial"/>
          <w:sz w:val="22"/>
          <w:szCs w:val="22"/>
        </w:rPr>
        <w:t xml:space="preserve"> thereof or P149</w:t>
      </w:r>
      <w:r w:rsidR="00D17F48" w:rsidRPr="00B247C0">
        <w:rPr>
          <w:rFonts w:ascii="Arial" w:hAnsi="Arial" w:cs="Arial"/>
          <w:sz w:val="22"/>
          <w:szCs w:val="22"/>
        </w:rPr>
        <w:t>.</w:t>
      </w:r>
      <w:r w:rsidRPr="00B247C0">
        <w:rPr>
          <w:rFonts w:ascii="Arial" w:hAnsi="Arial" w:cs="Arial"/>
          <w:sz w:val="22"/>
          <w:szCs w:val="22"/>
        </w:rPr>
        <w:t>386</w:t>
      </w:r>
      <w:r w:rsidR="00D17F48" w:rsidRPr="00B247C0">
        <w:rPr>
          <w:rFonts w:ascii="Arial" w:hAnsi="Arial" w:cs="Arial"/>
          <w:sz w:val="22"/>
          <w:szCs w:val="22"/>
        </w:rPr>
        <w:t xml:space="preserve"> </w:t>
      </w:r>
      <w:r w:rsidR="00A34956" w:rsidRPr="00B247C0">
        <w:rPr>
          <w:rFonts w:ascii="Arial" w:hAnsi="Arial" w:cs="Arial"/>
          <w:sz w:val="22"/>
          <w:szCs w:val="22"/>
        </w:rPr>
        <w:t>m</w:t>
      </w:r>
      <w:r w:rsidR="00D17F48" w:rsidRPr="00B247C0">
        <w:rPr>
          <w:rFonts w:ascii="Arial" w:hAnsi="Arial" w:cs="Arial"/>
          <w:sz w:val="22"/>
          <w:szCs w:val="22"/>
        </w:rPr>
        <w:t>illion</w:t>
      </w:r>
      <w:r w:rsidRPr="00B247C0">
        <w:rPr>
          <w:rFonts w:ascii="Arial" w:hAnsi="Arial" w:cs="Arial"/>
          <w:sz w:val="22"/>
          <w:szCs w:val="22"/>
        </w:rPr>
        <w:t xml:space="preserve"> rightfully belongs to PCSO. This was a misrepresentation of the actual revenue derived from the same and was a concrete example of providing inaccurate and misleading information to the users of the financial statements.</w:t>
      </w:r>
    </w:p>
    <w:p w:rsidR="009E2837" w:rsidRDefault="009E2837" w:rsidP="004C39E3">
      <w:pPr>
        <w:pStyle w:val="ListParagraph"/>
        <w:ind w:left="1080"/>
        <w:jc w:val="both"/>
        <w:rPr>
          <w:rFonts w:ascii="Arial" w:hAnsi="Arial" w:cs="Arial"/>
          <w:sz w:val="22"/>
          <w:szCs w:val="22"/>
        </w:rPr>
      </w:pPr>
    </w:p>
    <w:p w:rsidR="00753E6F" w:rsidRDefault="00753E6F" w:rsidP="004C39E3">
      <w:pPr>
        <w:pStyle w:val="ListParagraph"/>
        <w:ind w:left="1080"/>
        <w:jc w:val="both"/>
        <w:rPr>
          <w:rFonts w:ascii="Arial" w:hAnsi="Arial" w:cs="Arial"/>
          <w:sz w:val="22"/>
          <w:szCs w:val="22"/>
        </w:rPr>
      </w:pPr>
    </w:p>
    <w:p w:rsidR="00753E6F" w:rsidRPr="00515404" w:rsidRDefault="00753E6F" w:rsidP="004C39E3">
      <w:pPr>
        <w:pStyle w:val="ListParagraph"/>
        <w:ind w:left="1080"/>
        <w:jc w:val="both"/>
        <w:rPr>
          <w:rFonts w:ascii="Arial" w:hAnsi="Arial" w:cs="Arial"/>
          <w:sz w:val="22"/>
          <w:szCs w:val="22"/>
        </w:rPr>
      </w:pPr>
    </w:p>
    <w:p w:rsidR="00BA6698" w:rsidRPr="00515404" w:rsidRDefault="00BA6698" w:rsidP="00DA78B4">
      <w:pPr>
        <w:pStyle w:val="ListParagraph"/>
        <w:numPr>
          <w:ilvl w:val="1"/>
          <w:numId w:val="23"/>
        </w:numPr>
        <w:ind w:left="1440" w:hanging="720"/>
        <w:jc w:val="both"/>
        <w:rPr>
          <w:rFonts w:ascii="Arial" w:hAnsi="Arial" w:cs="Arial"/>
          <w:b/>
          <w:sz w:val="22"/>
          <w:szCs w:val="22"/>
        </w:rPr>
      </w:pPr>
      <w:r w:rsidRPr="00515404">
        <w:rPr>
          <w:rFonts w:ascii="Arial" w:hAnsi="Arial" w:cs="Arial"/>
          <w:b/>
          <w:sz w:val="22"/>
          <w:szCs w:val="22"/>
        </w:rPr>
        <w:lastRenderedPageBreak/>
        <w:t>We recommend</w:t>
      </w:r>
      <w:r w:rsidR="00B90D7C" w:rsidRPr="00515404">
        <w:rPr>
          <w:rFonts w:ascii="Arial" w:hAnsi="Arial" w:cs="Arial"/>
          <w:b/>
          <w:sz w:val="22"/>
          <w:szCs w:val="22"/>
        </w:rPr>
        <w:t>ed</w:t>
      </w:r>
      <w:r w:rsidRPr="00515404">
        <w:rPr>
          <w:rFonts w:ascii="Arial" w:hAnsi="Arial" w:cs="Arial"/>
          <w:b/>
          <w:sz w:val="22"/>
          <w:szCs w:val="22"/>
        </w:rPr>
        <w:t xml:space="preserve"> that Management direct the concerned accounting personnel to effect the necessary adjusting entry/ies in order to reflect the correct amount of retail receipts from the ISP accruing to the PCSO pursuant to Section 4 of the R</w:t>
      </w:r>
      <w:r w:rsidR="00177C84">
        <w:rPr>
          <w:rFonts w:ascii="Arial" w:hAnsi="Arial" w:cs="Arial"/>
          <w:b/>
          <w:sz w:val="22"/>
          <w:szCs w:val="22"/>
        </w:rPr>
        <w:t xml:space="preserve">evised </w:t>
      </w:r>
      <w:r w:rsidRPr="00515404">
        <w:rPr>
          <w:rFonts w:ascii="Arial" w:hAnsi="Arial" w:cs="Arial"/>
          <w:b/>
          <w:sz w:val="22"/>
          <w:szCs w:val="22"/>
        </w:rPr>
        <w:t xml:space="preserve">IRR for the ISP in accordance with Paragraphs 15 and 4.47 of PAS 1 and CFFR, respectively.   </w:t>
      </w:r>
    </w:p>
    <w:p w:rsidR="002A539F" w:rsidRPr="00515404" w:rsidRDefault="002A539F" w:rsidP="004F6C55">
      <w:pPr>
        <w:pStyle w:val="ListParagraph"/>
        <w:ind w:left="1080"/>
        <w:jc w:val="both"/>
        <w:rPr>
          <w:rFonts w:ascii="Arial" w:hAnsi="Arial" w:cs="Arial"/>
          <w:sz w:val="22"/>
          <w:szCs w:val="22"/>
        </w:rPr>
      </w:pPr>
    </w:p>
    <w:p w:rsidR="002A539F" w:rsidRPr="00515404" w:rsidRDefault="00823448" w:rsidP="00DA78B4">
      <w:pPr>
        <w:pStyle w:val="ListParagraph"/>
        <w:numPr>
          <w:ilvl w:val="1"/>
          <w:numId w:val="23"/>
        </w:numPr>
        <w:ind w:left="1440" w:hanging="720"/>
        <w:jc w:val="both"/>
        <w:rPr>
          <w:rFonts w:ascii="Arial" w:hAnsi="Arial" w:cs="Arial"/>
          <w:sz w:val="22"/>
          <w:szCs w:val="22"/>
        </w:rPr>
      </w:pPr>
      <w:r w:rsidRPr="00D208BF">
        <w:rPr>
          <w:rFonts w:ascii="Arial" w:hAnsi="Arial" w:cs="Arial"/>
          <w:sz w:val="22"/>
          <w:szCs w:val="22"/>
        </w:rPr>
        <w:t>Management</w:t>
      </w:r>
      <w:r>
        <w:rPr>
          <w:rFonts w:ascii="Arial" w:hAnsi="Arial" w:cs="Arial"/>
          <w:sz w:val="22"/>
          <w:szCs w:val="22"/>
        </w:rPr>
        <w:t xml:space="preserve"> informed</w:t>
      </w:r>
      <w:r w:rsidR="002D5CE2" w:rsidRPr="00515404">
        <w:rPr>
          <w:rFonts w:ascii="Arial" w:hAnsi="Arial" w:cs="Arial"/>
          <w:sz w:val="22"/>
          <w:szCs w:val="22"/>
        </w:rPr>
        <w:t xml:space="preserve"> that </w:t>
      </w:r>
      <w:r>
        <w:rPr>
          <w:rFonts w:ascii="Arial" w:hAnsi="Arial" w:cs="Arial"/>
          <w:sz w:val="22"/>
          <w:szCs w:val="22"/>
        </w:rPr>
        <w:t xml:space="preserve">the </w:t>
      </w:r>
      <w:r w:rsidR="002D5CE2" w:rsidRPr="00515404">
        <w:rPr>
          <w:rFonts w:ascii="Arial" w:hAnsi="Arial" w:cs="Arial"/>
          <w:sz w:val="22"/>
          <w:szCs w:val="22"/>
        </w:rPr>
        <w:t xml:space="preserve">PCSO is the principal government agency authorized to hold and conduct charity sweepstakes, races, lotteries and other similar activities as reflected under Republic Act </w:t>
      </w:r>
      <w:r w:rsidR="00177C84">
        <w:rPr>
          <w:rFonts w:ascii="Arial" w:hAnsi="Arial" w:cs="Arial"/>
          <w:sz w:val="22"/>
          <w:szCs w:val="22"/>
        </w:rPr>
        <w:t xml:space="preserve">(RA) </w:t>
      </w:r>
      <w:r w:rsidR="002D5CE2" w:rsidRPr="00515404">
        <w:rPr>
          <w:rFonts w:ascii="Arial" w:hAnsi="Arial" w:cs="Arial"/>
          <w:sz w:val="22"/>
          <w:szCs w:val="22"/>
        </w:rPr>
        <w:t>No. 1169, otherwise known as the PCSO Charter.  When the Principal entity satisfies a performance obligation, the entity recognizes revenues in the gross amount of consideration to which it expects to be entitled in exchange for those goods or services transferred.</w:t>
      </w:r>
      <w:r w:rsidR="00F04481" w:rsidRPr="00515404">
        <w:rPr>
          <w:rFonts w:ascii="Arial" w:hAnsi="Arial" w:cs="Arial"/>
          <w:sz w:val="22"/>
          <w:szCs w:val="22"/>
        </w:rPr>
        <w:t xml:space="preserve"> </w:t>
      </w:r>
      <w:r w:rsidR="002D5CE2" w:rsidRPr="00177C84">
        <w:rPr>
          <w:rFonts w:ascii="Arial" w:hAnsi="Arial" w:cs="Arial"/>
          <w:sz w:val="22"/>
          <w:szCs w:val="22"/>
        </w:rPr>
        <w:t xml:space="preserve">Likewise, under Section 3 of the </w:t>
      </w:r>
      <w:r w:rsidR="0062797D" w:rsidRPr="00177C84">
        <w:rPr>
          <w:rFonts w:ascii="Arial" w:hAnsi="Arial" w:cs="Arial"/>
          <w:sz w:val="22"/>
          <w:szCs w:val="22"/>
        </w:rPr>
        <w:t>National Instant Sweepstakes Program (</w:t>
      </w:r>
      <w:r w:rsidR="002D5CE2" w:rsidRPr="00177C84">
        <w:rPr>
          <w:rFonts w:ascii="Arial" w:hAnsi="Arial" w:cs="Arial"/>
          <w:sz w:val="22"/>
          <w:szCs w:val="22"/>
        </w:rPr>
        <w:t>NISP</w:t>
      </w:r>
      <w:r w:rsidR="0062797D" w:rsidRPr="00177C84">
        <w:rPr>
          <w:rFonts w:ascii="Arial" w:hAnsi="Arial" w:cs="Arial"/>
          <w:sz w:val="22"/>
          <w:szCs w:val="22"/>
        </w:rPr>
        <w:t xml:space="preserve">) </w:t>
      </w:r>
      <w:r w:rsidR="002D5CE2" w:rsidRPr="00177C84">
        <w:rPr>
          <w:rFonts w:ascii="Arial" w:hAnsi="Arial" w:cs="Arial"/>
          <w:sz w:val="22"/>
          <w:szCs w:val="22"/>
        </w:rPr>
        <w:t>2017</w:t>
      </w:r>
      <w:r w:rsidR="002D5CE2" w:rsidRPr="00515404">
        <w:rPr>
          <w:rFonts w:ascii="Arial" w:hAnsi="Arial" w:cs="Arial"/>
          <w:sz w:val="22"/>
          <w:szCs w:val="22"/>
        </w:rPr>
        <w:t xml:space="preserve"> R</w:t>
      </w:r>
      <w:r w:rsidR="00177C84">
        <w:rPr>
          <w:rFonts w:ascii="Arial" w:hAnsi="Arial" w:cs="Arial"/>
          <w:sz w:val="22"/>
          <w:szCs w:val="22"/>
        </w:rPr>
        <w:t xml:space="preserve">evised </w:t>
      </w:r>
      <w:r w:rsidR="002D5CE2" w:rsidRPr="00515404">
        <w:rPr>
          <w:rFonts w:ascii="Arial" w:hAnsi="Arial" w:cs="Arial"/>
          <w:sz w:val="22"/>
          <w:szCs w:val="22"/>
        </w:rPr>
        <w:t>IRR, the Instant Sweepstakes Program is a regular game of the PCSO. As principal, PCSO</w:t>
      </w:r>
      <w:r>
        <w:rPr>
          <w:rFonts w:ascii="Arial" w:hAnsi="Arial" w:cs="Arial"/>
          <w:sz w:val="22"/>
          <w:szCs w:val="22"/>
        </w:rPr>
        <w:t xml:space="preserve"> recognizes the sale of the NISP</w:t>
      </w:r>
      <w:r w:rsidR="00177C84">
        <w:rPr>
          <w:rFonts w:ascii="Arial" w:hAnsi="Arial" w:cs="Arial"/>
          <w:sz w:val="22"/>
          <w:szCs w:val="22"/>
        </w:rPr>
        <w:t>;</w:t>
      </w:r>
      <w:r>
        <w:rPr>
          <w:rFonts w:ascii="Arial" w:hAnsi="Arial" w:cs="Arial"/>
          <w:sz w:val="22"/>
          <w:szCs w:val="22"/>
        </w:rPr>
        <w:t xml:space="preserve"> </w:t>
      </w:r>
      <w:r w:rsidR="002D5CE2" w:rsidRPr="00515404">
        <w:rPr>
          <w:rFonts w:ascii="Arial" w:hAnsi="Arial" w:cs="Arial"/>
          <w:sz w:val="22"/>
          <w:szCs w:val="22"/>
        </w:rPr>
        <w:t>however</w:t>
      </w:r>
      <w:r>
        <w:rPr>
          <w:rFonts w:ascii="Arial" w:hAnsi="Arial" w:cs="Arial"/>
          <w:sz w:val="22"/>
          <w:szCs w:val="22"/>
        </w:rPr>
        <w:t>, i</w:t>
      </w:r>
      <w:r w:rsidR="002D5CE2" w:rsidRPr="00515404">
        <w:rPr>
          <w:rFonts w:ascii="Arial" w:hAnsi="Arial" w:cs="Arial"/>
          <w:sz w:val="22"/>
          <w:szCs w:val="22"/>
        </w:rPr>
        <w:t xml:space="preserve">nstead of remitting the entire sales collection, PMLC remits the </w:t>
      </w:r>
      <w:r w:rsidR="00517962">
        <w:rPr>
          <w:rFonts w:ascii="Arial" w:hAnsi="Arial" w:cs="Arial"/>
          <w:sz w:val="22"/>
          <w:szCs w:val="22"/>
        </w:rPr>
        <w:t>net amount equivalent to the 13 per cent</w:t>
      </w:r>
      <w:r w:rsidR="002D5CE2" w:rsidRPr="00515404">
        <w:rPr>
          <w:rFonts w:ascii="Arial" w:hAnsi="Arial" w:cs="Arial"/>
          <w:sz w:val="22"/>
          <w:szCs w:val="22"/>
        </w:rPr>
        <w:t xml:space="preserve"> of gross receipts as share of PCSO.</w:t>
      </w:r>
      <w:r w:rsidR="000A78E4" w:rsidRPr="00515404">
        <w:rPr>
          <w:rFonts w:ascii="Arial" w:hAnsi="Arial" w:cs="Arial"/>
          <w:sz w:val="22"/>
          <w:szCs w:val="22"/>
        </w:rPr>
        <w:t xml:space="preserve">   </w:t>
      </w:r>
      <w:r w:rsidR="00DB4E0B">
        <w:rPr>
          <w:rFonts w:ascii="Arial" w:hAnsi="Arial" w:cs="Arial"/>
          <w:sz w:val="22"/>
          <w:szCs w:val="22"/>
        </w:rPr>
        <w:t>Moreover</w:t>
      </w:r>
      <w:r w:rsidR="000A78E4" w:rsidRPr="00515404">
        <w:rPr>
          <w:rFonts w:ascii="Arial" w:hAnsi="Arial" w:cs="Arial"/>
          <w:sz w:val="22"/>
          <w:szCs w:val="22"/>
        </w:rPr>
        <w:t xml:space="preserve">, </w:t>
      </w:r>
      <w:r w:rsidR="00177C84">
        <w:rPr>
          <w:rFonts w:ascii="Arial" w:hAnsi="Arial" w:cs="Arial"/>
          <w:sz w:val="22"/>
          <w:szCs w:val="22"/>
        </w:rPr>
        <w:t xml:space="preserve">they </w:t>
      </w:r>
      <w:r w:rsidR="002D5CE2" w:rsidRPr="00515404">
        <w:rPr>
          <w:rFonts w:ascii="Arial" w:hAnsi="Arial" w:cs="Arial"/>
          <w:sz w:val="22"/>
          <w:szCs w:val="22"/>
        </w:rPr>
        <w:t xml:space="preserve">informed that the ISP Revenue Allocation has been included in the Notes to Financial Statements. </w:t>
      </w:r>
    </w:p>
    <w:p w:rsidR="00515404" w:rsidRPr="004F6C55" w:rsidRDefault="00515404" w:rsidP="004F6C55">
      <w:pPr>
        <w:pStyle w:val="ListParagraph"/>
        <w:rPr>
          <w:rFonts w:ascii="Arial" w:hAnsi="Arial" w:cs="Arial"/>
          <w:sz w:val="22"/>
          <w:szCs w:val="22"/>
        </w:rPr>
      </w:pPr>
    </w:p>
    <w:p w:rsidR="00515404" w:rsidRPr="00B64B09" w:rsidRDefault="00515404" w:rsidP="00DA78B4">
      <w:pPr>
        <w:pStyle w:val="ListParagraph"/>
        <w:numPr>
          <w:ilvl w:val="1"/>
          <w:numId w:val="23"/>
        </w:numPr>
        <w:ind w:left="1440" w:hanging="720"/>
        <w:jc w:val="both"/>
        <w:rPr>
          <w:rFonts w:ascii="Arial" w:hAnsi="Arial" w:cs="Arial"/>
        </w:rPr>
      </w:pPr>
      <w:r w:rsidRPr="00823448">
        <w:rPr>
          <w:rFonts w:ascii="Arial" w:hAnsi="Arial" w:cs="Arial"/>
          <w:sz w:val="22"/>
          <w:szCs w:val="22"/>
        </w:rPr>
        <w:t>As a rejoinder</w:t>
      </w:r>
      <w:r w:rsidRPr="004F6C55">
        <w:rPr>
          <w:rFonts w:ascii="Arial" w:hAnsi="Arial" w:cs="Arial"/>
          <w:b/>
          <w:sz w:val="22"/>
          <w:szCs w:val="22"/>
        </w:rPr>
        <w:t xml:space="preserve">, </w:t>
      </w:r>
      <w:r w:rsidRPr="004F6C55">
        <w:rPr>
          <w:rFonts w:ascii="Arial" w:hAnsi="Arial" w:cs="Arial"/>
          <w:sz w:val="22"/>
          <w:szCs w:val="22"/>
        </w:rPr>
        <w:t>the Audit Team maintai</w:t>
      </w:r>
      <w:r w:rsidR="00517962">
        <w:rPr>
          <w:rFonts w:ascii="Arial" w:hAnsi="Arial" w:cs="Arial"/>
          <w:sz w:val="22"/>
          <w:szCs w:val="22"/>
        </w:rPr>
        <w:t>ns it</w:t>
      </w:r>
      <w:r w:rsidR="00DB4E0B">
        <w:rPr>
          <w:rFonts w:ascii="Arial" w:hAnsi="Arial" w:cs="Arial"/>
          <w:sz w:val="22"/>
          <w:szCs w:val="22"/>
        </w:rPr>
        <w:t>s</w:t>
      </w:r>
      <w:r w:rsidR="00517962">
        <w:rPr>
          <w:rFonts w:ascii="Arial" w:hAnsi="Arial" w:cs="Arial"/>
          <w:sz w:val="22"/>
          <w:szCs w:val="22"/>
        </w:rPr>
        <w:t xml:space="preserve"> position that only the 13 per cent</w:t>
      </w:r>
      <w:r w:rsidRPr="004F6C55">
        <w:rPr>
          <w:rFonts w:ascii="Arial" w:hAnsi="Arial" w:cs="Arial"/>
          <w:sz w:val="22"/>
          <w:szCs w:val="22"/>
        </w:rPr>
        <w:t xml:space="preserve"> guaranteed share of PCSO shall be recorded as revenue in its books due to the following reasons:</w:t>
      </w:r>
    </w:p>
    <w:p w:rsidR="00515404" w:rsidRPr="004F6C55" w:rsidRDefault="00515404" w:rsidP="004F6C55">
      <w:pPr>
        <w:pStyle w:val="ListParagraph"/>
        <w:ind w:left="1440"/>
        <w:contextualSpacing/>
        <w:jc w:val="both"/>
        <w:rPr>
          <w:rFonts w:ascii="Arial" w:hAnsi="Arial" w:cs="Arial"/>
          <w:sz w:val="22"/>
          <w:szCs w:val="22"/>
        </w:rPr>
      </w:pPr>
    </w:p>
    <w:p w:rsidR="00A34956" w:rsidRDefault="00515404" w:rsidP="00DA78B4">
      <w:pPr>
        <w:pStyle w:val="ListParagraph"/>
        <w:numPr>
          <w:ilvl w:val="0"/>
          <w:numId w:val="13"/>
        </w:numPr>
        <w:ind w:left="1980" w:hanging="540"/>
        <w:contextualSpacing/>
        <w:jc w:val="both"/>
        <w:rPr>
          <w:rFonts w:ascii="Arial" w:hAnsi="Arial" w:cs="Arial"/>
          <w:sz w:val="22"/>
          <w:szCs w:val="22"/>
        </w:rPr>
      </w:pPr>
      <w:r w:rsidRPr="004F6C55">
        <w:rPr>
          <w:rFonts w:ascii="Arial" w:hAnsi="Arial" w:cs="Arial"/>
          <w:sz w:val="22"/>
          <w:szCs w:val="22"/>
        </w:rPr>
        <w:t>PCSO recorded the whole amount of retail receipts of the ISP for CY 2018 as debit to Accounts Receivable and credit to Sales. After which, several journal entries were prepared including recognition of Miscellaneous Payable for the receipt of the actual guaranteed share of PCSO from ISAC and the application of revenue allocation.  Relative thereto, we reiterate that income is recognized only in the income statement when there is an increase in future economic benefits related to an increase in an asset or a decrease of a liability has arisen that can be measured reliably as provided under the CFFR.   In the case of ISP, only the guaranteed share of 13% corresponds</w:t>
      </w:r>
      <w:r w:rsidR="00DB4E0B">
        <w:rPr>
          <w:rFonts w:ascii="Arial" w:hAnsi="Arial" w:cs="Arial"/>
          <w:sz w:val="22"/>
          <w:szCs w:val="22"/>
        </w:rPr>
        <w:t xml:space="preserve"> to</w:t>
      </w:r>
      <w:r w:rsidRPr="004F6C55">
        <w:rPr>
          <w:rFonts w:ascii="Arial" w:hAnsi="Arial" w:cs="Arial"/>
          <w:sz w:val="22"/>
          <w:szCs w:val="22"/>
        </w:rPr>
        <w:t xml:space="preserve"> increase in the future economic benefit</w:t>
      </w:r>
      <w:r w:rsidR="001C3091">
        <w:rPr>
          <w:rFonts w:ascii="Arial" w:hAnsi="Arial" w:cs="Arial"/>
          <w:sz w:val="22"/>
          <w:szCs w:val="22"/>
        </w:rPr>
        <w:t xml:space="preserve"> and/or asset</w:t>
      </w:r>
      <w:r w:rsidRPr="004F6C55">
        <w:rPr>
          <w:rFonts w:ascii="Arial" w:hAnsi="Arial" w:cs="Arial"/>
          <w:sz w:val="22"/>
          <w:szCs w:val="22"/>
        </w:rPr>
        <w:t xml:space="preserve"> of PCSO.  </w:t>
      </w:r>
      <w:r w:rsidR="00A34956">
        <w:rPr>
          <w:rFonts w:ascii="Arial" w:hAnsi="Arial" w:cs="Arial"/>
          <w:sz w:val="22"/>
          <w:szCs w:val="22"/>
        </w:rPr>
        <w:t xml:space="preserve">It cannot be compared with Lotto and STL because the parties that PCSO has contracted with were entities which acted as PCSO’s Agents which are paid </w:t>
      </w:r>
      <w:r w:rsidR="00DB4E0B">
        <w:rPr>
          <w:rFonts w:ascii="Arial" w:hAnsi="Arial" w:cs="Arial"/>
          <w:sz w:val="22"/>
          <w:szCs w:val="22"/>
        </w:rPr>
        <w:t>on</w:t>
      </w:r>
      <w:r w:rsidR="00A34956">
        <w:rPr>
          <w:rFonts w:ascii="Arial" w:hAnsi="Arial" w:cs="Arial"/>
          <w:sz w:val="22"/>
          <w:szCs w:val="22"/>
        </w:rPr>
        <w:t xml:space="preserve"> commission</w:t>
      </w:r>
      <w:r w:rsidR="00DB4E0B">
        <w:rPr>
          <w:rFonts w:ascii="Arial" w:hAnsi="Arial" w:cs="Arial"/>
          <w:sz w:val="22"/>
          <w:szCs w:val="22"/>
        </w:rPr>
        <w:t xml:space="preserve"> basis</w:t>
      </w:r>
      <w:r w:rsidR="00A34956">
        <w:rPr>
          <w:rFonts w:ascii="Arial" w:hAnsi="Arial" w:cs="Arial"/>
          <w:sz w:val="22"/>
          <w:szCs w:val="22"/>
        </w:rPr>
        <w:t xml:space="preserve">. </w:t>
      </w:r>
    </w:p>
    <w:p w:rsidR="00A34956" w:rsidRDefault="00A34956" w:rsidP="00A34956">
      <w:pPr>
        <w:pStyle w:val="ListParagraph"/>
        <w:ind w:left="1620"/>
        <w:contextualSpacing/>
        <w:jc w:val="both"/>
        <w:rPr>
          <w:rFonts w:ascii="Arial" w:hAnsi="Arial" w:cs="Arial"/>
          <w:sz w:val="22"/>
          <w:szCs w:val="22"/>
        </w:rPr>
      </w:pPr>
    </w:p>
    <w:p w:rsidR="00515404" w:rsidRPr="004F6C55" w:rsidRDefault="00515404" w:rsidP="00DB4E0B">
      <w:pPr>
        <w:pStyle w:val="ListParagraph"/>
        <w:ind w:left="1980"/>
        <w:contextualSpacing/>
        <w:jc w:val="both"/>
        <w:rPr>
          <w:rFonts w:ascii="Arial" w:hAnsi="Arial" w:cs="Arial"/>
          <w:sz w:val="22"/>
          <w:szCs w:val="22"/>
        </w:rPr>
      </w:pPr>
      <w:r w:rsidRPr="004F6C55">
        <w:rPr>
          <w:rFonts w:ascii="Arial" w:hAnsi="Arial" w:cs="Arial"/>
          <w:sz w:val="22"/>
          <w:szCs w:val="22"/>
        </w:rPr>
        <w:t xml:space="preserve">On the other hand, the recognition of Miscellaneous Payable for the actual receipt of guaranteed share from ISAC and for revenue allocation did not meet the criteria of a liability being defined in the CFFR “as </w:t>
      </w:r>
      <w:r w:rsidRPr="004F6C55">
        <w:rPr>
          <w:rFonts w:ascii="Arial" w:hAnsi="Arial" w:cs="Arial"/>
          <w:i/>
          <w:sz w:val="22"/>
          <w:szCs w:val="22"/>
        </w:rPr>
        <w:t xml:space="preserve">present obligation of the entity arising from past events, the settlement of which is expected to result in an outflow from the entity of resources embodying economic benefits.” </w:t>
      </w:r>
      <w:r w:rsidR="00823448">
        <w:rPr>
          <w:rFonts w:ascii="Arial" w:hAnsi="Arial" w:cs="Arial"/>
          <w:sz w:val="22"/>
          <w:szCs w:val="22"/>
        </w:rPr>
        <w:t xml:space="preserve"> Based on records, there was no</w:t>
      </w:r>
      <w:r w:rsidRPr="004F6C55">
        <w:rPr>
          <w:rFonts w:ascii="Arial" w:hAnsi="Arial" w:cs="Arial"/>
          <w:sz w:val="22"/>
          <w:szCs w:val="22"/>
        </w:rPr>
        <w:t xml:space="preserve"> actual liability embodied in the transaction and the account was merely used when closing at year-end the accounts receivable initially recognized.</w:t>
      </w:r>
    </w:p>
    <w:p w:rsidR="00515404" w:rsidRPr="004F6C55" w:rsidRDefault="00515404">
      <w:pPr>
        <w:pStyle w:val="ListParagraph"/>
        <w:ind w:left="1440"/>
        <w:jc w:val="both"/>
        <w:rPr>
          <w:rFonts w:ascii="Arial" w:hAnsi="Arial" w:cs="Arial"/>
          <w:sz w:val="22"/>
          <w:szCs w:val="22"/>
        </w:rPr>
      </w:pPr>
      <w:r w:rsidRPr="004F6C55">
        <w:rPr>
          <w:rFonts w:ascii="Arial" w:hAnsi="Arial" w:cs="Arial"/>
          <w:sz w:val="22"/>
          <w:szCs w:val="22"/>
        </w:rPr>
        <w:t xml:space="preserve"> </w:t>
      </w:r>
    </w:p>
    <w:p w:rsidR="005B3FBD" w:rsidRDefault="00515404" w:rsidP="00DA78B4">
      <w:pPr>
        <w:pStyle w:val="ListParagraph"/>
        <w:numPr>
          <w:ilvl w:val="0"/>
          <w:numId w:val="13"/>
        </w:numPr>
        <w:ind w:left="1980" w:hanging="540"/>
        <w:contextualSpacing/>
        <w:jc w:val="both"/>
        <w:rPr>
          <w:rFonts w:ascii="Arial" w:hAnsi="Arial" w:cs="Arial"/>
          <w:sz w:val="22"/>
          <w:szCs w:val="22"/>
        </w:rPr>
      </w:pPr>
      <w:r w:rsidRPr="004F6C55">
        <w:rPr>
          <w:rFonts w:ascii="Arial" w:hAnsi="Arial" w:cs="Arial"/>
          <w:sz w:val="22"/>
          <w:szCs w:val="22"/>
        </w:rPr>
        <w:lastRenderedPageBreak/>
        <w:t>PCSO may be considered as principal in terms of authority to hold and conduct lotter</w:t>
      </w:r>
      <w:r w:rsidR="001C3091">
        <w:rPr>
          <w:rFonts w:ascii="Arial" w:hAnsi="Arial" w:cs="Arial"/>
          <w:sz w:val="22"/>
          <w:szCs w:val="22"/>
        </w:rPr>
        <w:t xml:space="preserve">ies </w:t>
      </w:r>
      <w:r w:rsidRPr="004F6C55">
        <w:rPr>
          <w:rFonts w:ascii="Arial" w:hAnsi="Arial" w:cs="Arial"/>
          <w:sz w:val="22"/>
          <w:szCs w:val="22"/>
        </w:rPr>
        <w:t>as provided under RA No. 1169. However, in the recording of PCSO’s transactions, the Philippine Financial Reporting Standards (PFRS) require that the entity (PCSO) determines and assesses itself if it acted as Principal in the performance obligation or promise to transfer goods</w:t>
      </w:r>
      <w:r w:rsidR="00823448">
        <w:rPr>
          <w:rFonts w:ascii="Arial" w:hAnsi="Arial" w:cs="Arial"/>
          <w:sz w:val="22"/>
          <w:szCs w:val="22"/>
        </w:rPr>
        <w:t xml:space="preserve"> or services to the customer.  </w:t>
      </w:r>
    </w:p>
    <w:p w:rsidR="005B3FBD" w:rsidRDefault="005B3FBD" w:rsidP="005B3FBD">
      <w:pPr>
        <w:pStyle w:val="ListParagraph"/>
        <w:ind w:left="1980"/>
        <w:contextualSpacing/>
        <w:jc w:val="both"/>
        <w:rPr>
          <w:rFonts w:ascii="Arial" w:hAnsi="Arial" w:cs="Arial"/>
          <w:sz w:val="22"/>
          <w:szCs w:val="22"/>
        </w:rPr>
      </w:pPr>
    </w:p>
    <w:p w:rsidR="005B3FBD" w:rsidRPr="005B3FBD" w:rsidRDefault="005B3FBD" w:rsidP="00DA78B4">
      <w:pPr>
        <w:pStyle w:val="ListParagraph"/>
        <w:numPr>
          <w:ilvl w:val="0"/>
          <w:numId w:val="13"/>
        </w:numPr>
        <w:ind w:left="1980" w:hanging="540"/>
        <w:contextualSpacing/>
        <w:jc w:val="both"/>
        <w:rPr>
          <w:rFonts w:ascii="Arial" w:hAnsi="Arial" w:cs="Arial"/>
          <w:sz w:val="22"/>
          <w:szCs w:val="22"/>
        </w:rPr>
      </w:pPr>
      <w:r>
        <w:rPr>
          <w:rFonts w:ascii="Arial" w:hAnsi="Arial" w:cs="Arial"/>
          <w:sz w:val="22"/>
          <w:szCs w:val="22"/>
        </w:rPr>
        <w:t xml:space="preserve">In view of the differing </w:t>
      </w:r>
      <w:r w:rsidR="004E2443">
        <w:rPr>
          <w:rFonts w:ascii="Arial" w:hAnsi="Arial" w:cs="Arial"/>
          <w:sz w:val="22"/>
          <w:szCs w:val="22"/>
        </w:rPr>
        <w:t>opinion</w:t>
      </w:r>
      <w:r>
        <w:rPr>
          <w:rFonts w:ascii="Arial" w:hAnsi="Arial" w:cs="Arial"/>
          <w:sz w:val="22"/>
          <w:szCs w:val="22"/>
        </w:rPr>
        <w:t xml:space="preserve"> </w:t>
      </w:r>
      <w:r w:rsidR="00530857">
        <w:rPr>
          <w:rFonts w:ascii="Arial" w:hAnsi="Arial" w:cs="Arial"/>
          <w:sz w:val="22"/>
          <w:szCs w:val="22"/>
        </w:rPr>
        <w:t xml:space="preserve">of Management and the Audit Team </w:t>
      </w:r>
      <w:r>
        <w:rPr>
          <w:rFonts w:ascii="Arial" w:hAnsi="Arial" w:cs="Arial"/>
          <w:sz w:val="22"/>
          <w:szCs w:val="22"/>
        </w:rPr>
        <w:t>a</w:t>
      </w:r>
      <w:r w:rsidRPr="005B3FBD">
        <w:rPr>
          <w:rFonts w:ascii="Arial" w:hAnsi="Arial" w:cs="Arial"/>
          <w:sz w:val="22"/>
          <w:szCs w:val="22"/>
        </w:rPr>
        <w:t xml:space="preserve">s regards </w:t>
      </w:r>
      <w:r>
        <w:rPr>
          <w:rFonts w:ascii="Arial" w:hAnsi="Arial" w:cs="Arial"/>
          <w:sz w:val="22"/>
          <w:szCs w:val="22"/>
        </w:rPr>
        <w:t xml:space="preserve">to the proper recording of </w:t>
      </w:r>
      <w:r w:rsidR="00530857">
        <w:rPr>
          <w:rFonts w:ascii="Arial" w:hAnsi="Arial" w:cs="Arial"/>
          <w:sz w:val="22"/>
          <w:szCs w:val="22"/>
        </w:rPr>
        <w:t xml:space="preserve">revenue from ISP, </w:t>
      </w:r>
      <w:r w:rsidRPr="005B3FBD">
        <w:rPr>
          <w:rFonts w:ascii="Arial" w:hAnsi="Arial" w:cs="Arial"/>
          <w:sz w:val="22"/>
          <w:szCs w:val="22"/>
          <w:lang w:eastAsia="en-GB"/>
        </w:rPr>
        <w:t xml:space="preserve">this matter will be referred to the COA </w:t>
      </w:r>
      <w:r>
        <w:rPr>
          <w:rFonts w:ascii="Arial" w:hAnsi="Arial" w:cs="Arial"/>
          <w:sz w:val="22"/>
          <w:szCs w:val="22"/>
          <w:lang w:eastAsia="en-GB"/>
        </w:rPr>
        <w:t>Government Accountancy Sector (GAS)</w:t>
      </w:r>
      <w:r w:rsidRPr="005B3FBD">
        <w:rPr>
          <w:rFonts w:ascii="Arial" w:hAnsi="Arial" w:cs="Arial"/>
          <w:sz w:val="22"/>
          <w:szCs w:val="22"/>
          <w:lang w:eastAsia="en-GB"/>
        </w:rPr>
        <w:t>, for a more authoritative opinion.</w:t>
      </w:r>
    </w:p>
    <w:p w:rsidR="00823448" w:rsidRDefault="00823448" w:rsidP="004F6C55">
      <w:pPr>
        <w:spacing w:after="0" w:line="240" w:lineRule="auto"/>
        <w:rPr>
          <w:rFonts w:ascii="Arial" w:hAnsi="Arial" w:cs="Arial"/>
          <w:b/>
        </w:rPr>
      </w:pPr>
    </w:p>
    <w:p w:rsidR="00530857" w:rsidRPr="004F6C55" w:rsidRDefault="00530857" w:rsidP="004F6C55">
      <w:pPr>
        <w:spacing w:after="0" w:line="240" w:lineRule="auto"/>
        <w:rPr>
          <w:rFonts w:ascii="Arial" w:hAnsi="Arial" w:cs="Arial"/>
          <w:b/>
        </w:rPr>
      </w:pPr>
    </w:p>
    <w:p w:rsidR="00BA6698" w:rsidRPr="00753E6F" w:rsidRDefault="00515404" w:rsidP="00DA78B4">
      <w:pPr>
        <w:pStyle w:val="ListParagraph"/>
        <w:numPr>
          <w:ilvl w:val="3"/>
          <w:numId w:val="3"/>
        </w:numPr>
        <w:ind w:left="720" w:hanging="720"/>
        <w:jc w:val="both"/>
        <w:rPr>
          <w:rFonts w:ascii="Arial" w:hAnsi="Arial" w:cs="Arial"/>
          <w:b/>
          <w:sz w:val="22"/>
          <w:szCs w:val="22"/>
        </w:rPr>
      </w:pPr>
      <w:r w:rsidRPr="00753E6F">
        <w:rPr>
          <w:rFonts w:ascii="Arial" w:hAnsi="Arial" w:cs="Arial"/>
          <w:b/>
          <w:sz w:val="22"/>
          <w:szCs w:val="22"/>
        </w:rPr>
        <w:t>T</w:t>
      </w:r>
      <w:r w:rsidR="00BA6698" w:rsidRPr="00753E6F">
        <w:rPr>
          <w:rFonts w:ascii="Arial" w:hAnsi="Arial" w:cs="Arial"/>
          <w:b/>
          <w:sz w:val="22"/>
          <w:szCs w:val="22"/>
        </w:rPr>
        <w:t xml:space="preserve">he </w:t>
      </w:r>
      <w:r w:rsidR="009450B0" w:rsidRPr="00753E6F">
        <w:rPr>
          <w:rFonts w:ascii="Arial" w:hAnsi="Arial" w:cs="Arial"/>
          <w:b/>
          <w:sz w:val="22"/>
          <w:szCs w:val="22"/>
        </w:rPr>
        <w:t xml:space="preserve">Documentary stamp taxes (DST) and </w:t>
      </w:r>
      <w:r w:rsidR="00BA6698" w:rsidRPr="00753E6F">
        <w:rPr>
          <w:rFonts w:ascii="Arial" w:hAnsi="Arial" w:cs="Arial"/>
          <w:b/>
          <w:sz w:val="22"/>
          <w:szCs w:val="22"/>
        </w:rPr>
        <w:t>Prize Fund Taxes (PFT) account</w:t>
      </w:r>
      <w:r w:rsidR="009450B0" w:rsidRPr="00753E6F">
        <w:rPr>
          <w:rFonts w:ascii="Arial" w:hAnsi="Arial" w:cs="Arial"/>
          <w:b/>
          <w:sz w:val="22"/>
          <w:szCs w:val="22"/>
        </w:rPr>
        <w:t>s</w:t>
      </w:r>
      <w:r w:rsidR="00BA6698" w:rsidRPr="00753E6F">
        <w:rPr>
          <w:rFonts w:ascii="Arial" w:hAnsi="Arial" w:cs="Arial"/>
          <w:b/>
          <w:sz w:val="22"/>
          <w:szCs w:val="22"/>
        </w:rPr>
        <w:t xml:space="preserve"> </w:t>
      </w:r>
      <w:r w:rsidR="009450B0" w:rsidRPr="00753E6F">
        <w:rPr>
          <w:rFonts w:ascii="Arial" w:hAnsi="Arial" w:cs="Arial"/>
          <w:b/>
          <w:sz w:val="22"/>
          <w:szCs w:val="22"/>
        </w:rPr>
        <w:t>in the amount</w:t>
      </w:r>
      <w:r w:rsidR="004E2443" w:rsidRPr="00753E6F">
        <w:rPr>
          <w:rFonts w:ascii="Arial" w:hAnsi="Arial" w:cs="Arial"/>
          <w:b/>
          <w:sz w:val="22"/>
          <w:szCs w:val="22"/>
        </w:rPr>
        <w:t>s</w:t>
      </w:r>
      <w:r w:rsidR="009450B0" w:rsidRPr="00753E6F">
        <w:rPr>
          <w:rFonts w:ascii="Arial" w:hAnsi="Arial" w:cs="Arial"/>
          <w:b/>
          <w:sz w:val="22"/>
          <w:szCs w:val="22"/>
        </w:rPr>
        <w:t xml:space="preserve"> of P9.441 billion and P</w:t>
      </w:r>
      <w:r w:rsidR="00332B5A" w:rsidRPr="00753E6F">
        <w:rPr>
          <w:rFonts w:ascii="Arial" w:hAnsi="Arial" w:cs="Arial"/>
          <w:b/>
          <w:sz w:val="22"/>
          <w:szCs w:val="22"/>
        </w:rPr>
        <w:t>1.419 billion</w:t>
      </w:r>
      <w:r w:rsidR="004E2443" w:rsidRPr="00753E6F">
        <w:rPr>
          <w:rFonts w:ascii="Arial" w:hAnsi="Arial" w:cs="Arial"/>
          <w:b/>
          <w:sz w:val="22"/>
          <w:szCs w:val="22"/>
        </w:rPr>
        <w:t xml:space="preserve"> for CY 2018</w:t>
      </w:r>
      <w:r w:rsidR="009450B0" w:rsidRPr="00753E6F">
        <w:rPr>
          <w:rFonts w:ascii="Arial" w:hAnsi="Arial" w:cs="Arial"/>
          <w:b/>
          <w:sz w:val="22"/>
          <w:szCs w:val="22"/>
        </w:rPr>
        <w:t xml:space="preserve"> </w:t>
      </w:r>
      <w:r w:rsidR="00BA6698" w:rsidRPr="00753E6F">
        <w:rPr>
          <w:rFonts w:ascii="Arial" w:hAnsi="Arial" w:cs="Arial"/>
          <w:b/>
          <w:sz w:val="22"/>
          <w:szCs w:val="22"/>
        </w:rPr>
        <w:t>w</w:t>
      </w:r>
      <w:r w:rsidR="009450B0" w:rsidRPr="00753E6F">
        <w:rPr>
          <w:rFonts w:ascii="Arial" w:hAnsi="Arial" w:cs="Arial"/>
          <w:b/>
          <w:sz w:val="22"/>
          <w:szCs w:val="22"/>
        </w:rPr>
        <w:t xml:space="preserve">ere </w:t>
      </w:r>
      <w:r w:rsidR="00BA6698" w:rsidRPr="00753E6F">
        <w:rPr>
          <w:rFonts w:ascii="Arial" w:hAnsi="Arial" w:cs="Arial"/>
          <w:b/>
          <w:sz w:val="22"/>
          <w:szCs w:val="22"/>
        </w:rPr>
        <w:t xml:space="preserve">overstated by </w:t>
      </w:r>
      <w:r w:rsidR="009450B0" w:rsidRPr="00753E6F">
        <w:rPr>
          <w:rFonts w:ascii="Arial" w:hAnsi="Arial" w:cs="Arial"/>
          <w:b/>
          <w:sz w:val="22"/>
          <w:szCs w:val="22"/>
        </w:rPr>
        <w:t xml:space="preserve">P137.894 million and </w:t>
      </w:r>
      <w:r w:rsidR="00BA6698" w:rsidRPr="00753E6F">
        <w:rPr>
          <w:rFonts w:ascii="Arial" w:hAnsi="Arial" w:cs="Arial"/>
          <w:b/>
          <w:sz w:val="22"/>
          <w:szCs w:val="22"/>
        </w:rPr>
        <w:t>P30</w:t>
      </w:r>
      <w:r w:rsidR="00CB34AC" w:rsidRPr="00753E6F">
        <w:rPr>
          <w:rFonts w:ascii="Arial" w:hAnsi="Arial" w:cs="Arial"/>
          <w:b/>
          <w:sz w:val="22"/>
          <w:szCs w:val="22"/>
        </w:rPr>
        <w:t>.</w:t>
      </w:r>
      <w:r w:rsidR="00BA6698" w:rsidRPr="00753E6F">
        <w:rPr>
          <w:rFonts w:ascii="Arial" w:hAnsi="Arial" w:cs="Arial"/>
          <w:b/>
          <w:sz w:val="22"/>
          <w:szCs w:val="22"/>
        </w:rPr>
        <w:t>968</w:t>
      </w:r>
      <w:r w:rsidR="00CB34AC" w:rsidRPr="00753E6F">
        <w:rPr>
          <w:rFonts w:ascii="Arial" w:hAnsi="Arial" w:cs="Arial"/>
          <w:b/>
          <w:sz w:val="22"/>
          <w:szCs w:val="22"/>
        </w:rPr>
        <w:t xml:space="preserve"> </w:t>
      </w:r>
      <w:r w:rsidR="009450B0" w:rsidRPr="00753E6F">
        <w:rPr>
          <w:rFonts w:ascii="Arial" w:hAnsi="Arial" w:cs="Arial"/>
          <w:b/>
          <w:sz w:val="22"/>
          <w:szCs w:val="22"/>
        </w:rPr>
        <w:t>million</w:t>
      </w:r>
      <w:r w:rsidR="004E2443" w:rsidRPr="00753E6F">
        <w:rPr>
          <w:rFonts w:ascii="Arial" w:hAnsi="Arial" w:cs="Arial"/>
          <w:b/>
          <w:sz w:val="22"/>
          <w:szCs w:val="22"/>
        </w:rPr>
        <w:t>, respectively,</w:t>
      </w:r>
      <w:r w:rsidR="00BA6698" w:rsidRPr="00753E6F">
        <w:rPr>
          <w:rFonts w:ascii="Arial" w:hAnsi="Arial" w:cs="Arial"/>
          <w:b/>
          <w:sz w:val="22"/>
          <w:szCs w:val="22"/>
        </w:rPr>
        <w:t xml:space="preserve"> due to the recognition of the amount paid for </w:t>
      </w:r>
      <w:r w:rsidR="009450B0" w:rsidRPr="00753E6F">
        <w:rPr>
          <w:rFonts w:ascii="Arial" w:hAnsi="Arial" w:cs="Arial"/>
          <w:b/>
          <w:sz w:val="22"/>
          <w:szCs w:val="22"/>
        </w:rPr>
        <w:t xml:space="preserve">DST and </w:t>
      </w:r>
      <w:r w:rsidR="00BA6698" w:rsidRPr="00753E6F">
        <w:rPr>
          <w:rFonts w:ascii="Arial" w:hAnsi="Arial" w:cs="Arial"/>
          <w:b/>
          <w:sz w:val="22"/>
          <w:szCs w:val="22"/>
        </w:rPr>
        <w:t xml:space="preserve">PFT by the Powerball Marketing and Logistics Corporation (PMLC) as part of PCSO’s expenses.  </w:t>
      </w:r>
    </w:p>
    <w:p w:rsidR="00BA6698" w:rsidRPr="00753E6F" w:rsidRDefault="00BA6698" w:rsidP="004C39E3">
      <w:pPr>
        <w:pStyle w:val="ListParagraph"/>
        <w:ind w:left="360"/>
        <w:jc w:val="both"/>
        <w:rPr>
          <w:rFonts w:ascii="Arial" w:hAnsi="Arial" w:cs="Arial"/>
          <w:sz w:val="22"/>
          <w:szCs w:val="22"/>
        </w:rPr>
      </w:pPr>
    </w:p>
    <w:p w:rsidR="00FD7CED" w:rsidRPr="00753E6F" w:rsidRDefault="00FD7CED" w:rsidP="00DA78B4">
      <w:pPr>
        <w:pStyle w:val="ListParagraph"/>
        <w:numPr>
          <w:ilvl w:val="0"/>
          <w:numId w:val="3"/>
        </w:numPr>
        <w:jc w:val="both"/>
        <w:rPr>
          <w:rFonts w:ascii="Arial" w:hAnsi="Arial" w:cs="Arial"/>
          <w:vanish/>
          <w:color w:val="000000"/>
          <w:sz w:val="22"/>
          <w:szCs w:val="22"/>
          <w:lang w:eastAsia="en-SG"/>
        </w:rPr>
      </w:pPr>
    </w:p>
    <w:p w:rsidR="00096475" w:rsidRPr="00753E6F" w:rsidRDefault="00096475" w:rsidP="00DA78B4">
      <w:pPr>
        <w:pStyle w:val="ListParagraph"/>
        <w:numPr>
          <w:ilvl w:val="1"/>
          <w:numId w:val="22"/>
        </w:numPr>
        <w:tabs>
          <w:tab w:val="left" w:pos="1440"/>
        </w:tabs>
        <w:ind w:left="1440" w:hanging="720"/>
        <w:jc w:val="both"/>
        <w:rPr>
          <w:rFonts w:ascii="Arial" w:hAnsi="Arial" w:cs="Arial"/>
        </w:rPr>
      </w:pPr>
      <w:r w:rsidRPr="00753E6F">
        <w:rPr>
          <w:rFonts w:ascii="Arial" w:hAnsi="Arial" w:cs="Arial"/>
          <w:color w:val="000000"/>
          <w:sz w:val="22"/>
          <w:szCs w:val="22"/>
          <w:lang w:eastAsia="en-SG"/>
        </w:rPr>
        <w:t xml:space="preserve">Paragraph </w:t>
      </w:r>
      <w:r w:rsidRPr="00753E6F">
        <w:rPr>
          <w:rFonts w:ascii="Arial" w:hAnsi="Arial" w:cs="Arial"/>
          <w:sz w:val="22"/>
          <w:szCs w:val="22"/>
        </w:rPr>
        <w:t xml:space="preserve">4.49 of the Conceptual Framework for Financial Reporting </w:t>
      </w:r>
      <w:r w:rsidR="008D2A15" w:rsidRPr="00753E6F">
        <w:rPr>
          <w:rFonts w:ascii="Arial" w:hAnsi="Arial" w:cs="Arial"/>
          <w:sz w:val="22"/>
          <w:szCs w:val="22"/>
        </w:rPr>
        <w:t xml:space="preserve">(CFFR) </w:t>
      </w:r>
      <w:r w:rsidRPr="00753E6F">
        <w:rPr>
          <w:rFonts w:ascii="Arial" w:hAnsi="Arial" w:cs="Arial"/>
          <w:sz w:val="22"/>
          <w:szCs w:val="22"/>
        </w:rPr>
        <w:t>provides that</w:t>
      </w:r>
      <w:r w:rsidRPr="00753E6F">
        <w:rPr>
          <w:rFonts w:ascii="Arial" w:hAnsi="Arial" w:cs="Arial"/>
        </w:rPr>
        <w:t>:</w:t>
      </w:r>
    </w:p>
    <w:p w:rsidR="00096475" w:rsidRPr="00EF4855" w:rsidRDefault="00096475" w:rsidP="004C39E3">
      <w:pPr>
        <w:spacing w:after="0" w:line="240" w:lineRule="auto"/>
        <w:ind w:firstLine="706"/>
        <w:jc w:val="both"/>
        <w:rPr>
          <w:rFonts w:ascii="Arial" w:hAnsi="Arial" w:cs="Arial"/>
        </w:rPr>
      </w:pPr>
    </w:p>
    <w:p w:rsidR="00096475" w:rsidRDefault="00096475" w:rsidP="00753E6F">
      <w:pPr>
        <w:spacing w:after="0" w:line="240" w:lineRule="auto"/>
        <w:ind w:left="1800" w:right="720"/>
        <w:jc w:val="both"/>
        <w:rPr>
          <w:rFonts w:ascii="Arial" w:hAnsi="Arial" w:cs="Arial"/>
        </w:rPr>
      </w:pPr>
      <w:r w:rsidRPr="00EF4855">
        <w:rPr>
          <w:rFonts w:ascii="Arial" w:hAnsi="Arial" w:cs="Arial"/>
        </w:rPr>
        <w:t>4.49. Recognition of expenses.</w:t>
      </w:r>
    </w:p>
    <w:p w:rsidR="00FD7CED" w:rsidRPr="00EF4855" w:rsidRDefault="00FD7CED" w:rsidP="00753E6F">
      <w:pPr>
        <w:spacing w:after="0" w:line="240" w:lineRule="auto"/>
        <w:ind w:left="1800" w:right="720"/>
        <w:jc w:val="both"/>
        <w:rPr>
          <w:rFonts w:ascii="Arial" w:hAnsi="Arial" w:cs="Arial"/>
        </w:rPr>
      </w:pPr>
    </w:p>
    <w:p w:rsidR="00096475" w:rsidRPr="00EF4855" w:rsidRDefault="00096475" w:rsidP="00753E6F">
      <w:pPr>
        <w:spacing w:after="0" w:line="240" w:lineRule="auto"/>
        <w:ind w:left="1800" w:right="720"/>
        <w:jc w:val="both"/>
        <w:rPr>
          <w:rFonts w:ascii="Arial" w:hAnsi="Arial" w:cs="Arial"/>
          <w:i/>
        </w:rPr>
      </w:pPr>
      <w:r w:rsidRPr="00EF4855">
        <w:rPr>
          <w:rFonts w:ascii="Arial" w:hAnsi="Arial" w:cs="Arial"/>
          <w:i/>
        </w:rPr>
        <w:t xml:space="preserve">Expenses are recognized in the income statement when a decrease in future economic benefits related to a </w:t>
      </w:r>
      <w:r w:rsidRPr="00EF4855">
        <w:rPr>
          <w:rFonts w:ascii="Arial" w:hAnsi="Arial" w:cs="Arial"/>
          <w:b/>
          <w:i/>
        </w:rPr>
        <w:t>decrease in an asset or an increase of a liability</w:t>
      </w:r>
      <w:r w:rsidRPr="00EF4855">
        <w:rPr>
          <w:rFonts w:ascii="Arial" w:hAnsi="Arial" w:cs="Arial"/>
          <w:i/>
        </w:rPr>
        <w:t xml:space="preserve"> has arisen that can be measured reliably. </w:t>
      </w:r>
      <w:r w:rsidRPr="00A558C4">
        <w:rPr>
          <w:rFonts w:ascii="Arial" w:hAnsi="Arial" w:cs="Arial"/>
        </w:rPr>
        <w:t>(emphasis ours)</w:t>
      </w:r>
    </w:p>
    <w:p w:rsidR="00096475" w:rsidRPr="00EF4855" w:rsidRDefault="00096475" w:rsidP="004C39E3">
      <w:pPr>
        <w:pStyle w:val="ListParagraph"/>
        <w:ind w:left="1080" w:right="588"/>
        <w:jc w:val="both"/>
        <w:rPr>
          <w:rFonts w:ascii="Arial" w:hAnsi="Arial" w:cs="Arial"/>
          <w:sz w:val="22"/>
          <w:szCs w:val="22"/>
        </w:rPr>
      </w:pPr>
    </w:p>
    <w:p w:rsidR="00BA6698" w:rsidRPr="00EF4855" w:rsidRDefault="00BA6698" w:rsidP="00DA78B4">
      <w:pPr>
        <w:pStyle w:val="ListParagraph"/>
        <w:numPr>
          <w:ilvl w:val="1"/>
          <w:numId w:val="22"/>
        </w:numPr>
        <w:ind w:left="1440" w:hanging="720"/>
        <w:jc w:val="both"/>
        <w:rPr>
          <w:rFonts w:ascii="Arial" w:hAnsi="Arial" w:cs="Arial"/>
          <w:sz w:val="22"/>
          <w:szCs w:val="22"/>
        </w:rPr>
      </w:pPr>
      <w:r w:rsidRPr="00EF4855">
        <w:rPr>
          <w:rFonts w:ascii="Arial" w:hAnsi="Arial" w:cs="Arial"/>
          <w:color w:val="000000"/>
          <w:sz w:val="22"/>
          <w:szCs w:val="22"/>
          <w:lang w:eastAsia="en-SG"/>
        </w:rPr>
        <w:t xml:space="preserve">Section 24 of the </w:t>
      </w:r>
      <w:r w:rsidRPr="00EF4855">
        <w:rPr>
          <w:rFonts w:ascii="Arial" w:hAnsi="Arial" w:cs="Arial"/>
          <w:sz w:val="22"/>
          <w:szCs w:val="22"/>
        </w:rPr>
        <w:t>R</w:t>
      </w:r>
      <w:r w:rsidR="008D2A15" w:rsidRPr="00EF4855">
        <w:rPr>
          <w:rFonts w:ascii="Arial" w:hAnsi="Arial" w:cs="Arial"/>
          <w:sz w:val="22"/>
          <w:szCs w:val="22"/>
        </w:rPr>
        <w:t xml:space="preserve">evised </w:t>
      </w:r>
      <w:r w:rsidR="00332B5A">
        <w:rPr>
          <w:rFonts w:ascii="Arial" w:hAnsi="Arial" w:cs="Arial"/>
          <w:sz w:val="22"/>
          <w:szCs w:val="22"/>
        </w:rPr>
        <w:t xml:space="preserve">IRR </w:t>
      </w:r>
      <w:r w:rsidRPr="00EF4855">
        <w:rPr>
          <w:rFonts w:ascii="Arial" w:hAnsi="Arial" w:cs="Arial"/>
          <w:sz w:val="22"/>
          <w:szCs w:val="22"/>
        </w:rPr>
        <w:t xml:space="preserve">for the ISP </w:t>
      </w:r>
      <w:r w:rsidR="008D2A15" w:rsidRPr="00EF4855">
        <w:rPr>
          <w:rFonts w:ascii="Arial" w:hAnsi="Arial" w:cs="Arial"/>
          <w:sz w:val="22"/>
          <w:szCs w:val="22"/>
        </w:rPr>
        <w:t xml:space="preserve">requires </w:t>
      </w:r>
      <w:r w:rsidRPr="00EF4855">
        <w:rPr>
          <w:rFonts w:ascii="Arial" w:hAnsi="Arial" w:cs="Arial"/>
          <w:sz w:val="22"/>
          <w:szCs w:val="22"/>
        </w:rPr>
        <w:t>that the ISAC shall undertake to remit to PCSO every last week of the month for tax payment</w:t>
      </w:r>
      <w:r w:rsidR="00A34956">
        <w:rPr>
          <w:rFonts w:ascii="Arial" w:hAnsi="Arial" w:cs="Arial"/>
          <w:sz w:val="22"/>
          <w:szCs w:val="22"/>
        </w:rPr>
        <w:t>s</w:t>
      </w:r>
      <w:r w:rsidRPr="00EF4855">
        <w:rPr>
          <w:rFonts w:ascii="Arial" w:hAnsi="Arial" w:cs="Arial"/>
          <w:sz w:val="22"/>
          <w:szCs w:val="22"/>
        </w:rPr>
        <w:t xml:space="preserve"> of </w:t>
      </w:r>
      <w:r w:rsidR="009450B0">
        <w:rPr>
          <w:rFonts w:ascii="Arial" w:hAnsi="Arial" w:cs="Arial"/>
          <w:sz w:val="22"/>
          <w:szCs w:val="22"/>
        </w:rPr>
        <w:t xml:space="preserve">DST and </w:t>
      </w:r>
      <w:r w:rsidRPr="00EF4855">
        <w:rPr>
          <w:rFonts w:ascii="Arial" w:hAnsi="Arial" w:cs="Arial"/>
          <w:sz w:val="22"/>
          <w:szCs w:val="22"/>
        </w:rPr>
        <w:t>PFT at a fixed monthly amount based on</w:t>
      </w:r>
      <w:r w:rsidRPr="00EF4855">
        <w:rPr>
          <w:rFonts w:ascii="Arial" w:hAnsi="Arial" w:cs="Arial"/>
          <w:spacing w:val="-17"/>
          <w:sz w:val="22"/>
          <w:szCs w:val="22"/>
        </w:rPr>
        <w:t xml:space="preserve"> </w:t>
      </w:r>
      <w:r w:rsidRPr="00EF4855">
        <w:rPr>
          <w:rFonts w:ascii="Arial" w:hAnsi="Arial" w:cs="Arial"/>
          <w:sz w:val="22"/>
          <w:szCs w:val="22"/>
        </w:rPr>
        <w:t>the</w:t>
      </w:r>
      <w:r w:rsidRPr="00EF4855">
        <w:rPr>
          <w:rFonts w:ascii="Arial" w:hAnsi="Arial" w:cs="Arial"/>
          <w:spacing w:val="-18"/>
          <w:sz w:val="22"/>
          <w:szCs w:val="22"/>
        </w:rPr>
        <w:t xml:space="preserve"> </w:t>
      </w:r>
      <w:r w:rsidRPr="00EF4855">
        <w:rPr>
          <w:rFonts w:ascii="Arial" w:hAnsi="Arial" w:cs="Arial"/>
          <w:sz w:val="22"/>
          <w:szCs w:val="22"/>
        </w:rPr>
        <w:t>guaranteed</w:t>
      </w:r>
      <w:r w:rsidRPr="00EF4855">
        <w:rPr>
          <w:rFonts w:ascii="Arial" w:hAnsi="Arial" w:cs="Arial"/>
          <w:spacing w:val="-5"/>
          <w:sz w:val="22"/>
          <w:szCs w:val="22"/>
        </w:rPr>
        <w:t xml:space="preserve"> </w:t>
      </w:r>
      <w:r w:rsidRPr="00EF4855">
        <w:rPr>
          <w:rFonts w:ascii="Arial" w:hAnsi="Arial" w:cs="Arial"/>
          <w:sz w:val="22"/>
          <w:szCs w:val="22"/>
        </w:rPr>
        <w:t>sales</w:t>
      </w:r>
      <w:r w:rsidRPr="00EF4855">
        <w:rPr>
          <w:rFonts w:ascii="Arial" w:hAnsi="Arial" w:cs="Arial"/>
          <w:spacing w:val="-15"/>
          <w:sz w:val="22"/>
          <w:szCs w:val="22"/>
        </w:rPr>
        <w:t xml:space="preserve"> </w:t>
      </w:r>
      <w:r w:rsidRPr="00EF4855">
        <w:rPr>
          <w:rFonts w:ascii="Arial" w:hAnsi="Arial" w:cs="Arial"/>
          <w:sz w:val="22"/>
          <w:szCs w:val="22"/>
        </w:rPr>
        <w:t>per</w:t>
      </w:r>
      <w:r w:rsidRPr="00EF4855">
        <w:rPr>
          <w:rFonts w:ascii="Arial" w:hAnsi="Arial" w:cs="Arial"/>
          <w:spacing w:val="-12"/>
          <w:sz w:val="22"/>
          <w:szCs w:val="22"/>
        </w:rPr>
        <w:t xml:space="preserve"> </w:t>
      </w:r>
      <w:r w:rsidRPr="00EF4855">
        <w:rPr>
          <w:rFonts w:ascii="Arial" w:hAnsi="Arial" w:cs="Arial"/>
          <w:sz w:val="22"/>
          <w:szCs w:val="22"/>
        </w:rPr>
        <w:t>year,</w:t>
      </w:r>
      <w:r w:rsidRPr="00EF4855">
        <w:rPr>
          <w:rFonts w:ascii="Arial" w:hAnsi="Arial" w:cs="Arial"/>
          <w:spacing w:val="-10"/>
          <w:sz w:val="22"/>
          <w:szCs w:val="22"/>
        </w:rPr>
        <w:t xml:space="preserve"> </w:t>
      </w:r>
      <w:r w:rsidRPr="00EF4855">
        <w:rPr>
          <w:rFonts w:ascii="Arial" w:hAnsi="Arial" w:cs="Arial"/>
          <w:sz w:val="22"/>
          <w:szCs w:val="22"/>
        </w:rPr>
        <w:t>subject</w:t>
      </w:r>
      <w:r w:rsidRPr="00EF4855">
        <w:rPr>
          <w:rFonts w:ascii="Arial" w:hAnsi="Arial" w:cs="Arial"/>
          <w:spacing w:val="-8"/>
          <w:sz w:val="22"/>
          <w:szCs w:val="22"/>
        </w:rPr>
        <w:t xml:space="preserve"> </w:t>
      </w:r>
      <w:r w:rsidRPr="00EF4855">
        <w:rPr>
          <w:rFonts w:ascii="Arial" w:hAnsi="Arial" w:cs="Arial"/>
          <w:sz w:val="22"/>
          <w:szCs w:val="22"/>
        </w:rPr>
        <w:t>to</w:t>
      </w:r>
      <w:r w:rsidRPr="00EF4855">
        <w:rPr>
          <w:rFonts w:ascii="Arial" w:hAnsi="Arial" w:cs="Arial"/>
          <w:spacing w:val="-21"/>
          <w:sz w:val="22"/>
          <w:szCs w:val="22"/>
        </w:rPr>
        <w:t xml:space="preserve"> </w:t>
      </w:r>
      <w:r w:rsidRPr="00EF4855">
        <w:rPr>
          <w:rFonts w:ascii="Arial" w:hAnsi="Arial" w:cs="Arial"/>
          <w:sz w:val="22"/>
          <w:szCs w:val="22"/>
        </w:rPr>
        <w:t>adjustment</w:t>
      </w:r>
      <w:r w:rsidRPr="00EF4855">
        <w:rPr>
          <w:rFonts w:ascii="Arial" w:hAnsi="Arial" w:cs="Arial"/>
          <w:spacing w:val="-8"/>
          <w:sz w:val="22"/>
          <w:szCs w:val="22"/>
        </w:rPr>
        <w:t xml:space="preserve"> </w:t>
      </w:r>
      <w:r w:rsidRPr="00EF4855">
        <w:rPr>
          <w:rFonts w:ascii="Arial" w:hAnsi="Arial" w:cs="Arial"/>
          <w:sz w:val="22"/>
          <w:szCs w:val="22"/>
        </w:rPr>
        <w:t>based</w:t>
      </w:r>
      <w:r w:rsidRPr="00EF4855">
        <w:rPr>
          <w:rFonts w:ascii="Arial" w:hAnsi="Arial" w:cs="Arial"/>
          <w:spacing w:val="-12"/>
          <w:sz w:val="22"/>
          <w:szCs w:val="22"/>
        </w:rPr>
        <w:t xml:space="preserve"> </w:t>
      </w:r>
      <w:r w:rsidRPr="00EF4855">
        <w:rPr>
          <w:rFonts w:ascii="Arial" w:hAnsi="Arial" w:cs="Arial"/>
          <w:sz w:val="22"/>
          <w:szCs w:val="22"/>
        </w:rPr>
        <w:t>on the</w:t>
      </w:r>
      <w:r w:rsidRPr="00EF4855">
        <w:rPr>
          <w:rFonts w:ascii="Arial" w:hAnsi="Arial" w:cs="Arial"/>
          <w:spacing w:val="-22"/>
          <w:sz w:val="22"/>
          <w:szCs w:val="22"/>
        </w:rPr>
        <w:t xml:space="preserve"> </w:t>
      </w:r>
      <w:r w:rsidRPr="00EF4855">
        <w:rPr>
          <w:rFonts w:ascii="Arial" w:hAnsi="Arial" w:cs="Arial"/>
          <w:sz w:val="22"/>
          <w:szCs w:val="22"/>
        </w:rPr>
        <w:t>actual</w:t>
      </w:r>
      <w:r w:rsidRPr="00EF4855">
        <w:rPr>
          <w:rFonts w:ascii="Arial" w:hAnsi="Arial" w:cs="Arial"/>
          <w:spacing w:val="-18"/>
          <w:sz w:val="22"/>
          <w:szCs w:val="22"/>
        </w:rPr>
        <w:t xml:space="preserve"> </w:t>
      </w:r>
      <w:r w:rsidRPr="00EF4855">
        <w:rPr>
          <w:rFonts w:ascii="Arial" w:hAnsi="Arial" w:cs="Arial"/>
          <w:sz w:val="22"/>
          <w:szCs w:val="22"/>
        </w:rPr>
        <w:t>sales,</w:t>
      </w:r>
      <w:r w:rsidRPr="00EF4855">
        <w:rPr>
          <w:rFonts w:ascii="Arial" w:hAnsi="Arial" w:cs="Arial"/>
          <w:spacing w:val="-17"/>
          <w:sz w:val="22"/>
          <w:szCs w:val="22"/>
        </w:rPr>
        <w:t xml:space="preserve"> </w:t>
      </w:r>
      <w:r w:rsidRPr="00EF4855">
        <w:rPr>
          <w:rFonts w:ascii="Arial" w:hAnsi="Arial" w:cs="Arial"/>
          <w:sz w:val="22"/>
          <w:szCs w:val="22"/>
        </w:rPr>
        <w:t>if</w:t>
      </w:r>
      <w:r w:rsidRPr="00EF4855">
        <w:rPr>
          <w:rFonts w:ascii="Arial" w:hAnsi="Arial" w:cs="Arial"/>
          <w:spacing w:val="-22"/>
          <w:sz w:val="22"/>
          <w:szCs w:val="22"/>
        </w:rPr>
        <w:t xml:space="preserve"> </w:t>
      </w:r>
      <w:r w:rsidRPr="00EF4855">
        <w:rPr>
          <w:rFonts w:ascii="Arial" w:hAnsi="Arial" w:cs="Arial"/>
          <w:sz w:val="22"/>
          <w:szCs w:val="22"/>
        </w:rPr>
        <w:t>higher</w:t>
      </w:r>
      <w:r w:rsidRPr="00EF4855">
        <w:rPr>
          <w:rFonts w:ascii="Arial" w:hAnsi="Arial" w:cs="Arial"/>
          <w:spacing w:val="-10"/>
          <w:sz w:val="22"/>
          <w:szCs w:val="22"/>
        </w:rPr>
        <w:t xml:space="preserve"> </w:t>
      </w:r>
      <w:r w:rsidRPr="00EF4855">
        <w:rPr>
          <w:rFonts w:ascii="Arial" w:hAnsi="Arial" w:cs="Arial"/>
          <w:sz w:val="22"/>
          <w:szCs w:val="22"/>
        </w:rPr>
        <w:t>than</w:t>
      </w:r>
      <w:r w:rsidRPr="00EF4855">
        <w:rPr>
          <w:rFonts w:ascii="Arial" w:hAnsi="Arial" w:cs="Arial"/>
          <w:spacing w:val="-21"/>
          <w:sz w:val="22"/>
          <w:szCs w:val="22"/>
        </w:rPr>
        <w:t xml:space="preserve"> </w:t>
      </w:r>
      <w:r w:rsidRPr="00EF4855">
        <w:rPr>
          <w:rFonts w:ascii="Arial" w:hAnsi="Arial" w:cs="Arial"/>
          <w:sz w:val="22"/>
          <w:szCs w:val="22"/>
        </w:rPr>
        <w:t>the</w:t>
      </w:r>
      <w:r w:rsidRPr="00EF4855">
        <w:rPr>
          <w:rFonts w:ascii="Arial" w:hAnsi="Arial" w:cs="Arial"/>
          <w:spacing w:val="-27"/>
          <w:sz w:val="22"/>
          <w:szCs w:val="22"/>
        </w:rPr>
        <w:t xml:space="preserve"> </w:t>
      </w:r>
      <w:r w:rsidRPr="00EF4855">
        <w:rPr>
          <w:rFonts w:ascii="Arial" w:hAnsi="Arial" w:cs="Arial"/>
          <w:sz w:val="22"/>
          <w:szCs w:val="22"/>
        </w:rPr>
        <w:t>guaranteed</w:t>
      </w:r>
      <w:r w:rsidRPr="00EF4855">
        <w:rPr>
          <w:rFonts w:ascii="Arial" w:hAnsi="Arial" w:cs="Arial"/>
          <w:spacing w:val="-10"/>
          <w:sz w:val="22"/>
          <w:szCs w:val="22"/>
        </w:rPr>
        <w:t xml:space="preserve"> </w:t>
      </w:r>
      <w:r w:rsidRPr="00EF4855">
        <w:rPr>
          <w:rFonts w:ascii="Arial" w:hAnsi="Arial" w:cs="Arial"/>
          <w:sz w:val="22"/>
          <w:szCs w:val="22"/>
        </w:rPr>
        <w:t>sales, including</w:t>
      </w:r>
      <w:r w:rsidRPr="00EF4855">
        <w:rPr>
          <w:rFonts w:ascii="Arial" w:hAnsi="Arial" w:cs="Arial"/>
          <w:spacing w:val="-14"/>
          <w:sz w:val="22"/>
          <w:szCs w:val="22"/>
        </w:rPr>
        <w:t xml:space="preserve"> the </w:t>
      </w:r>
      <w:r w:rsidRPr="00EF4855">
        <w:rPr>
          <w:rFonts w:ascii="Arial" w:hAnsi="Arial" w:cs="Arial"/>
          <w:sz w:val="22"/>
          <w:szCs w:val="22"/>
        </w:rPr>
        <w:t>payment</w:t>
      </w:r>
      <w:r w:rsidRPr="00EF4855">
        <w:rPr>
          <w:rFonts w:ascii="Arial" w:hAnsi="Arial" w:cs="Arial"/>
          <w:spacing w:val="-10"/>
          <w:sz w:val="22"/>
          <w:szCs w:val="22"/>
        </w:rPr>
        <w:t xml:space="preserve"> </w:t>
      </w:r>
      <w:r w:rsidRPr="00EF4855">
        <w:rPr>
          <w:rFonts w:ascii="Arial" w:hAnsi="Arial" w:cs="Arial"/>
          <w:sz w:val="22"/>
          <w:szCs w:val="22"/>
        </w:rPr>
        <w:t>of deficiency tax, penalties and</w:t>
      </w:r>
      <w:r w:rsidRPr="00EF4855">
        <w:rPr>
          <w:rFonts w:ascii="Arial" w:hAnsi="Arial" w:cs="Arial"/>
          <w:spacing w:val="22"/>
          <w:sz w:val="22"/>
          <w:szCs w:val="22"/>
        </w:rPr>
        <w:t xml:space="preserve"> </w:t>
      </w:r>
      <w:r w:rsidRPr="00EF4855">
        <w:rPr>
          <w:rFonts w:ascii="Arial" w:hAnsi="Arial" w:cs="Arial"/>
          <w:sz w:val="22"/>
          <w:szCs w:val="22"/>
        </w:rPr>
        <w:t>surcharges.</w:t>
      </w:r>
    </w:p>
    <w:p w:rsidR="00BA6698" w:rsidRPr="00EF4855" w:rsidRDefault="00BA6698" w:rsidP="004C39E3">
      <w:pPr>
        <w:spacing w:after="0" w:line="240" w:lineRule="auto"/>
        <w:ind w:firstLine="706"/>
        <w:jc w:val="both"/>
        <w:rPr>
          <w:rFonts w:ascii="Arial" w:hAnsi="Arial" w:cs="Arial"/>
        </w:rPr>
      </w:pPr>
    </w:p>
    <w:p w:rsidR="009450B0" w:rsidRPr="00C65D8F" w:rsidRDefault="009450B0" w:rsidP="00DA78B4">
      <w:pPr>
        <w:pStyle w:val="ListParagraph"/>
        <w:numPr>
          <w:ilvl w:val="1"/>
          <w:numId w:val="22"/>
        </w:numPr>
        <w:ind w:left="1440" w:hanging="720"/>
        <w:jc w:val="both"/>
        <w:rPr>
          <w:rFonts w:ascii="Arial" w:hAnsi="Arial" w:cs="Arial"/>
          <w:color w:val="000000"/>
          <w:sz w:val="22"/>
          <w:szCs w:val="22"/>
          <w:lang w:eastAsia="en-SG"/>
        </w:rPr>
      </w:pPr>
      <w:r w:rsidRPr="00C65D8F">
        <w:rPr>
          <w:rFonts w:ascii="Arial" w:hAnsi="Arial" w:cs="Arial"/>
          <w:color w:val="000000"/>
          <w:sz w:val="22"/>
          <w:szCs w:val="22"/>
          <w:lang w:eastAsia="en-SG"/>
        </w:rPr>
        <w:t>The gross retail receipts of</w:t>
      </w:r>
      <w:r w:rsidR="00A34956">
        <w:rPr>
          <w:rFonts w:ascii="Arial" w:hAnsi="Arial" w:cs="Arial"/>
          <w:color w:val="000000"/>
          <w:sz w:val="22"/>
          <w:szCs w:val="22"/>
          <w:lang w:eastAsia="en-SG"/>
        </w:rPr>
        <w:t xml:space="preserve"> </w:t>
      </w:r>
      <w:r w:rsidR="00A34956" w:rsidRPr="00C65D8F">
        <w:rPr>
          <w:rFonts w:ascii="Arial" w:hAnsi="Arial" w:cs="Arial"/>
          <w:color w:val="000000"/>
          <w:sz w:val="22"/>
          <w:szCs w:val="22"/>
          <w:lang w:eastAsia="en-SG"/>
        </w:rPr>
        <w:t>Instant Sweepstakes Program (ISP)</w:t>
      </w:r>
      <w:r w:rsidR="00A34956">
        <w:rPr>
          <w:rFonts w:ascii="Arial" w:hAnsi="Arial" w:cs="Arial"/>
          <w:color w:val="000000"/>
          <w:sz w:val="22"/>
          <w:szCs w:val="22"/>
          <w:lang w:eastAsia="en-SG"/>
        </w:rPr>
        <w:t>,</w:t>
      </w:r>
      <w:r w:rsidR="00A34956" w:rsidRPr="00C65D8F">
        <w:rPr>
          <w:rFonts w:ascii="Arial" w:hAnsi="Arial" w:cs="Arial"/>
          <w:color w:val="000000"/>
          <w:sz w:val="22"/>
          <w:szCs w:val="22"/>
          <w:lang w:eastAsia="en-SG"/>
        </w:rPr>
        <w:t xml:space="preserve"> </w:t>
      </w:r>
      <w:r w:rsidR="00A34956">
        <w:rPr>
          <w:rFonts w:ascii="Arial" w:hAnsi="Arial" w:cs="Arial"/>
          <w:color w:val="000000"/>
          <w:sz w:val="22"/>
          <w:szCs w:val="22"/>
          <w:lang w:eastAsia="en-SG"/>
        </w:rPr>
        <w:t>like the PCS</w:t>
      </w:r>
      <w:r w:rsidR="00845840">
        <w:rPr>
          <w:rFonts w:ascii="Arial" w:hAnsi="Arial" w:cs="Arial"/>
          <w:color w:val="000000"/>
          <w:sz w:val="22"/>
          <w:szCs w:val="22"/>
          <w:lang w:eastAsia="en-SG"/>
        </w:rPr>
        <w:t>O’s other regular games such as</w:t>
      </w:r>
      <w:r w:rsidRPr="00C65D8F">
        <w:rPr>
          <w:rFonts w:ascii="Arial" w:hAnsi="Arial" w:cs="Arial"/>
          <w:color w:val="000000"/>
          <w:sz w:val="22"/>
          <w:szCs w:val="22"/>
          <w:lang w:eastAsia="en-SG"/>
        </w:rPr>
        <w:t xml:space="preserve"> Lotto, Small Town Lottery (STL), Keno, and Sweepstakes</w:t>
      </w:r>
      <w:r w:rsidR="00A34956">
        <w:rPr>
          <w:rFonts w:ascii="Arial" w:hAnsi="Arial" w:cs="Arial"/>
          <w:color w:val="000000"/>
          <w:sz w:val="22"/>
          <w:szCs w:val="22"/>
          <w:lang w:eastAsia="en-SG"/>
        </w:rPr>
        <w:t>,</w:t>
      </w:r>
      <w:r w:rsidRPr="00C65D8F">
        <w:rPr>
          <w:rFonts w:ascii="Arial" w:hAnsi="Arial" w:cs="Arial"/>
          <w:color w:val="000000"/>
          <w:sz w:val="22"/>
          <w:szCs w:val="22"/>
          <w:lang w:eastAsia="en-SG"/>
        </w:rPr>
        <w:t xml:space="preserve"> </w:t>
      </w:r>
      <w:r w:rsidR="00332B5A" w:rsidRPr="00C65D8F">
        <w:rPr>
          <w:rFonts w:ascii="Arial" w:hAnsi="Arial" w:cs="Arial"/>
          <w:color w:val="000000"/>
          <w:sz w:val="22"/>
          <w:szCs w:val="22"/>
          <w:lang w:eastAsia="en-SG"/>
        </w:rPr>
        <w:t>are being subjected to 20</w:t>
      </w:r>
      <w:r w:rsidR="00517962" w:rsidRPr="00517962">
        <w:rPr>
          <w:rFonts w:ascii="Arial" w:hAnsi="Arial" w:cs="Arial"/>
          <w:sz w:val="22"/>
          <w:szCs w:val="22"/>
        </w:rPr>
        <w:t xml:space="preserve"> </w:t>
      </w:r>
      <w:r w:rsidR="00517962">
        <w:rPr>
          <w:rFonts w:ascii="Arial" w:hAnsi="Arial" w:cs="Arial"/>
          <w:sz w:val="22"/>
          <w:szCs w:val="22"/>
        </w:rPr>
        <w:t>per cent</w:t>
      </w:r>
      <w:r w:rsidR="00332B5A" w:rsidRPr="00C65D8F">
        <w:rPr>
          <w:rFonts w:ascii="Arial" w:hAnsi="Arial" w:cs="Arial"/>
          <w:color w:val="000000"/>
          <w:sz w:val="22"/>
          <w:szCs w:val="22"/>
          <w:lang w:eastAsia="en-SG"/>
        </w:rPr>
        <w:t xml:space="preserve"> DST. </w:t>
      </w:r>
      <w:r w:rsidRPr="00C65D8F">
        <w:rPr>
          <w:rFonts w:ascii="Arial" w:hAnsi="Arial" w:cs="Arial"/>
          <w:color w:val="000000"/>
          <w:sz w:val="22"/>
          <w:szCs w:val="22"/>
          <w:lang w:eastAsia="en-SG"/>
        </w:rPr>
        <w:t xml:space="preserve"> The </w:t>
      </w:r>
      <w:r w:rsidRPr="00C65D8F">
        <w:rPr>
          <w:rFonts w:ascii="Arial" w:hAnsi="Arial" w:cs="Arial"/>
          <w:sz w:val="22"/>
          <w:szCs w:val="22"/>
        </w:rPr>
        <w:t>R</w:t>
      </w:r>
      <w:r w:rsidR="00A874F9">
        <w:rPr>
          <w:rFonts w:ascii="Arial" w:hAnsi="Arial" w:cs="Arial"/>
          <w:sz w:val="22"/>
          <w:szCs w:val="22"/>
        </w:rPr>
        <w:t xml:space="preserve">evised </w:t>
      </w:r>
      <w:r w:rsidRPr="00C65D8F">
        <w:rPr>
          <w:rFonts w:ascii="Arial" w:hAnsi="Arial" w:cs="Arial"/>
          <w:sz w:val="22"/>
          <w:szCs w:val="22"/>
        </w:rPr>
        <w:t>IRR for the ISP provided that PCSO and PLMC shall have a share of eight per</w:t>
      </w:r>
      <w:r w:rsidR="00A874F9">
        <w:rPr>
          <w:rFonts w:ascii="Arial" w:hAnsi="Arial" w:cs="Arial"/>
          <w:sz w:val="22"/>
          <w:szCs w:val="22"/>
        </w:rPr>
        <w:t xml:space="preserve"> </w:t>
      </w:r>
      <w:r w:rsidRPr="00C65D8F">
        <w:rPr>
          <w:rFonts w:ascii="Arial" w:hAnsi="Arial" w:cs="Arial"/>
          <w:sz w:val="22"/>
          <w:szCs w:val="22"/>
        </w:rPr>
        <w:t>cent (8%) and twelve per</w:t>
      </w:r>
      <w:r w:rsidR="00A874F9">
        <w:rPr>
          <w:rFonts w:ascii="Arial" w:hAnsi="Arial" w:cs="Arial"/>
          <w:sz w:val="22"/>
          <w:szCs w:val="22"/>
        </w:rPr>
        <w:t xml:space="preserve"> </w:t>
      </w:r>
      <w:r w:rsidRPr="00C65D8F">
        <w:rPr>
          <w:rFonts w:ascii="Arial" w:hAnsi="Arial" w:cs="Arial"/>
          <w:sz w:val="22"/>
          <w:szCs w:val="22"/>
        </w:rPr>
        <w:t>cent (12%), respectively, over the twenty per</w:t>
      </w:r>
      <w:r w:rsidR="00A874F9">
        <w:rPr>
          <w:rFonts w:ascii="Arial" w:hAnsi="Arial" w:cs="Arial"/>
          <w:sz w:val="22"/>
          <w:szCs w:val="22"/>
        </w:rPr>
        <w:t xml:space="preserve"> </w:t>
      </w:r>
      <w:r w:rsidRPr="00C65D8F">
        <w:rPr>
          <w:rFonts w:ascii="Arial" w:hAnsi="Arial" w:cs="Arial"/>
          <w:sz w:val="22"/>
          <w:szCs w:val="22"/>
        </w:rPr>
        <w:t>cent (20%) DST.  PCSO serves as the withholding agent only on the 12</w:t>
      </w:r>
      <w:r w:rsidR="00517962" w:rsidRPr="00517962">
        <w:rPr>
          <w:rFonts w:ascii="Arial" w:hAnsi="Arial" w:cs="Arial"/>
          <w:sz w:val="22"/>
          <w:szCs w:val="22"/>
        </w:rPr>
        <w:t xml:space="preserve"> </w:t>
      </w:r>
      <w:r w:rsidR="00517962">
        <w:rPr>
          <w:rFonts w:ascii="Arial" w:hAnsi="Arial" w:cs="Arial"/>
          <w:sz w:val="22"/>
          <w:szCs w:val="22"/>
        </w:rPr>
        <w:t>per cent</w:t>
      </w:r>
      <w:r w:rsidRPr="00C65D8F">
        <w:rPr>
          <w:rFonts w:ascii="Arial" w:hAnsi="Arial" w:cs="Arial"/>
          <w:sz w:val="22"/>
          <w:szCs w:val="22"/>
        </w:rPr>
        <w:t xml:space="preserve"> share of PLMC for remittance to the Bureau of Internal Revenue. </w:t>
      </w:r>
    </w:p>
    <w:p w:rsidR="00C65D8F" w:rsidRPr="00C65D8F" w:rsidRDefault="00C65D8F" w:rsidP="00C65D8F">
      <w:pPr>
        <w:pStyle w:val="ListParagraph"/>
        <w:rPr>
          <w:rFonts w:ascii="Arial" w:hAnsi="Arial" w:cs="Arial"/>
          <w:color w:val="000000"/>
          <w:sz w:val="22"/>
          <w:szCs w:val="22"/>
          <w:lang w:eastAsia="en-SG"/>
        </w:rPr>
      </w:pPr>
    </w:p>
    <w:p w:rsidR="00B07B86" w:rsidRDefault="00332B5A" w:rsidP="00DA78B4">
      <w:pPr>
        <w:pStyle w:val="ListParagraph"/>
        <w:numPr>
          <w:ilvl w:val="1"/>
          <w:numId w:val="22"/>
        </w:numPr>
        <w:ind w:left="1440" w:hanging="720"/>
        <w:jc w:val="both"/>
        <w:rPr>
          <w:rFonts w:ascii="Arial" w:hAnsi="Arial" w:cs="Arial"/>
          <w:color w:val="000000"/>
          <w:sz w:val="22"/>
          <w:szCs w:val="22"/>
          <w:lang w:eastAsia="en-SG"/>
        </w:rPr>
      </w:pPr>
      <w:r w:rsidRPr="00EF4855">
        <w:rPr>
          <w:rFonts w:ascii="Arial" w:hAnsi="Arial" w:cs="Arial"/>
          <w:color w:val="000000"/>
          <w:sz w:val="22"/>
          <w:szCs w:val="22"/>
          <w:lang w:eastAsia="en-SG"/>
        </w:rPr>
        <w:t xml:space="preserve">For CY 2018, the total gross retail receipts generated under the ISP through the PMLC amounted to P1.149 billion with the corresponding </w:t>
      </w:r>
      <w:r w:rsidR="00A874F9">
        <w:rPr>
          <w:rFonts w:ascii="Arial" w:hAnsi="Arial" w:cs="Arial"/>
          <w:color w:val="000000"/>
          <w:sz w:val="22"/>
          <w:szCs w:val="22"/>
          <w:lang w:eastAsia="en-SG"/>
        </w:rPr>
        <w:t xml:space="preserve">      </w:t>
      </w:r>
      <w:r w:rsidRPr="00EF4855">
        <w:rPr>
          <w:rFonts w:ascii="Arial" w:hAnsi="Arial" w:cs="Arial"/>
          <w:color w:val="000000"/>
          <w:sz w:val="22"/>
          <w:szCs w:val="22"/>
          <w:lang w:eastAsia="en-SG"/>
        </w:rPr>
        <w:t>20</w:t>
      </w:r>
      <w:r w:rsidR="00517962" w:rsidRPr="00517962">
        <w:rPr>
          <w:rFonts w:ascii="Arial" w:hAnsi="Arial" w:cs="Arial"/>
          <w:sz w:val="22"/>
          <w:szCs w:val="22"/>
        </w:rPr>
        <w:t xml:space="preserve"> </w:t>
      </w:r>
      <w:r w:rsidR="00517962">
        <w:rPr>
          <w:rFonts w:ascii="Arial" w:hAnsi="Arial" w:cs="Arial"/>
          <w:sz w:val="22"/>
          <w:szCs w:val="22"/>
        </w:rPr>
        <w:t>per cent</w:t>
      </w:r>
      <w:r w:rsidRPr="00EF4855">
        <w:rPr>
          <w:rFonts w:ascii="Arial" w:hAnsi="Arial" w:cs="Arial"/>
          <w:color w:val="000000"/>
          <w:sz w:val="22"/>
          <w:szCs w:val="22"/>
          <w:lang w:eastAsia="en-SG"/>
        </w:rPr>
        <w:t xml:space="preserve"> DST of P229.824 million.  </w:t>
      </w:r>
      <w:r>
        <w:rPr>
          <w:rFonts w:ascii="Arial" w:hAnsi="Arial" w:cs="Arial"/>
          <w:color w:val="000000"/>
          <w:sz w:val="22"/>
          <w:szCs w:val="22"/>
          <w:lang w:eastAsia="en-SG"/>
        </w:rPr>
        <w:t>However, t</w:t>
      </w:r>
      <w:r w:rsidRPr="00EF4855">
        <w:rPr>
          <w:rFonts w:ascii="Arial" w:hAnsi="Arial" w:cs="Arial"/>
          <w:color w:val="000000"/>
          <w:sz w:val="22"/>
          <w:szCs w:val="22"/>
          <w:lang w:eastAsia="en-SG"/>
        </w:rPr>
        <w:t xml:space="preserve">his amount was recognized as DST expenses in the books of PCSO in its entirety despite </w:t>
      </w:r>
      <w:r w:rsidRPr="00EF4855">
        <w:rPr>
          <w:rFonts w:ascii="Arial" w:hAnsi="Arial" w:cs="Arial"/>
          <w:color w:val="000000"/>
          <w:sz w:val="22"/>
          <w:szCs w:val="22"/>
          <w:lang w:eastAsia="en-SG"/>
        </w:rPr>
        <w:lastRenderedPageBreak/>
        <w:t>the fact that twelve per</w:t>
      </w:r>
      <w:r w:rsidR="00A874F9">
        <w:rPr>
          <w:rFonts w:ascii="Arial" w:hAnsi="Arial" w:cs="Arial"/>
          <w:color w:val="000000"/>
          <w:sz w:val="22"/>
          <w:szCs w:val="22"/>
          <w:lang w:eastAsia="en-SG"/>
        </w:rPr>
        <w:t xml:space="preserve"> </w:t>
      </w:r>
      <w:r w:rsidRPr="00EF4855">
        <w:rPr>
          <w:rFonts w:ascii="Arial" w:hAnsi="Arial" w:cs="Arial"/>
          <w:color w:val="000000"/>
          <w:sz w:val="22"/>
          <w:szCs w:val="22"/>
          <w:lang w:eastAsia="en-SG"/>
        </w:rPr>
        <w:t>cent (12%) thereof, in the amount of P137.894 million, was shouldered by the PMLC</w:t>
      </w:r>
      <w:r>
        <w:rPr>
          <w:rFonts w:ascii="Arial" w:hAnsi="Arial" w:cs="Arial"/>
          <w:color w:val="000000"/>
          <w:sz w:val="22"/>
          <w:szCs w:val="22"/>
          <w:lang w:eastAsia="en-SG"/>
        </w:rPr>
        <w:t>.</w:t>
      </w:r>
      <w:r w:rsidRPr="00EF4855">
        <w:rPr>
          <w:rFonts w:ascii="Arial" w:hAnsi="Arial" w:cs="Arial"/>
          <w:color w:val="000000"/>
          <w:sz w:val="22"/>
          <w:szCs w:val="22"/>
          <w:lang w:eastAsia="en-SG"/>
        </w:rPr>
        <w:t xml:space="preserve"> </w:t>
      </w:r>
    </w:p>
    <w:p w:rsidR="00B07B86" w:rsidRPr="00B07B86" w:rsidRDefault="00B07B86" w:rsidP="006C0553">
      <w:pPr>
        <w:pStyle w:val="ListParagraph"/>
        <w:ind w:left="1440" w:hanging="720"/>
        <w:rPr>
          <w:rFonts w:ascii="Arial" w:hAnsi="Arial" w:cs="Arial"/>
          <w:color w:val="000000"/>
          <w:sz w:val="22"/>
          <w:szCs w:val="22"/>
          <w:lang w:eastAsia="en-SG"/>
        </w:rPr>
      </w:pPr>
    </w:p>
    <w:p w:rsidR="00BA6698" w:rsidRPr="00B07B86" w:rsidRDefault="00332B5A" w:rsidP="00DA78B4">
      <w:pPr>
        <w:pStyle w:val="ListParagraph"/>
        <w:numPr>
          <w:ilvl w:val="1"/>
          <w:numId w:val="22"/>
        </w:numPr>
        <w:ind w:left="1440" w:hanging="720"/>
        <w:jc w:val="both"/>
        <w:rPr>
          <w:rFonts w:ascii="Arial" w:hAnsi="Arial" w:cs="Arial"/>
          <w:color w:val="000000"/>
          <w:sz w:val="22"/>
          <w:szCs w:val="22"/>
          <w:lang w:eastAsia="en-SG"/>
        </w:rPr>
      </w:pPr>
      <w:r w:rsidRPr="00B07B86">
        <w:rPr>
          <w:rFonts w:ascii="Arial" w:hAnsi="Arial" w:cs="Arial"/>
          <w:color w:val="000000"/>
          <w:sz w:val="22"/>
          <w:szCs w:val="22"/>
          <w:lang w:eastAsia="en-SG"/>
        </w:rPr>
        <w:t>Likewise, v</w:t>
      </w:r>
      <w:r w:rsidR="00BA6698" w:rsidRPr="00B07B86">
        <w:rPr>
          <w:rFonts w:ascii="Arial" w:hAnsi="Arial" w:cs="Arial"/>
          <w:color w:val="000000"/>
          <w:sz w:val="22"/>
          <w:szCs w:val="22"/>
          <w:lang w:eastAsia="en-SG"/>
        </w:rPr>
        <w:t xml:space="preserve">erification </w:t>
      </w:r>
      <w:r w:rsidRPr="00B07B86">
        <w:rPr>
          <w:rFonts w:ascii="Arial" w:hAnsi="Arial" w:cs="Arial"/>
          <w:color w:val="000000"/>
          <w:sz w:val="22"/>
          <w:szCs w:val="22"/>
          <w:lang w:eastAsia="en-SG"/>
        </w:rPr>
        <w:t xml:space="preserve">of records </w:t>
      </w:r>
      <w:r w:rsidR="00BA6698" w:rsidRPr="00B07B86">
        <w:rPr>
          <w:rFonts w:ascii="Arial" w:hAnsi="Arial" w:cs="Arial"/>
          <w:color w:val="000000"/>
          <w:sz w:val="22"/>
          <w:szCs w:val="22"/>
          <w:lang w:eastAsia="en-SG"/>
        </w:rPr>
        <w:t>disclosed that the balance of P1</w:t>
      </w:r>
      <w:r w:rsidR="00CB34AC" w:rsidRPr="00B07B86">
        <w:rPr>
          <w:rFonts w:ascii="Arial" w:hAnsi="Arial" w:cs="Arial"/>
          <w:color w:val="000000"/>
          <w:sz w:val="22"/>
          <w:szCs w:val="22"/>
          <w:lang w:eastAsia="en-SG"/>
        </w:rPr>
        <w:t>.</w:t>
      </w:r>
      <w:r w:rsidR="00BA6698" w:rsidRPr="00B07B86">
        <w:rPr>
          <w:rFonts w:ascii="Arial" w:hAnsi="Arial" w:cs="Arial"/>
          <w:color w:val="000000"/>
          <w:sz w:val="22"/>
          <w:szCs w:val="22"/>
          <w:lang w:eastAsia="en-SG"/>
        </w:rPr>
        <w:t>419</w:t>
      </w:r>
      <w:r w:rsidR="00CB34AC" w:rsidRPr="00B07B86">
        <w:rPr>
          <w:rFonts w:ascii="Arial" w:hAnsi="Arial" w:cs="Arial"/>
          <w:color w:val="000000"/>
          <w:sz w:val="22"/>
          <w:szCs w:val="22"/>
          <w:lang w:eastAsia="en-SG"/>
        </w:rPr>
        <w:t xml:space="preserve"> billion</w:t>
      </w:r>
      <w:r w:rsidR="00BA6698" w:rsidRPr="00B07B86">
        <w:rPr>
          <w:rFonts w:ascii="Arial" w:hAnsi="Arial" w:cs="Arial"/>
          <w:color w:val="000000"/>
          <w:sz w:val="22"/>
          <w:szCs w:val="22"/>
          <w:lang w:eastAsia="en-SG"/>
        </w:rPr>
        <w:t xml:space="preserve"> of the Prize Fund Taxes (5%) account presented in the financial statements as of December 31, 2018 included the total amount of P30</w:t>
      </w:r>
      <w:r w:rsidR="00A874F9">
        <w:rPr>
          <w:rFonts w:ascii="Arial" w:hAnsi="Arial" w:cs="Arial"/>
          <w:color w:val="000000"/>
          <w:sz w:val="22"/>
          <w:szCs w:val="22"/>
          <w:lang w:eastAsia="en-SG"/>
        </w:rPr>
        <w:t>.</w:t>
      </w:r>
      <w:r w:rsidR="00BA6698" w:rsidRPr="00B07B86">
        <w:rPr>
          <w:rFonts w:ascii="Arial" w:hAnsi="Arial" w:cs="Arial"/>
          <w:color w:val="000000"/>
          <w:sz w:val="22"/>
          <w:szCs w:val="22"/>
          <w:lang w:eastAsia="en-SG"/>
        </w:rPr>
        <w:t>96</w:t>
      </w:r>
      <w:r w:rsidR="00A874F9">
        <w:rPr>
          <w:rFonts w:ascii="Arial" w:hAnsi="Arial" w:cs="Arial"/>
          <w:color w:val="000000"/>
          <w:sz w:val="22"/>
          <w:szCs w:val="22"/>
          <w:lang w:eastAsia="en-SG"/>
        </w:rPr>
        <w:t>9 million</w:t>
      </w:r>
      <w:r w:rsidR="00BA6698" w:rsidRPr="00B07B86">
        <w:rPr>
          <w:rFonts w:ascii="Arial" w:hAnsi="Arial" w:cs="Arial"/>
          <w:color w:val="000000"/>
          <w:sz w:val="22"/>
          <w:szCs w:val="22"/>
          <w:lang w:eastAsia="en-SG"/>
        </w:rPr>
        <w:t xml:space="preserve"> that was remitted by PMLC to the PCSO for remittance to the BIR, </w:t>
      </w:r>
      <w:r w:rsidR="00A34956" w:rsidRPr="00B07B86">
        <w:rPr>
          <w:rFonts w:ascii="Arial" w:hAnsi="Arial" w:cs="Arial"/>
          <w:color w:val="000000"/>
          <w:sz w:val="22"/>
          <w:szCs w:val="22"/>
          <w:lang w:eastAsia="en-SG"/>
        </w:rPr>
        <w:t>contrary to</w:t>
      </w:r>
      <w:r w:rsidR="00BA6698" w:rsidRPr="00B07B86">
        <w:rPr>
          <w:rFonts w:ascii="Arial" w:hAnsi="Arial" w:cs="Arial"/>
          <w:color w:val="000000"/>
          <w:sz w:val="22"/>
          <w:szCs w:val="22"/>
          <w:lang w:eastAsia="en-SG"/>
        </w:rPr>
        <w:t xml:space="preserve"> Paragraph </w:t>
      </w:r>
      <w:r w:rsidR="00BA6698" w:rsidRPr="00B07B86">
        <w:rPr>
          <w:rFonts w:ascii="Arial" w:hAnsi="Arial" w:cs="Arial"/>
          <w:sz w:val="22"/>
          <w:szCs w:val="22"/>
        </w:rPr>
        <w:t xml:space="preserve">4.49 of the </w:t>
      </w:r>
      <w:r w:rsidR="008D2A15" w:rsidRPr="00B07B86">
        <w:rPr>
          <w:rFonts w:ascii="Arial" w:hAnsi="Arial" w:cs="Arial"/>
          <w:sz w:val="22"/>
          <w:szCs w:val="22"/>
        </w:rPr>
        <w:t>CFFR.</w:t>
      </w:r>
      <w:r w:rsidR="00BA6698" w:rsidRPr="00B07B86">
        <w:rPr>
          <w:rFonts w:ascii="Arial" w:hAnsi="Arial" w:cs="Arial"/>
          <w:sz w:val="22"/>
          <w:szCs w:val="22"/>
        </w:rPr>
        <w:t xml:space="preserve"> </w:t>
      </w:r>
    </w:p>
    <w:p w:rsidR="009A5697" w:rsidRPr="00EF4855" w:rsidRDefault="009A5697" w:rsidP="004C39E3">
      <w:pPr>
        <w:pStyle w:val="ListParagraph"/>
        <w:ind w:left="1080"/>
        <w:jc w:val="both"/>
        <w:rPr>
          <w:rFonts w:ascii="Arial" w:hAnsi="Arial" w:cs="Arial"/>
          <w:sz w:val="22"/>
          <w:szCs w:val="22"/>
        </w:rPr>
      </w:pPr>
    </w:p>
    <w:p w:rsidR="00332B5A" w:rsidRPr="00332B5A" w:rsidRDefault="00332B5A" w:rsidP="00DA78B4">
      <w:pPr>
        <w:pStyle w:val="ListParagraph"/>
        <w:numPr>
          <w:ilvl w:val="1"/>
          <w:numId w:val="22"/>
        </w:numPr>
        <w:ind w:left="1440" w:hanging="720"/>
        <w:jc w:val="both"/>
        <w:rPr>
          <w:rFonts w:ascii="Arial" w:hAnsi="Arial" w:cs="Arial"/>
          <w:color w:val="000000"/>
          <w:sz w:val="22"/>
          <w:szCs w:val="22"/>
          <w:lang w:eastAsia="en-SG"/>
        </w:rPr>
      </w:pPr>
      <w:r w:rsidRPr="00EF4855">
        <w:rPr>
          <w:rFonts w:ascii="Arial" w:hAnsi="Arial" w:cs="Arial"/>
          <w:color w:val="000000"/>
          <w:sz w:val="22"/>
          <w:szCs w:val="22"/>
          <w:lang w:eastAsia="en-SG"/>
        </w:rPr>
        <w:t xml:space="preserve">Inquiry with the concerned accounting personnel disclosed that the recognition of the whole amount of P229.824 million as DST </w:t>
      </w:r>
      <w:r w:rsidR="00702B77" w:rsidRPr="00EF4855">
        <w:rPr>
          <w:rFonts w:ascii="Arial" w:hAnsi="Arial" w:cs="Arial"/>
          <w:color w:val="000000"/>
          <w:sz w:val="22"/>
          <w:szCs w:val="22"/>
          <w:lang w:eastAsia="en-SG"/>
        </w:rPr>
        <w:t xml:space="preserve">expenses </w:t>
      </w:r>
      <w:r w:rsidR="00702B77">
        <w:rPr>
          <w:rFonts w:ascii="Arial" w:hAnsi="Arial" w:cs="Arial"/>
          <w:color w:val="000000"/>
          <w:sz w:val="22"/>
          <w:szCs w:val="22"/>
          <w:lang w:eastAsia="en-SG"/>
        </w:rPr>
        <w:t>and</w:t>
      </w:r>
      <w:r>
        <w:rPr>
          <w:rFonts w:ascii="Arial" w:hAnsi="Arial" w:cs="Arial"/>
          <w:color w:val="000000"/>
          <w:sz w:val="22"/>
          <w:szCs w:val="22"/>
          <w:lang w:eastAsia="en-SG"/>
        </w:rPr>
        <w:t xml:space="preserve"> the </w:t>
      </w:r>
      <w:r w:rsidRPr="00EF4855">
        <w:rPr>
          <w:rFonts w:ascii="Arial" w:hAnsi="Arial" w:cs="Arial"/>
          <w:sz w:val="22"/>
          <w:szCs w:val="22"/>
        </w:rPr>
        <w:t xml:space="preserve">P30.968 million </w:t>
      </w:r>
      <w:r>
        <w:rPr>
          <w:rFonts w:ascii="Arial" w:hAnsi="Arial" w:cs="Arial"/>
          <w:sz w:val="22"/>
          <w:szCs w:val="22"/>
        </w:rPr>
        <w:t>as PFT expenses was</w:t>
      </w:r>
      <w:r w:rsidRPr="00EF4855">
        <w:rPr>
          <w:rFonts w:ascii="Arial" w:hAnsi="Arial" w:cs="Arial"/>
          <w:color w:val="000000"/>
          <w:sz w:val="22"/>
          <w:szCs w:val="22"/>
          <w:lang w:eastAsia="en-SG"/>
        </w:rPr>
        <w:t xml:space="preserve"> due to the recognition of the whole Retail Receipts from ISP as </w:t>
      </w:r>
      <w:r w:rsidR="00A34956">
        <w:rPr>
          <w:rFonts w:ascii="Arial" w:hAnsi="Arial" w:cs="Arial"/>
          <w:color w:val="000000"/>
          <w:sz w:val="22"/>
          <w:szCs w:val="22"/>
          <w:lang w:eastAsia="en-SG"/>
        </w:rPr>
        <w:t>r</w:t>
      </w:r>
      <w:r w:rsidRPr="00EF4855">
        <w:rPr>
          <w:rFonts w:ascii="Arial" w:hAnsi="Arial" w:cs="Arial"/>
          <w:color w:val="000000"/>
          <w:sz w:val="22"/>
          <w:szCs w:val="22"/>
          <w:lang w:eastAsia="en-SG"/>
        </w:rPr>
        <w:t>evenue in the books of PCSO, taking into consideration the matching principles in accounting</w:t>
      </w:r>
      <w:r>
        <w:rPr>
          <w:rFonts w:ascii="Arial" w:hAnsi="Arial" w:cs="Arial"/>
          <w:color w:val="000000"/>
          <w:sz w:val="22"/>
          <w:szCs w:val="22"/>
          <w:lang w:eastAsia="en-SG"/>
        </w:rPr>
        <w:t>.</w:t>
      </w:r>
    </w:p>
    <w:p w:rsidR="00332B5A" w:rsidRPr="00332B5A" w:rsidRDefault="00332B5A" w:rsidP="006C0553">
      <w:pPr>
        <w:pStyle w:val="ListParagraph"/>
        <w:ind w:left="1440" w:hanging="720"/>
        <w:rPr>
          <w:rFonts w:ascii="Arial" w:hAnsi="Arial" w:cs="Arial"/>
          <w:sz w:val="22"/>
          <w:szCs w:val="22"/>
        </w:rPr>
      </w:pPr>
    </w:p>
    <w:p w:rsidR="00A34956" w:rsidRPr="00A34956" w:rsidRDefault="00BA6698" w:rsidP="00DA78B4">
      <w:pPr>
        <w:pStyle w:val="ListParagraph"/>
        <w:numPr>
          <w:ilvl w:val="1"/>
          <w:numId w:val="22"/>
        </w:numPr>
        <w:ind w:left="1440" w:hanging="720"/>
        <w:jc w:val="both"/>
        <w:rPr>
          <w:rFonts w:ascii="Arial" w:hAnsi="Arial" w:cs="Arial"/>
          <w:color w:val="000000"/>
          <w:sz w:val="22"/>
          <w:szCs w:val="22"/>
          <w:lang w:eastAsia="en-SG"/>
        </w:rPr>
      </w:pPr>
      <w:r w:rsidRPr="00D208BF">
        <w:rPr>
          <w:rFonts w:ascii="Arial" w:hAnsi="Arial" w:cs="Arial"/>
          <w:color w:val="000000"/>
          <w:sz w:val="22"/>
          <w:szCs w:val="22"/>
          <w:lang w:eastAsia="en-SG"/>
        </w:rPr>
        <w:t>Considering</w:t>
      </w:r>
      <w:r w:rsidRPr="00EF4855">
        <w:rPr>
          <w:rFonts w:ascii="Arial" w:hAnsi="Arial" w:cs="Arial"/>
          <w:sz w:val="22"/>
          <w:szCs w:val="22"/>
        </w:rPr>
        <w:t xml:space="preserve"> that</w:t>
      </w:r>
      <w:r w:rsidR="00845840">
        <w:rPr>
          <w:rFonts w:ascii="Arial" w:hAnsi="Arial" w:cs="Arial"/>
          <w:sz w:val="22"/>
          <w:szCs w:val="22"/>
        </w:rPr>
        <w:t xml:space="preserve"> the </w:t>
      </w:r>
      <w:r w:rsidRPr="00EF4855">
        <w:rPr>
          <w:rFonts w:ascii="Arial" w:hAnsi="Arial" w:cs="Arial"/>
          <w:sz w:val="22"/>
          <w:szCs w:val="22"/>
        </w:rPr>
        <w:t xml:space="preserve">PMLC shouldered the full amount of the PFT and </w:t>
      </w:r>
      <w:r w:rsidR="00332B5A">
        <w:rPr>
          <w:rFonts w:ascii="Arial" w:hAnsi="Arial" w:cs="Arial"/>
          <w:sz w:val="22"/>
          <w:szCs w:val="22"/>
        </w:rPr>
        <w:t>the 12</w:t>
      </w:r>
      <w:r w:rsidR="00D5668D" w:rsidRPr="00D5668D">
        <w:rPr>
          <w:rFonts w:ascii="Arial" w:hAnsi="Arial" w:cs="Arial"/>
          <w:sz w:val="22"/>
          <w:szCs w:val="22"/>
        </w:rPr>
        <w:t xml:space="preserve"> </w:t>
      </w:r>
      <w:r w:rsidR="00D5668D">
        <w:rPr>
          <w:rFonts w:ascii="Arial" w:hAnsi="Arial" w:cs="Arial"/>
          <w:sz w:val="22"/>
          <w:szCs w:val="22"/>
        </w:rPr>
        <w:t>per cent</w:t>
      </w:r>
      <w:r w:rsidR="00332B5A">
        <w:rPr>
          <w:rFonts w:ascii="Arial" w:hAnsi="Arial" w:cs="Arial"/>
          <w:sz w:val="22"/>
          <w:szCs w:val="22"/>
        </w:rPr>
        <w:t xml:space="preserve"> of the DST and that </w:t>
      </w:r>
      <w:r w:rsidRPr="00EF4855">
        <w:rPr>
          <w:rFonts w:ascii="Arial" w:hAnsi="Arial" w:cs="Arial"/>
          <w:sz w:val="22"/>
          <w:szCs w:val="22"/>
        </w:rPr>
        <w:t xml:space="preserve">there was no actual outflow of cash or decrease in any of PCSO’s assets, the total amount of </w:t>
      </w:r>
      <w:r w:rsidR="00702B77" w:rsidRPr="00EF4855">
        <w:rPr>
          <w:rFonts w:ascii="Arial" w:hAnsi="Arial" w:cs="Arial"/>
          <w:color w:val="000000"/>
          <w:sz w:val="22"/>
          <w:szCs w:val="22"/>
          <w:lang w:eastAsia="en-SG"/>
        </w:rPr>
        <w:t xml:space="preserve">P229.824 million </w:t>
      </w:r>
      <w:r w:rsidR="00702B77">
        <w:rPr>
          <w:rFonts w:ascii="Arial" w:hAnsi="Arial" w:cs="Arial"/>
          <w:color w:val="000000"/>
          <w:sz w:val="22"/>
          <w:szCs w:val="22"/>
          <w:lang w:eastAsia="en-SG"/>
        </w:rPr>
        <w:t xml:space="preserve">and </w:t>
      </w:r>
      <w:r w:rsidRPr="00EF4855">
        <w:rPr>
          <w:rFonts w:ascii="Arial" w:hAnsi="Arial" w:cs="Arial"/>
          <w:sz w:val="22"/>
          <w:szCs w:val="22"/>
        </w:rPr>
        <w:t>P30</w:t>
      </w:r>
      <w:r w:rsidR="00CB34AC" w:rsidRPr="00EF4855">
        <w:rPr>
          <w:rFonts w:ascii="Arial" w:hAnsi="Arial" w:cs="Arial"/>
          <w:sz w:val="22"/>
          <w:szCs w:val="22"/>
        </w:rPr>
        <w:t>.</w:t>
      </w:r>
      <w:r w:rsidRPr="00EF4855">
        <w:rPr>
          <w:rFonts w:ascii="Arial" w:hAnsi="Arial" w:cs="Arial"/>
          <w:sz w:val="22"/>
          <w:szCs w:val="22"/>
        </w:rPr>
        <w:t>968</w:t>
      </w:r>
      <w:r w:rsidR="00CB34AC" w:rsidRPr="00EF4855">
        <w:rPr>
          <w:rFonts w:ascii="Arial" w:hAnsi="Arial" w:cs="Arial"/>
          <w:sz w:val="22"/>
          <w:szCs w:val="22"/>
        </w:rPr>
        <w:t xml:space="preserve"> million</w:t>
      </w:r>
      <w:r w:rsidRPr="00EF4855">
        <w:rPr>
          <w:rFonts w:ascii="Arial" w:hAnsi="Arial" w:cs="Arial"/>
          <w:sz w:val="22"/>
          <w:szCs w:val="22"/>
        </w:rPr>
        <w:t xml:space="preserve"> should have not been recognized as expenses but rather trust liabilities in the books of the PCSO.  </w:t>
      </w:r>
    </w:p>
    <w:p w:rsidR="00A34956" w:rsidRPr="00A34956" w:rsidRDefault="00A34956" w:rsidP="00A34956">
      <w:pPr>
        <w:pStyle w:val="ListParagraph"/>
        <w:rPr>
          <w:rFonts w:ascii="Arial" w:hAnsi="Arial" w:cs="Arial"/>
          <w:sz w:val="22"/>
          <w:szCs w:val="22"/>
        </w:rPr>
      </w:pPr>
    </w:p>
    <w:p w:rsidR="00BA6698" w:rsidRPr="00EF4855" w:rsidRDefault="00BA6698" w:rsidP="00DA78B4">
      <w:pPr>
        <w:pStyle w:val="ListParagraph"/>
        <w:numPr>
          <w:ilvl w:val="1"/>
          <w:numId w:val="22"/>
        </w:numPr>
        <w:ind w:left="1440" w:hanging="720"/>
        <w:jc w:val="both"/>
        <w:rPr>
          <w:rFonts w:ascii="Arial" w:hAnsi="Arial" w:cs="Arial"/>
          <w:color w:val="000000"/>
          <w:sz w:val="22"/>
          <w:szCs w:val="22"/>
          <w:lang w:eastAsia="en-SG"/>
        </w:rPr>
      </w:pPr>
      <w:r w:rsidRPr="00EF4855">
        <w:rPr>
          <w:rFonts w:ascii="Arial" w:hAnsi="Arial" w:cs="Arial"/>
          <w:sz w:val="22"/>
          <w:szCs w:val="22"/>
        </w:rPr>
        <w:t>Due to the erroneous treatment of the said transaction</w:t>
      </w:r>
      <w:r w:rsidR="00702B77">
        <w:rPr>
          <w:rFonts w:ascii="Arial" w:hAnsi="Arial" w:cs="Arial"/>
          <w:sz w:val="22"/>
          <w:szCs w:val="22"/>
        </w:rPr>
        <w:t>s</w:t>
      </w:r>
      <w:r w:rsidRPr="00EF4855">
        <w:rPr>
          <w:rFonts w:ascii="Arial" w:hAnsi="Arial" w:cs="Arial"/>
          <w:sz w:val="22"/>
          <w:szCs w:val="22"/>
        </w:rPr>
        <w:t xml:space="preserve">, the </w:t>
      </w:r>
      <w:r w:rsidR="00702B77">
        <w:rPr>
          <w:rFonts w:ascii="Arial" w:hAnsi="Arial" w:cs="Arial"/>
          <w:sz w:val="22"/>
          <w:szCs w:val="22"/>
        </w:rPr>
        <w:t xml:space="preserve">DST and </w:t>
      </w:r>
      <w:r w:rsidRPr="00EF4855">
        <w:rPr>
          <w:rFonts w:ascii="Arial" w:hAnsi="Arial" w:cs="Arial"/>
          <w:sz w:val="22"/>
          <w:szCs w:val="22"/>
        </w:rPr>
        <w:t>P</w:t>
      </w:r>
      <w:r w:rsidR="00702B77">
        <w:rPr>
          <w:rFonts w:ascii="Arial" w:hAnsi="Arial" w:cs="Arial"/>
          <w:sz w:val="22"/>
          <w:szCs w:val="22"/>
        </w:rPr>
        <w:t>FT</w:t>
      </w:r>
      <w:r w:rsidRPr="00EF4855">
        <w:rPr>
          <w:rFonts w:ascii="Arial" w:hAnsi="Arial" w:cs="Arial"/>
          <w:sz w:val="22"/>
          <w:szCs w:val="22"/>
        </w:rPr>
        <w:t xml:space="preserve"> account</w:t>
      </w:r>
      <w:r w:rsidR="00702B77">
        <w:rPr>
          <w:rFonts w:ascii="Arial" w:hAnsi="Arial" w:cs="Arial"/>
          <w:sz w:val="22"/>
          <w:szCs w:val="22"/>
        </w:rPr>
        <w:t>s</w:t>
      </w:r>
      <w:r w:rsidRPr="00EF4855">
        <w:rPr>
          <w:rFonts w:ascii="Arial" w:hAnsi="Arial" w:cs="Arial"/>
          <w:sz w:val="22"/>
          <w:szCs w:val="22"/>
        </w:rPr>
        <w:t xml:space="preserve"> w</w:t>
      </w:r>
      <w:r w:rsidR="00702B77">
        <w:rPr>
          <w:rFonts w:ascii="Arial" w:hAnsi="Arial" w:cs="Arial"/>
          <w:sz w:val="22"/>
          <w:szCs w:val="22"/>
        </w:rPr>
        <w:t xml:space="preserve">ere </w:t>
      </w:r>
      <w:r w:rsidRPr="00EF4855">
        <w:rPr>
          <w:rFonts w:ascii="Arial" w:hAnsi="Arial" w:cs="Arial"/>
          <w:sz w:val="22"/>
          <w:szCs w:val="22"/>
        </w:rPr>
        <w:t>overstated by</w:t>
      </w:r>
      <w:r w:rsidR="00702B77" w:rsidRPr="00702B77">
        <w:rPr>
          <w:rFonts w:ascii="Arial" w:hAnsi="Arial" w:cs="Arial"/>
          <w:color w:val="000000"/>
          <w:sz w:val="22"/>
          <w:szCs w:val="22"/>
          <w:lang w:eastAsia="en-SG"/>
        </w:rPr>
        <w:t xml:space="preserve"> </w:t>
      </w:r>
      <w:r w:rsidR="00702B77" w:rsidRPr="00EF4855">
        <w:rPr>
          <w:rFonts w:ascii="Arial" w:hAnsi="Arial" w:cs="Arial"/>
          <w:color w:val="000000"/>
          <w:sz w:val="22"/>
          <w:szCs w:val="22"/>
          <w:lang w:eastAsia="en-SG"/>
        </w:rPr>
        <w:t>P137.894 million</w:t>
      </w:r>
      <w:r w:rsidRPr="00EF4855">
        <w:rPr>
          <w:rFonts w:ascii="Arial" w:hAnsi="Arial" w:cs="Arial"/>
          <w:sz w:val="22"/>
          <w:szCs w:val="22"/>
        </w:rPr>
        <w:t xml:space="preserve"> </w:t>
      </w:r>
      <w:r w:rsidR="00702B77">
        <w:rPr>
          <w:rFonts w:ascii="Arial" w:hAnsi="Arial" w:cs="Arial"/>
          <w:sz w:val="22"/>
          <w:szCs w:val="22"/>
        </w:rPr>
        <w:t xml:space="preserve">and </w:t>
      </w:r>
      <w:r w:rsidRPr="00EF4855">
        <w:rPr>
          <w:rFonts w:ascii="Arial" w:hAnsi="Arial" w:cs="Arial"/>
          <w:sz w:val="22"/>
          <w:szCs w:val="22"/>
        </w:rPr>
        <w:t>P30</w:t>
      </w:r>
      <w:r w:rsidR="00B24A94">
        <w:rPr>
          <w:rFonts w:ascii="Arial" w:hAnsi="Arial" w:cs="Arial"/>
          <w:sz w:val="22"/>
          <w:szCs w:val="22"/>
        </w:rPr>
        <w:t>.</w:t>
      </w:r>
      <w:r w:rsidRPr="00EF4855">
        <w:rPr>
          <w:rFonts w:ascii="Arial" w:hAnsi="Arial" w:cs="Arial"/>
          <w:sz w:val="22"/>
          <w:szCs w:val="22"/>
        </w:rPr>
        <w:t>968</w:t>
      </w:r>
      <w:r w:rsidR="00B24A94">
        <w:rPr>
          <w:rFonts w:ascii="Arial" w:hAnsi="Arial" w:cs="Arial"/>
          <w:sz w:val="22"/>
          <w:szCs w:val="22"/>
        </w:rPr>
        <w:t xml:space="preserve"> million</w:t>
      </w:r>
      <w:r w:rsidR="00702B77">
        <w:rPr>
          <w:rFonts w:ascii="Arial" w:hAnsi="Arial" w:cs="Arial"/>
          <w:sz w:val="22"/>
          <w:szCs w:val="22"/>
        </w:rPr>
        <w:t>, respectively,</w:t>
      </w:r>
      <w:r w:rsidRPr="00EF4855">
        <w:rPr>
          <w:rFonts w:ascii="Arial" w:hAnsi="Arial" w:cs="Arial"/>
          <w:sz w:val="22"/>
          <w:szCs w:val="22"/>
        </w:rPr>
        <w:t xml:space="preserve"> affecting the fairness of presentation of the balance</w:t>
      </w:r>
      <w:r w:rsidR="00702B77">
        <w:rPr>
          <w:rFonts w:ascii="Arial" w:hAnsi="Arial" w:cs="Arial"/>
          <w:sz w:val="22"/>
          <w:szCs w:val="22"/>
        </w:rPr>
        <w:t>s</w:t>
      </w:r>
      <w:r w:rsidRPr="00EF4855">
        <w:rPr>
          <w:rFonts w:ascii="Arial" w:hAnsi="Arial" w:cs="Arial"/>
          <w:sz w:val="22"/>
          <w:szCs w:val="22"/>
        </w:rPr>
        <w:t xml:space="preserve"> of the said account</w:t>
      </w:r>
      <w:r w:rsidR="00702B77">
        <w:rPr>
          <w:rFonts w:ascii="Arial" w:hAnsi="Arial" w:cs="Arial"/>
          <w:sz w:val="22"/>
          <w:szCs w:val="22"/>
        </w:rPr>
        <w:t>s</w:t>
      </w:r>
      <w:r w:rsidRPr="00EF4855">
        <w:rPr>
          <w:rFonts w:ascii="Arial" w:hAnsi="Arial" w:cs="Arial"/>
          <w:sz w:val="22"/>
          <w:szCs w:val="22"/>
        </w:rPr>
        <w:t xml:space="preserve"> in the financial statements as of December 31, 2018.</w:t>
      </w:r>
      <w:r w:rsidRPr="00EF4855">
        <w:rPr>
          <w:rFonts w:ascii="Arial" w:hAnsi="Arial" w:cs="Arial"/>
          <w:color w:val="000000"/>
          <w:sz w:val="22"/>
          <w:szCs w:val="22"/>
          <w:lang w:eastAsia="en-SG"/>
        </w:rPr>
        <w:t xml:space="preserve"> </w:t>
      </w:r>
    </w:p>
    <w:p w:rsidR="006C0553" w:rsidRPr="00EF4855" w:rsidRDefault="006C0553" w:rsidP="006C0553">
      <w:pPr>
        <w:spacing w:after="0" w:line="240" w:lineRule="auto"/>
        <w:ind w:left="1440" w:hanging="720"/>
        <w:jc w:val="both"/>
        <w:rPr>
          <w:rFonts w:ascii="Arial" w:hAnsi="Arial" w:cs="Arial"/>
          <w:color w:val="000000"/>
          <w:lang w:eastAsia="en-SG"/>
        </w:rPr>
      </w:pPr>
    </w:p>
    <w:p w:rsidR="00BA6698" w:rsidRPr="00EF4855" w:rsidRDefault="00BA6698" w:rsidP="00DA78B4">
      <w:pPr>
        <w:pStyle w:val="ListParagraph"/>
        <w:numPr>
          <w:ilvl w:val="1"/>
          <w:numId w:val="22"/>
        </w:numPr>
        <w:ind w:left="1440" w:hanging="720"/>
        <w:jc w:val="both"/>
        <w:rPr>
          <w:rFonts w:ascii="Arial" w:hAnsi="Arial" w:cs="Arial"/>
          <w:b/>
          <w:sz w:val="22"/>
          <w:szCs w:val="22"/>
        </w:rPr>
      </w:pPr>
      <w:r w:rsidRPr="00EF4855">
        <w:rPr>
          <w:rFonts w:ascii="Arial" w:hAnsi="Arial" w:cs="Arial"/>
          <w:b/>
          <w:sz w:val="22"/>
          <w:szCs w:val="22"/>
        </w:rPr>
        <w:t>We recommend</w:t>
      </w:r>
      <w:r w:rsidR="004E5D5F" w:rsidRPr="00EF4855">
        <w:rPr>
          <w:rFonts w:ascii="Arial" w:hAnsi="Arial" w:cs="Arial"/>
          <w:b/>
          <w:sz w:val="22"/>
          <w:szCs w:val="22"/>
        </w:rPr>
        <w:t xml:space="preserve">ed </w:t>
      </w:r>
      <w:r w:rsidRPr="00EF4855">
        <w:rPr>
          <w:rFonts w:ascii="Arial" w:hAnsi="Arial" w:cs="Arial"/>
          <w:b/>
          <w:sz w:val="22"/>
          <w:szCs w:val="22"/>
        </w:rPr>
        <w:t xml:space="preserve">that Management direct the concerned accounting personnel to effect the necessary adjustment/s to correct the </w:t>
      </w:r>
      <w:r w:rsidR="00C65D8F" w:rsidRPr="00EF4855">
        <w:rPr>
          <w:rFonts w:ascii="Arial" w:hAnsi="Arial" w:cs="Arial"/>
          <w:b/>
          <w:sz w:val="22"/>
          <w:szCs w:val="22"/>
        </w:rPr>
        <w:t xml:space="preserve">overstatement of P137.849 million </w:t>
      </w:r>
      <w:r w:rsidR="000F60B4">
        <w:rPr>
          <w:rFonts w:ascii="Arial" w:hAnsi="Arial" w:cs="Arial"/>
          <w:b/>
          <w:sz w:val="22"/>
          <w:szCs w:val="22"/>
        </w:rPr>
        <w:t xml:space="preserve">and </w:t>
      </w:r>
      <w:r w:rsidRPr="00EF4855">
        <w:rPr>
          <w:rFonts w:ascii="Arial" w:hAnsi="Arial" w:cs="Arial"/>
          <w:b/>
          <w:sz w:val="22"/>
          <w:szCs w:val="22"/>
        </w:rPr>
        <w:t>P30</w:t>
      </w:r>
      <w:r w:rsidR="00CB34AC" w:rsidRPr="00EF4855">
        <w:rPr>
          <w:rFonts w:ascii="Arial" w:hAnsi="Arial" w:cs="Arial"/>
          <w:b/>
          <w:sz w:val="22"/>
          <w:szCs w:val="22"/>
        </w:rPr>
        <w:t>.9</w:t>
      </w:r>
      <w:r w:rsidRPr="00EF4855">
        <w:rPr>
          <w:rFonts w:ascii="Arial" w:hAnsi="Arial" w:cs="Arial"/>
          <w:b/>
          <w:sz w:val="22"/>
          <w:szCs w:val="22"/>
        </w:rPr>
        <w:t>68</w:t>
      </w:r>
      <w:r w:rsidR="00CB34AC" w:rsidRPr="00EF4855">
        <w:rPr>
          <w:rFonts w:ascii="Arial" w:hAnsi="Arial" w:cs="Arial"/>
          <w:b/>
          <w:sz w:val="22"/>
          <w:szCs w:val="22"/>
        </w:rPr>
        <w:t xml:space="preserve"> million</w:t>
      </w:r>
      <w:r w:rsidRPr="00EF4855">
        <w:rPr>
          <w:rFonts w:ascii="Arial" w:hAnsi="Arial" w:cs="Arial"/>
          <w:b/>
          <w:sz w:val="22"/>
          <w:szCs w:val="22"/>
        </w:rPr>
        <w:t xml:space="preserve"> </w:t>
      </w:r>
      <w:r w:rsidR="000F60B4">
        <w:rPr>
          <w:rFonts w:ascii="Arial" w:hAnsi="Arial" w:cs="Arial"/>
          <w:b/>
          <w:sz w:val="22"/>
          <w:szCs w:val="22"/>
        </w:rPr>
        <w:t xml:space="preserve">of the DST and </w:t>
      </w:r>
      <w:r w:rsidRPr="00EF4855">
        <w:rPr>
          <w:rFonts w:ascii="Arial" w:hAnsi="Arial" w:cs="Arial"/>
          <w:b/>
          <w:sz w:val="22"/>
          <w:szCs w:val="22"/>
        </w:rPr>
        <w:t>P</w:t>
      </w:r>
      <w:r w:rsidR="000F60B4">
        <w:rPr>
          <w:rFonts w:ascii="Arial" w:hAnsi="Arial" w:cs="Arial"/>
          <w:b/>
          <w:sz w:val="22"/>
          <w:szCs w:val="22"/>
        </w:rPr>
        <w:t xml:space="preserve">FT </w:t>
      </w:r>
      <w:r w:rsidRPr="00EF4855">
        <w:rPr>
          <w:rFonts w:ascii="Arial" w:hAnsi="Arial" w:cs="Arial"/>
          <w:b/>
          <w:sz w:val="22"/>
          <w:szCs w:val="22"/>
        </w:rPr>
        <w:t>account</w:t>
      </w:r>
      <w:r w:rsidR="000F60B4">
        <w:rPr>
          <w:rFonts w:ascii="Arial" w:hAnsi="Arial" w:cs="Arial"/>
          <w:b/>
          <w:sz w:val="22"/>
          <w:szCs w:val="22"/>
        </w:rPr>
        <w:t>s</w:t>
      </w:r>
      <w:r w:rsidRPr="00EF4855">
        <w:rPr>
          <w:rFonts w:ascii="Arial" w:hAnsi="Arial" w:cs="Arial"/>
          <w:b/>
          <w:sz w:val="22"/>
          <w:szCs w:val="22"/>
        </w:rPr>
        <w:t xml:space="preserve"> so that </w:t>
      </w:r>
      <w:r w:rsidR="000F60B4">
        <w:rPr>
          <w:rFonts w:ascii="Arial" w:hAnsi="Arial" w:cs="Arial"/>
          <w:b/>
          <w:sz w:val="22"/>
          <w:szCs w:val="22"/>
        </w:rPr>
        <w:t xml:space="preserve">their </w:t>
      </w:r>
      <w:r w:rsidRPr="00EF4855">
        <w:rPr>
          <w:rFonts w:ascii="Arial" w:hAnsi="Arial" w:cs="Arial"/>
          <w:b/>
          <w:sz w:val="22"/>
          <w:szCs w:val="22"/>
        </w:rPr>
        <w:t>balance</w:t>
      </w:r>
      <w:r w:rsidR="000F60B4">
        <w:rPr>
          <w:rFonts w:ascii="Arial" w:hAnsi="Arial" w:cs="Arial"/>
          <w:b/>
          <w:sz w:val="22"/>
          <w:szCs w:val="22"/>
        </w:rPr>
        <w:t>s</w:t>
      </w:r>
      <w:r w:rsidRPr="00EF4855">
        <w:rPr>
          <w:rFonts w:ascii="Arial" w:hAnsi="Arial" w:cs="Arial"/>
          <w:b/>
          <w:sz w:val="22"/>
          <w:szCs w:val="22"/>
        </w:rPr>
        <w:t xml:space="preserve"> shall be fairly presented in the financial statements. </w:t>
      </w:r>
      <w:r w:rsidR="00C65D8F">
        <w:rPr>
          <w:rFonts w:ascii="Arial" w:hAnsi="Arial" w:cs="Arial"/>
          <w:b/>
          <w:sz w:val="22"/>
          <w:szCs w:val="22"/>
        </w:rPr>
        <w:t xml:space="preserve">  </w:t>
      </w:r>
      <w:r w:rsidRPr="00EF4855">
        <w:rPr>
          <w:rFonts w:ascii="Arial" w:hAnsi="Arial" w:cs="Arial"/>
          <w:b/>
          <w:sz w:val="22"/>
          <w:szCs w:val="22"/>
        </w:rPr>
        <w:t>We further recommend</w:t>
      </w:r>
      <w:r w:rsidR="008D2A15" w:rsidRPr="00EF4855">
        <w:rPr>
          <w:rFonts w:ascii="Arial" w:hAnsi="Arial" w:cs="Arial"/>
          <w:b/>
          <w:sz w:val="22"/>
          <w:szCs w:val="22"/>
        </w:rPr>
        <w:t>ed</w:t>
      </w:r>
      <w:r w:rsidRPr="00EF4855">
        <w:rPr>
          <w:rFonts w:ascii="Arial" w:hAnsi="Arial" w:cs="Arial"/>
          <w:b/>
          <w:sz w:val="22"/>
          <w:szCs w:val="22"/>
        </w:rPr>
        <w:t xml:space="preserve"> that Management remind the concerned official and employees to observe the highest standards of objectivity and consistency in the recording of financial transactions to avoid inaccurate or misleading information.</w:t>
      </w:r>
    </w:p>
    <w:p w:rsidR="003324F2" w:rsidRPr="00EF4855" w:rsidRDefault="003324F2" w:rsidP="004C39E3">
      <w:pPr>
        <w:pStyle w:val="ListParagraph"/>
        <w:rPr>
          <w:rFonts w:ascii="Arial" w:hAnsi="Arial" w:cs="Arial"/>
          <w:b/>
          <w:sz w:val="22"/>
          <w:szCs w:val="22"/>
        </w:rPr>
      </w:pPr>
    </w:p>
    <w:p w:rsidR="006237D4" w:rsidRDefault="008500B8" w:rsidP="00DA78B4">
      <w:pPr>
        <w:pStyle w:val="ListParagraph"/>
        <w:numPr>
          <w:ilvl w:val="1"/>
          <w:numId w:val="22"/>
        </w:numPr>
        <w:ind w:left="1440" w:hanging="720"/>
        <w:jc w:val="both"/>
        <w:rPr>
          <w:rFonts w:ascii="Arial" w:hAnsi="Arial" w:cs="Arial"/>
          <w:sz w:val="22"/>
          <w:szCs w:val="22"/>
        </w:rPr>
      </w:pPr>
      <w:r w:rsidRPr="00D208BF">
        <w:rPr>
          <w:rFonts w:ascii="Arial" w:hAnsi="Arial" w:cs="Arial"/>
          <w:sz w:val="22"/>
          <w:szCs w:val="22"/>
        </w:rPr>
        <w:t>Management</w:t>
      </w:r>
      <w:r w:rsidRPr="00EF4855">
        <w:rPr>
          <w:rFonts w:ascii="Arial" w:hAnsi="Arial" w:cs="Arial"/>
          <w:sz w:val="22"/>
          <w:szCs w:val="22"/>
        </w:rPr>
        <w:t xml:space="preserve"> explained that</w:t>
      </w:r>
      <w:r w:rsidR="006237D4">
        <w:rPr>
          <w:rFonts w:ascii="Arial" w:hAnsi="Arial" w:cs="Arial"/>
          <w:sz w:val="22"/>
          <w:szCs w:val="22"/>
        </w:rPr>
        <w:t>:</w:t>
      </w:r>
    </w:p>
    <w:p w:rsidR="006237D4" w:rsidRPr="006237D4" w:rsidRDefault="006237D4" w:rsidP="006237D4">
      <w:pPr>
        <w:pStyle w:val="ListParagraph"/>
        <w:rPr>
          <w:rFonts w:ascii="Arial" w:hAnsi="Arial" w:cs="Arial"/>
          <w:sz w:val="22"/>
          <w:szCs w:val="22"/>
        </w:rPr>
      </w:pPr>
    </w:p>
    <w:p w:rsidR="00C2320F" w:rsidRPr="00EF4855" w:rsidRDefault="006237D4" w:rsidP="00DA78B4">
      <w:pPr>
        <w:pStyle w:val="ListParagraph"/>
        <w:numPr>
          <w:ilvl w:val="0"/>
          <w:numId w:val="19"/>
        </w:numPr>
        <w:ind w:left="1980" w:hanging="540"/>
        <w:jc w:val="both"/>
        <w:rPr>
          <w:rFonts w:ascii="Arial" w:hAnsi="Arial" w:cs="Arial"/>
          <w:sz w:val="22"/>
          <w:szCs w:val="22"/>
        </w:rPr>
      </w:pPr>
      <w:r>
        <w:rPr>
          <w:rFonts w:ascii="Arial" w:hAnsi="Arial" w:cs="Arial"/>
          <w:sz w:val="22"/>
          <w:szCs w:val="22"/>
        </w:rPr>
        <w:t>T</w:t>
      </w:r>
      <w:r w:rsidR="00845840">
        <w:rPr>
          <w:rFonts w:ascii="Arial" w:hAnsi="Arial" w:cs="Arial"/>
          <w:sz w:val="22"/>
          <w:szCs w:val="22"/>
        </w:rPr>
        <w:t xml:space="preserve">he </w:t>
      </w:r>
      <w:r w:rsidR="00C2320F" w:rsidRPr="00EF4855">
        <w:rPr>
          <w:rFonts w:ascii="Arial" w:hAnsi="Arial" w:cs="Arial"/>
          <w:sz w:val="22"/>
          <w:szCs w:val="22"/>
        </w:rPr>
        <w:t>A</w:t>
      </w:r>
      <w:r w:rsidR="00265262">
        <w:rPr>
          <w:rFonts w:ascii="Arial" w:hAnsi="Arial" w:cs="Arial"/>
          <w:sz w:val="22"/>
          <w:szCs w:val="22"/>
        </w:rPr>
        <w:t>B</w:t>
      </w:r>
      <w:r w:rsidR="00C2320F" w:rsidRPr="00EF4855">
        <w:rPr>
          <w:rFonts w:ascii="Arial" w:hAnsi="Arial" w:cs="Arial"/>
          <w:sz w:val="22"/>
          <w:szCs w:val="22"/>
        </w:rPr>
        <w:t>D does not agree with the COA Audit Observation that there is an overstatement of the Documentary stamp expenses in the amount of P137</w:t>
      </w:r>
      <w:r w:rsidR="006A1FCE" w:rsidRPr="00EF4855">
        <w:rPr>
          <w:rFonts w:ascii="Arial" w:hAnsi="Arial" w:cs="Arial"/>
          <w:sz w:val="22"/>
          <w:szCs w:val="22"/>
        </w:rPr>
        <w:t>.</w:t>
      </w:r>
      <w:r w:rsidR="00C2320F" w:rsidRPr="00EF4855">
        <w:rPr>
          <w:rFonts w:ascii="Arial" w:hAnsi="Arial" w:cs="Arial"/>
          <w:sz w:val="22"/>
          <w:szCs w:val="22"/>
        </w:rPr>
        <w:t>894</w:t>
      </w:r>
      <w:r w:rsidR="006A1FCE" w:rsidRPr="00EF4855">
        <w:rPr>
          <w:rFonts w:ascii="Arial" w:hAnsi="Arial" w:cs="Arial"/>
          <w:sz w:val="22"/>
          <w:szCs w:val="22"/>
        </w:rPr>
        <w:t xml:space="preserve"> million</w:t>
      </w:r>
      <w:r w:rsidR="00C2320F" w:rsidRPr="00EF4855">
        <w:rPr>
          <w:rFonts w:ascii="Arial" w:hAnsi="Arial" w:cs="Arial"/>
          <w:sz w:val="22"/>
          <w:szCs w:val="22"/>
        </w:rPr>
        <w:t>.</w:t>
      </w:r>
      <w:r w:rsidR="00844197" w:rsidRPr="00EF4855">
        <w:rPr>
          <w:rFonts w:ascii="Arial" w:hAnsi="Arial" w:cs="Arial"/>
          <w:sz w:val="22"/>
          <w:szCs w:val="22"/>
        </w:rPr>
        <w:t xml:space="preserve"> </w:t>
      </w:r>
      <w:r w:rsidR="00C2320F" w:rsidRPr="00EF4855">
        <w:rPr>
          <w:rFonts w:ascii="Arial" w:hAnsi="Arial" w:cs="Arial"/>
          <w:sz w:val="22"/>
          <w:szCs w:val="22"/>
        </w:rPr>
        <w:t>Section 3 of the 2017 R</w:t>
      </w:r>
      <w:r>
        <w:rPr>
          <w:rFonts w:ascii="Arial" w:hAnsi="Arial" w:cs="Arial"/>
          <w:sz w:val="22"/>
          <w:szCs w:val="22"/>
        </w:rPr>
        <w:t xml:space="preserve">evised </w:t>
      </w:r>
      <w:r w:rsidR="00C2320F" w:rsidRPr="00EF4855">
        <w:rPr>
          <w:rFonts w:ascii="Arial" w:hAnsi="Arial" w:cs="Arial"/>
          <w:sz w:val="22"/>
          <w:szCs w:val="22"/>
        </w:rPr>
        <w:t>IRR of ISP states that the PCSO Instant Sweepstakes is a regular game of the PCSO created pursuant to RA</w:t>
      </w:r>
      <w:r>
        <w:rPr>
          <w:rFonts w:ascii="Arial" w:hAnsi="Arial" w:cs="Arial"/>
          <w:sz w:val="22"/>
          <w:szCs w:val="22"/>
        </w:rPr>
        <w:t xml:space="preserve"> No.</w:t>
      </w:r>
      <w:r w:rsidR="00C2320F" w:rsidRPr="00EF4855">
        <w:rPr>
          <w:rFonts w:ascii="Arial" w:hAnsi="Arial" w:cs="Arial"/>
          <w:sz w:val="22"/>
          <w:szCs w:val="22"/>
        </w:rPr>
        <w:t xml:space="preserve"> 1169</w:t>
      </w:r>
      <w:r>
        <w:rPr>
          <w:rFonts w:ascii="Arial" w:hAnsi="Arial" w:cs="Arial"/>
          <w:sz w:val="22"/>
          <w:szCs w:val="22"/>
        </w:rPr>
        <w:t>,</w:t>
      </w:r>
      <w:r w:rsidR="00C2320F" w:rsidRPr="00EF4855">
        <w:rPr>
          <w:rFonts w:ascii="Arial" w:hAnsi="Arial" w:cs="Arial"/>
          <w:sz w:val="22"/>
          <w:szCs w:val="22"/>
        </w:rPr>
        <w:t xml:space="preserve"> as amended.  PCSO, as principal, recognizes the sale of ISP.  </w:t>
      </w:r>
      <w:r w:rsidR="00845840">
        <w:rPr>
          <w:rFonts w:ascii="Arial" w:hAnsi="Arial" w:cs="Arial"/>
          <w:sz w:val="22"/>
          <w:szCs w:val="22"/>
        </w:rPr>
        <w:t xml:space="preserve"> </w:t>
      </w:r>
      <w:r w:rsidR="00C2320F" w:rsidRPr="00EF4855">
        <w:rPr>
          <w:rFonts w:ascii="Arial" w:hAnsi="Arial" w:cs="Arial"/>
          <w:sz w:val="22"/>
          <w:szCs w:val="22"/>
        </w:rPr>
        <w:t>PMLC does not remit the entire sales collection, instead PMLC only remits the net amount equivalent to the 13</w:t>
      </w:r>
      <w:r w:rsidR="00D5668D" w:rsidRPr="00D5668D">
        <w:rPr>
          <w:rFonts w:ascii="Arial" w:hAnsi="Arial" w:cs="Arial"/>
          <w:sz w:val="22"/>
          <w:szCs w:val="22"/>
        </w:rPr>
        <w:t xml:space="preserve"> </w:t>
      </w:r>
      <w:r w:rsidR="00D5668D">
        <w:rPr>
          <w:rFonts w:ascii="Arial" w:hAnsi="Arial" w:cs="Arial"/>
          <w:sz w:val="22"/>
          <w:szCs w:val="22"/>
        </w:rPr>
        <w:t>per cent</w:t>
      </w:r>
      <w:r w:rsidR="00C2320F" w:rsidRPr="00EF4855">
        <w:rPr>
          <w:rFonts w:ascii="Arial" w:hAnsi="Arial" w:cs="Arial"/>
          <w:sz w:val="22"/>
          <w:szCs w:val="22"/>
        </w:rPr>
        <w:t xml:space="preserve"> share of PCSO.</w:t>
      </w:r>
      <w:r w:rsidR="00164A51" w:rsidRPr="00EF4855">
        <w:rPr>
          <w:rFonts w:ascii="Arial" w:hAnsi="Arial" w:cs="Arial"/>
          <w:sz w:val="22"/>
          <w:szCs w:val="22"/>
        </w:rPr>
        <w:t xml:space="preserve"> </w:t>
      </w:r>
      <w:r w:rsidR="00845840">
        <w:rPr>
          <w:rFonts w:ascii="Arial" w:hAnsi="Arial" w:cs="Arial"/>
          <w:sz w:val="22"/>
          <w:szCs w:val="22"/>
        </w:rPr>
        <w:t xml:space="preserve"> </w:t>
      </w:r>
      <w:r w:rsidR="00C2320F" w:rsidRPr="00EF4855">
        <w:rPr>
          <w:rFonts w:ascii="Arial" w:hAnsi="Arial" w:cs="Arial"/>
          <w:sz w:val="22"/>
          <w:szCs w:val="22"/>
        </w:rPr>
        <w:t>Unlike in th</w:t>
      </w:r>
      <w:r>
        <w:rPr>
          <w:rFonts w:ascii="Arial" w:hAnsi="Arial" w:cs="Arial"/>
          <w:sz w:val="22"/>
          <w:szCs w:val="22"/>
        </w:rPr>
        <w:t>e Lotto and K</w:t>
      </w:r>
      <w:r w:rsidR="00C2320F" w:rsidRPr="00EF4855">
        <w:rPr>
          <w:rFonts w:ascii="Arial" w:hAnsi="Arial" w:cs="Arial"/>
          <w:sz w:val="22"/>
          <w:szCs w:val="22"/>
        </w:rPr>
        <w:t>eno Games wherein the 20</w:t>
      </w:r>
      <w:r w:rsidR="00D5668D" w:rsidRPr="00D5668D">
        <w:rPr>
          <w:rFonts w:ascii="Arial" w:hAnsi="Arial" w:cs="Arial"/>
          <w:sz w:val="22"/>
          <w:szCs w:val="22"/>
        </w:rPr>
        <w:t xml:space="preserve"> </w:t>
      </w:r>
      <w:r w:rsidR="00D5668D">
        <w:rPr>
          <w:rFonts w:ascii="Arial" w:hAnsi="Arial" w:cs="Arial"/>
          <w:sz w:val="22"/>
          <w:szCs w:val="22"/>
        </w:rPr>
        <w:t>per cent</w:t>
      </w:r>
      <w:r w:rsidR="00C2320F" w:rsidRPr="00EF4855">
        <w:rPr>
          <w:rFonts w:ascii="Arial" w:hAnsi="Arial" w:cs="Arial"/>
          <w:sz w:val="22"/>
          <w:szCs w:val="22"/>
        </w:rPr>
        <w:t xml:space="preserve"> DST is being shouldered by the bettors, the DST of ISP is still part of the Charity Fund.  The 12</w:t>
      </w:r>
      <w:r w:rsidR="00D5668D" w:rsidRPr="00D5668D">
        <w:rPr>
          <w:rFonts w:ascii="Arial" w:hAnsi="Arial" w:cs="Arial"/>
          <w:sz w:val="22"/>
          <w:szCs w:val="22"/>
        </w:rPr>
        <w:t xml:space="preserve"> </w:t>
      </w:r>
      <w:r w:rsidR="00D5668D">
        <w:rPr>
          <w:rFonts w:ascii="Arial" w:hAnsi="Arial" w:cs="Arial"/>
          <w:sz w:val="22"/>
          <w:szCs w:val="22"/>
        </w:rPr>
        <w:t>per cent</w:t>
      </w:r>
      <w:r w:rsidR="00C2320F" w:rsidRPr="00EF4855">
        <w:rPr>
          <w:rFonts w:ascii="Arial" w:hAnsi="Arial" w:cs="Arial"/>
          <w:sz w:val="22"/>
          <w:szCs w:val="22"/>
        </w:rPr>
        <w:t xml:space="preserve"> share of PMLC on the payment of DST is deducted from the Charity Fund being retained by the PMLC.</w:t>
      </w:r>
    </w:p>
    <w:p w:rsidR="00377E89" w:rsidRPr="00EF4855" w:rsidRDefault="00377E89" w:rsidP="004C39E3">
      <w:pPr>
        <w:pStyle w:val="ListParagraph"/>
        <w:ind w:left="1080"/>
        <w:jc w:val="both"/>
        <w:rPr>
          <w:rFonts w:ascii="Arial" w:hAnsi="Arial" w:cs="Arial"/>
          <w:sz w:val="22"/>
          <w:szCs w:val="22"/>
        </w:rPr>
      </w:pPr>
    </w:p>
    <w:p w:rsidR="008500B8" w:rsidRPr="00EF4855" w:rsidRDefault="006237D4" w:rsidP="00DA78B4">
      <w:pPr>
        <w:pStyle w:val="ListParagraph"/>
        <w:numPr>
          <w:ilvl w:val="0"/>
          <w:numId w:val="19"/>
        </w:numPr>
        <w:ind w:left="1980" w:hanging="540"/>
        <w:jc w:val="both"/>
        <w:rPr>
          <w:rFonts w:ascii="Arial" w:hAnsi="Arial" w:cs="Arial"/>
          <w:sz w:val="22"/>
          <w:szCs w:val="22"/>
        </w:rPr>
      </w:pPr>
      <w:r>
        <w:rPr>
          <w:rFonts w:ascii="Arial" w:hAnsi="Arial" w:cs="Arial"/>
          <w:sz w:val="22"/>
          <w:szCs w:val="22"/>
        </w:rPr>
        <w:lastRenderedPageBreak/>
        <w:t>The</w:t>
      </w:r>
      <w:r w:rsidR="00377E89" w:rsidRPr="00EF4855">
        <w:rPr>
          <w:rFonts w:ascii="Arial" w:hAnsi="Arial" w:cs="Arial"/>
          <w:sz w:val="22"/>
          <w:szCs w:val="22"/>
        </w:rPr>
        <w:t xml:space="preserve"> </w:t>
      </w:r>
      <w:r w:rsidR="00C2320F" w:rsidRPr="00EF4855">
        <w:rPr>
          <w:rFonts w:ascii="Arial" w:hAnsi="Arial" w:cs="Arial"/>
          <w:sz w:val="22"/>
          <w:szCs w:val="22"/>
        </w:rPr>
        <w:t>PCSO receives 11.5</w:t>
      </w:r>
      <w:r w:rsidR="00D5668D" w:rsidRPr="00D5668D">
        <w:rPr>
          <w:rFonts w:ascii="Arial" w:hAnsi="Arial" w:cs="Arial"/>
          <w:sz w:val="22"/>
          <w:szCs w:val="22"/>
        </w:rPr>
        <w:t xml:space="preserve"> </w:t>
      </w:r>
      <w:r w:rsidR="00D5668D">
        <w:rPr>
          <w:rFonts w:ascii="Arial" w:hAnsi="Arial" w:cs="Arial"/>
          <w:sz w:val="22"/>
          <w:szCs w:val="22"/>
        </w:rPr>
        <w:t>per cent</w:t>
      </w:r>
      <w:r w:rsidR="00C2320F" w:rsidRPr="00EF4855">
        <w:rPr>
          <w:rFonts w:ascii="Arial" w:hAnsi="Arial" w:cs="Arial"/>
          <w:sz w:val="22"/>
          <w:szCs w:val="22"/>
        </w:rPr>
        <w:t xml:space="preserve"> share from Charity Fund and 1.5</w:t>
      </w:r>
      <w:r w:rsidR="00D5668D" w:rsidRPr="00D5668D">
        <w:rPr>
          <w:rFonts w:ascii="Arial" w:hAnsi="Arial" w:cs="Arial"/>
          <w:sz w:val="22"/>
          <w:szCs w:val="22"/>
        </w:rPr>
        <w:t xml:space="preserve"> </w:t>
      </w:r>
      <w:r w:rsidR="00D5668D">
        <w:rPr>
          <w:rFonts w:ascii="Arial" w:hAnsi="Arial" w:cs="Arial"/>
          <w:sz w:val="22"/>
          <w:szCs w:val="22"/>
        </w:rPr>
        <w:t>per cent</w:t>
      </w:r>
      <w:r w:rsidR="00C2320F" w:rsidRPr="00EF4855">
        <w:rPr>
          <w:rFonts w:ascii="Arial" w:hAnsi="Arial" w:cs="Arial"/>
          <w:sz w:val="22"/>
          <w:szCs w:val="22"/>
        </w:rPr>
        <w:t xml:space="preserve"> share from Operating Fund.  Of the 13%, 8% is being remitted to the BIR as PCSO’s share for the DST.</w:t>
      </w:r>
      <w:r w:rsidR="00164A51" w:rsidRPr="00EF4855">
        <w:rPr>
          <w:rFonts w:ascii="Arial" w:hAnsi="Arial" w:cs="Arial"/>
          <w:sz w:val="22"/>
          <w:szCs w:val="22"/>
        </w:rPr>
        <w:t xml:space="preserve"> </w:t>
      </w:r>
      <w:r w:rsidR="00C2320F" w:rsidRPr="00EF4855">
        <w:rPr>
          <w:rFonts w:ascii="Arial" w:hAnsi="Arial" w:cs="Arial"/>
          <w:sz w:val="22"/>
          <w:szCs w:val="22"/>
        </w:rPr>
        <w:t>Aside from the 13% PCSO share being remitted by PMLC, they also remit 12% of Charity Fund as their share in the payment of DST (20% of gross sales). Since PCSO recognizes the sale of ISP, it is but proper to record the DST as expenses</w:t>
      </w:r>
      <w:r>
        <w:rPr>
          <w:rFonts w:ascii="Arial" w:hAnsi="Arial" w:cs="Arial"/>
          <w:sz w:val="22"/>
          <w:szCs w:val="22"/>
        </w:rPr>
        <w:t>.</w:t>
      </w:r>
    </w:p>
    <w:p w:rsidR="00377E89" w:rsidRPr="00EF4855" w:rsidRDefault="00377E89" w:rsidP="004C39E3">
      <w:pPr>
        <w:pStyle w:val="ListParagraph"/>
        <w:ind w:left="1080"/>
        <w:jc w:val="both"/>
        <w:rPr>
          <w:rFonts w:ascii="Arial" w:hAnsi="Arial" w:cs="Arial"/>
          <w:sz w:val="22"/>
          <w:szCs w:val="22"/>
        </w:rPr>
      </w:pPr>
    </w:p>
    <w:p w:rsidR="006237D4" w:rsidRDefault="006237D4" w:rsidP="00DA78B4">
      <w:pPr>
        <w:pStyle w:val="ListParagraph"/>
        <w:numPr>
          <w:ilvl w:val="1"/>
          <w:numId w:val="22"/>
        </w:numPr>
        <w:ind w:left="1440" w:hanging="720"/>
        <w:jc w:val="both"/>
        <w:rPr>
          <w:rFonts w:ascii="Arial" w:hAnsi="Arial" w:cs="Arial"/>
          <w:sz w:val="22"/>
          <w:szCs w:val="22"/>
        </w:rPr>
      </w:pPr>
      <w:r>
        <w:rPr>
          <w:rFonts w:ascii="Arial" w:hAnsi="Arial" w:cs="Arial"/>
          <w:sz w:val="22"/>
          <w:szCs w:val="22"/>
        </w:rPr>
        <w:t>As</w:t>
      </w:r>
      <w:r w:rsidR="00164A51" w:rsidRPr="00845840">
        <w:rPr>
          <w:rFonts w:ascii="Arial" w:hAnsi="Arial" w:cs="Arial"/>
          <w:sz w:val="22"/>
          <w:szCs w:val="22"/>
        </w:rPr>
        <w:t xml:space="preserve"> rejoinder</w:t>
      </w:r>
      <w:r>
        <w:rPr>
          <w:rFonts w:ascii="Arial" w:hAnsi="Arial" w:cs="Arial"/>
          <w:sz w:val="22"/>
          <w:szCs w:val="22"/>
        </w:rPr>
        <w:t>s</w:t>
      </w:r>
      <w:r w:rsidR="00164A51" w:rsidRPr="00845840">
        <w:rPr>
          <w:rFonts w:ascii="Arial" w:hAnsi="Arial" w:cs="Arial"/>
          <w:sz w:val="22"/>
          <w:szCs w:val="22"/>
        </w:rPr>
        <w:t>, the Audit Team</w:t>
      </w:r>
      <w:r>
        <w:rPr>
          <w:rFonts w:ascii="Arial" w:hAnsi="Arial" w:cs="Arial"/>
          <w:sz w:val="22"/>
          <w:szCs w:val="22"/>
        </w:rPr>
        <w:t>:</w:t>
      </w:r>
    </w:p>
    <w:p w:rsidR="006237D4" w:rsidRDefault="006237D4" w:rsidP="006237D4">
      <w:pPr>
        <w:pStyle w:val="ListParagraph"/>
        <w:ind w:left="1260"/>
        <w:jc w:val="both"/>
        <w:rPr>
          <w:rFonts w:ascii="Arial" w:hAnsi="Arial" w:cs="Arial"/>
          <w:sz w:val="22"/>
          <w:szCs w:val="22"/>
        </w:rPr>
      </w:pPr>
    </w:p>
    <w:p w:rsidR="00D75032" w:rsidRDefault="006237D4" w:rsidP="00DA78B4">
      <w:pPr>
        <w:pStyle w:val="ListParagraph"/>
        <w:numPr>
          <w:ilvl w:val="0"/>
          <w:numId w:val="20"/>
        </w:numPr>
        <w:ind w:left="1980" w:hanging="540"/>
        <w:jc w:val="both"/>
        <w:rPr>
          <w:rFonts w:ascii="Arial" w:hAnsi="Arial" w:cs="Arial"/>
          <w:sz w:val="22"/>
          <w:szCs w:val="22"/>
        </w:rPr>
      </w:pPr>
      <w:r>
        <w:rPr>
          <w:rFonts w:ascii="Arial" w:hAnsi="Arial" w:cs="Arial"/>
          <w:sz w:val="22"/>
          <w:szCs w:val="22"/>
        </w:rPr>
        <w:t>M</w:t>
      </w:r>
      <w:r w:rsidR="00164A51" w:rsidRPr="00845840">
        <w:rPr>
          <w:rFonts w:ascii="Arial" w:hAnsi="Arial" w:cs="Arial"/>
          <w:sz w:val="22"/>
          <w:szCs w:val="22"/>
        </w:rPr>
        <w:t>aintains its position that</w:t>
      </w:r>
      <w:r w:rsidR="007E4E7E" w:rsidRPr="00845840">
        <w:rPr>
          <w:rFonts w:ascii="Arial" w:hAnsi="Arial" w:cs="Arial"/>
          <w:sz w:val="22"/>
          <w:szCs w:val="22"/>
        </w:rPr>
        <w:t xml:space="preserve"> the </w:t>
      </w:r>
      <w:r w:rsidR="00E34B27" w:rsidRPr="00845840">
        <w:rPr>
          <w:rFonts w:ascii="Arial" w:hAnsi="Arial" w:cs="Arial"/>
          <w:sz w:val="22"/>
          <w:szCs w:val="22"/>
        </w:rPr>
        <w:t>DST and PFT expense accounts</w:t>
      </w:r>
      <w:r w:rsidR="00E34B27">
        <w:rPr>
          <w:rFonts w:ascii="Arial" w:hAnsi="Arial" w:cs="Arial"/>
          <w:sz w:val="22"/>
          <w:szCs w:val="22"/>
        </w:rPr>
        <w:t xml:space="preserve"> were </w:t>
      </w:r>
      <w:r w:rsidR="007E4E7E" w:rsidRPr="00EF4855">
        <w:rPr>
          <w:rFonts w:ascii="Arial" w:hAnsi="Arial" w:cs="Arial"/>
          <w:sz w:val="22"/>
          <w:szCs w:val="22"/>
        </w:rPr>
        <w:t>overstated in the amount of P137</w:t>
      </w:r>
      <w:r w:rsidR="006A1FCE" w:rsidRPr="00EF4855">
        <w:rPr>
          <w:rFonts w:ascii="Arial" w:hAnsi="Arial" w:cs="Arial"/>
          <w:sz w:val="22"/>
          <w:szCs w:val="22"/>
        </w:rPr>
        <w:t>.</w:t>
      </w:r>
      <w:r w:rsidR="007E4E7E" w:rsidRPr="00EF4855">
        <w:rPr>
          <w:rFonts w:ascii="Arial" w:hAnsi="Arial" w:cs="Arial"/>
          <w:sz w:val="22"/>
          <w:szCs w:val="22"/>
        </w:rPr>
        <w:t>894</w:t>
      </w:r>
      <w:r w:rsidR="006A1FCE" w:rsidRPr="00EF4855">
        <w:rPr>
          <w:rFonts w:ascii="Arial" w:hAnsi="Arial" w:cs="Arial"/>
          <w:sz w:val="22"/>
          <w:szCs w:val="22"/>
        </w:rPr>
        <w:t xml:space="preserve"> million</w:t>
      </w:r>
      <w:r w:rsidR="00E34B27">
        <w:rPr>
          <w:rFonts w:ascii="Arial" w:hAnsi="Arial" w:cs="Arial"/>
          <w:sz w:val="22"/>
          <w:szCs w:val="22"/>
        </w:rPr>
        <w:t xml:space="preserve"> and </w:t>
      </w:r>
      <w:r w:rsidR="00E34B27" w:rsidRPr="00E34B27">
        <w:rPr>
          <w:rFonts w:ascii="Arial" w:hAnsi="Arial" w:cs="Arial"/>
          <w:sz w:val="22"/>
          <w:szCs w:val="22"/>
        </w:rPr>
        <w:t>P30.968 million</w:t>
      </w:r>
      <w:r w:rsidR="00E008CF">
        <w:rPr>
          <w:rFonts w:ascii="Arial" w:hAnsi="Arial" w:cs="Arial"/>
          <w:sz w:val="22"/>
          <w:szCs w:val="22"/>
        </w:rPr>
        <w:t>, respectively</w:t>
      </w:r>
      <w:r w:rsidR="007E4E7E" w:rsidRPr="00EF4855">
        <w:rPr>
          <w:rFonts w:ascii="Arial" w:hAnsi="Arial" w:cs="Arial"/>
          <w:sz w:val="22"/>
          <w:szCs w:val="22"/>
        </w:rPr>
        <w:t xml:space="preserve">. </w:t>
      </w:r>
      <w:r w:rsidR="00D75032" w:rsidRPr="00D75032">
        <w:rPr>
          <w:rFonts w:ascii="Arial" w:hAnsi="Arial" w:cs="Arial"/>
          <w:sz w:val="22"/>
          <w:szCs w:val="22"/>
        </w:rPr>
        <w:t xml:space="preserve">As discussed </w:t>
      </w:r>
      <w:r w:rsidR="00A34956">
        <w:rPr>
          <w:rFonts w:ascii="Arial" w:hAnsi="Arial" w:cs="Arial"/>
          <w:sz w:val="22"/>
          <w:szCs w:val="22"/>
        </w:rPr>
        <w:t xml:space="preserve">in Observation no. </w:t>
      </w:r>
      <w:r w:rsidR="00753E6F">
        <w:rPr>
          <w:rFonts w:ascii="Arial" w:hAnsi="Arial" w:cs="Arial"/>
          <w:sz w:val="22"/>
          <w:szCs w:val="22"/>
        </w:rPr>
        <w:t>7</w:t>
      </w:r>
      <w:r w:rsidR="00E008CF">
        <w:rPr>
          <w:rFonts w:ascii="Arial" w:hAnsi="Arial" w:cs="Arial"/>
          <w:sz w:val="22"/>
          <w:szCs w:val="22"/>
        </w:rPr>
        <w:t xml:space="preserve"> hereof</w:t>
      </w:r>
      <w:r w:rsidR="00A34956">
        <w:rPr>
          <w:rFonts w:ascii="Arial" w:hAnsi="Arial" w:cs="Arial"/>
          <w:sz w:val="22"/>
          <w:szCs w:val="22"/>
        </w:rPr>
        <w:t>,</w:t>
      </w:r>
      <w:r w:rsidR="00D75032" w:rsidRPr="00D75032">
        <w:rPr>
          <w:rFonts w:ascii="Arial" w:hAnsi="Arial" w:cs="Arial"/>
          <w:sz w:val="22"/>
          <w:szCs w:val="22"/>
        </w:rPr>
        <w:t xml:space="preserve"> the Audit Team is of the view that PCSO should only</w:t>
      </w:r>
      <w:r w:rsidR="00A34956">
        <w:rPr>
          <w:rFonts w:ascii="Arial" w:hAnsi="Arial" w:cs="Arial"/>
          <w:sz w:val="22"/>
          <w:szCs w:val="22"/>
        </w:rPr>
        <w:t xml:space="preserve"> recognize revenue </w:t>
      </w:r>
      <w:r w:rsidR="00D75032" w:rsidRPr="00D75032">
        <w:rPr>
          <w:rFonts w:ascii="Arial" w:hAnsi="Arial" w:cs="Arial"/>
          <w:sz w:val="22"/>
          <w:szCs w:val="22"/>
        </w:rPr>
        <w:t xml:space="preserve">equivalent to </w:t>
      </w:r>
      <w:r w:rsidR="00A34956">
        <w:rPr>
          <w:rFonts w:ascii="Arial" w:hAnsi="Arial" w:cs="Arial"/>
          <w:sz w:val="22"/>
          <w:szCs w:val="22"/>
        </w:rPr>
        <w:t>its</w:t>
      </w:r>
      <w:r w:rsidR="00D75032" w:rsidRPr="00D75032">
        <w:rPr>
          <w:rFonts w:ascii="Arial" w:hAnsi="Arial" w:cs="Arial"/>
          <w:sz w:val="22"/>
          <w:szCs w:val="22"/>
        </w:rPr>
        <w:t xml:space="preserve"> guaranteed share of 13</w:t>
      </w:r>
      <w:r w:rsidR="00D5668D" w:rsidRPr="00D5668D">
        <w:rPr>
          <w:rFonts w:ascii="Arial" w:hAnsi="Arial" w:cs="Arial"/>
          <w:sz w:val="22"/>
          <w:szCs w:val="22"/>
        </w:rPr>
        <w:t xml:space="preserve"> </w:t>
      </w:r>
      <w:r w:rsidR="00D5668D">
        <w:rPr>
          <w:rFonts w:ascii="Arial" w:hAnsi="Arial" w:cs="Arial"/>
          <w:sz w:val="22"/>
          <w:szCs w:val="22"/>
        </w:rPr>
        <w:t>per cent</w:t>
      </w:r>
      <w:r w:rsidR="00D75032" w:rsidRPr="00D75032">
        <w:rPr>
          <w:rFonts w:ascii="Arial" w:hAnsi="Arial" w:cs="Arial"/>
          <w:sz w:val="22"/>
          <w:szCs w:val="22"/>
        </w:rPr>
        <w:t xml:space="preserve"> of the gross retail receipts – ISP.</w:t>
      </w:r>
    </w:p>
    <w:p w:rsidR="00D75032" w:rsidRPr="00D75032" w:rsidRDefault="00D75032" w:rsidP="004F6C55">
      <w:pPr>
        <w:pStyle w:val="ListParagraph"/>
        <w:ind w:left="1296"/>
        <w:jc w:val="both"/>
        <w:rPr>
          <w:rFonts w:ascii="Arial" w:hAnsi="Arial" w:cs="Arial"/>
          <w:sz w:val="22"/>
          <w:szCs w:val="22"/>
        </w:rPr>
      </w:pPr>
    </w:p>
    <w:p w:rsidR="00D75032" w:rsidRDefault="00611926" w:rsidP="00DA78B4">
      <w:pPr>
        <w:pStyle w:val="ListParagraph"/>
        <w:numPr>
          <w:ilvl w:val="0"/>
          <w:numId w:val="20"/>
        </w:numPr>
        <w:ind w:left="1980" w:hanging="540"/>
        <w:jc w:val="both"/>
        <w:rPr>
          <w:rFonts w:ascii="Arial" w:hAnsi="Arial" w:cs="Arial"/>
          <w:sz w:val="22"/>
          <w:szCs w:val="22"/>
        </w:rPr>
      </w:pPr>
      <w:r>
        <w:rPr>
          <w:rFonts w:ascii="Arial" w:hAnsi="Arial" w:cs="Arial"/>
          <w:sz w:val="22"/>
          <w:szCs w:val="22"/>
        </w:rPr>
        <w:t xml:space="preserve">In the same manner, </w:t>
      </w:r>
      <w:r w:rsidR="00D75032" w:rsidRPr="00D75032">
        <w:rPr>
          <w:rFonts w:ascii="Arial" w:hAnsi="Arial" w:cs="Arial"/>
          <w:sz w:val="22"/>
          <w:szCs w:val="22"/>
        </w:rPr>
        <w:t>only the amount</w:t>
      </w:r>
      <w:r w:rsidR="00E008CF">
        <w:rPr>
          <w:rFonts w:ascii="Arial" w:hAnsi="Arial" w:cs="Arial"/>
          <w:sz w:val="22"/>
          <w:szCs w:val="22"/>
        </w:rPr>
        <w:t>s</w:t>
      </w:r>
      <w:r w:rsidR="00D75032" w:rsidRPr="00D75032">
        <w:rPr>
          <w:rFonts w:ascii="Arial" w:hAnsi="Arial" w:cs="Arial"/>
          <w:sz w:val="22"/>
          <w:szCs w:val="22"/>
        </w:rPr>
        <w:t xml:space="preserve"> actually shouldered/paid by PCSO on documentary stamp taxes </w:t>
      </w:r>
      <w:r>
        <w:rPr>
          <w:rFonts w:ascii="Arial" w:hAnsi="Arial" w:cs="Arial"/>
          <w:sz w:val="22"/>
          <w:szCs w:val="22"/>
        </w:rPr>
        <w:t xml:space="preserve">and PFT </w:t>
      </w:r>
      <w:r w:rsidR="00D75032" w:rsidRPr="00D75032">
        <w:rPr>
          <w:rFonts w:ascii="Arial" w:hAnsi="Arial" w:cs="Arial"/>
          <w:sz w:val="22"/>
          <w:szCs w:val="22"/>
        </w:rPr>
        <w:t>constitute the expenses to be recorded and reported by the same pursuant to the expense recognition provided in the Conceptual Fram</w:t>
      </w:r>
      <w:r w:rsidR="00845840">
        <w:rPr>
          <w:rFonts w:ascii="Arial" w:hAnsi="Arial" w:cs="Arial"/>
          <w:sz w:val="22"/>
          <w:szCs w:val="22"/>
        </w:rPr>
        <w:t xml:space="preserve">ework for Financial Reporting. </w:t>
      </w:r>
      <w:r w:rsidR="00A34956">
        <w:rPr>
          <w:rFonts w:ascii="Arial" w:hAnsi="Arial" w:cs="Arial"/>
          <w:sz w:val="22"/>
          <w:szCs w:val="22"/>
        </w:rPr>
        <w:t>T</w:t>
      </w:r>
      <w:r w:rsidR="00D75032" w:rsidRPr="00D75032">
        <w:rPr>
          <w:rFonts w:ascii="Arial" w:hAnsi="Arial" w:cs="Arial"/>
          <w:sz w:val="22"/>
          <w:szCs w:val="22"/>
        </w:rPr>
        <w:t>he share/payment of the ISAC on DST</w:t>
      </w:r>
      <w:r>
        <w:rPr>
          <w:rFonts w:ascii="Arial" w:hAnsi="Arial" w:cs="Arial"/>
          <w:sz w:val="22"/>
          <w:szCs w:val="22"/>
        </w:rPr>
        <w:t xml:space="preserve"> and PFT</w:t>
      </w:r>
      <w:r w:rsidR="00D75032" w:rsidRPr="00D75032">
        <w:rPr>
          <w:rFonts w:ascii="Arial" w:hAnsi="Arial" w:cs="Arial"/>
          <w:sz w:val="22"/>
          <w:szCs w:val="22"/>
        </w:rPr>
        <w:t xml:space="preserve"> cannot be treated as expenses of PCSO because </w:t>
      </w:r>
      <w:r>
        <w:rPr>
          <w:rFonts w:ascii="Arial" w:hAnsi="Arial" w:cs="Arial"/>
          <w:sz w:val="22"/>
          <w:szCs w:val="22"/>
        </w:rPr>
        <w:t xml:space="preserve">they </w:t>
      </w:r>
      <w:r w:rsidR="00D75032" w:rsidRPr="00D75032">
        <w:rPr>
          <w:rFonts w:ascii="Arial" w:hAnsi="Arial" w:cs="Arial"/>
          <w:sz w:val="22"/>
          <w:szCs w:val="22"/>
        </w:rPr>
        <w:t xml:space="preserve">did not result to any decrease in its assets. </w:t>
      </w:r>
    </w:p>
    <w:p w:rsidR="00D75032" w:rsidRPr="00D75032" w:rsidRDefault="00D75032" w:rsidP="004F6C55">
      <w:pPr>
        <w:pStyle w:val="ListParagraph"/>
        <w:ind w:left="1296"/>
        <w:jc w:val="both"/>
        <w:rPr>
          <w:rFonts w:ascii="Arial" w:hAnsi="Arial" w:cs="Arial"/>
          <w:sz w:val="22"/>
          <w:szCs w:val="22"/>
        </w:rPr>
      </w:pPr>
    </w:p>
    <w:p w:rsidR="00492B00" w:rsidRDefault="00D75032" w:rsidP="00DA78B4">
      <w:pPr>
        <w:pStyle w:val="ListParagraph"/>
        <w:numPr>
          <w:ilvl w:val="0"/>
          <w:numId w:val="20"/>
        </w:numPr>
        <w:ind w:left="1980" w:hanging="540"/>
        <w:jc w:val="both"/>
        <w:rPr>
          <w:rFonts w:ascii="Arial" w:hAnsi="Arial" w:cs="Arial"/>
          <w:b/>
        </w:rPr>
      </w:pPr>
      <w:r w:rsidRPr="00D75032">
        <w:rPr>
          <w:rFonts w:ascii="Arial" w:hAnsi="Arial" w:cs="Arial"/>
          <w:sz w:val="22"/>
          <w:szCs w:val="22"/>
        </w:rPr>
        <w:t>Lastly, while it is true that PCSO is the principal government agency in terms of authority to conduct and handle charity sweepstakes races, lotteries, and other s</w:t>
      </w:r>
      <w:r w:rsidR="00E008CF">
        <w:rPr>
          <w:rFonts w:ascii="Arial" w:hAnsi="Arial" w:cs="Arial"/>
          <w:sz w:val="22"/>
          <w:szCs w:val="22"/>
        </w:rPr>
        <w:t>imilar activities pursuant to RA No.</w:t>
      </w:r>
      <w:r w:rsidRPr="00D75032">
        <w:rPr>
          <w:rFonts w:ascii="Arial" w:hAnsi="Arial" w:cs="Arial"/>
          <w:sz w:val="22"/>
          <w:szCs w:val="22"/>
        </w:rPr>
        <w:t xml:space="preserve"> 1169, the preparation and presentation of its financial statements is governed by the Philippine Financial Reporting Standards.</w:t>
      </w:r>
      <w:r>
        <w:rPr>
          <w:rFonts w:ascii="Arial" w:hAnsi="Arial" w:cs="Arial"/>
          <w:sz w:val="22"/>
          <w:szCs w:val="22"/>
        </w:rPr>
        <w:t xml:space="preserve">    </w:t>
      </w:r>
    </w:p>
    <w:p w:rsidR="00515404" w:rsidRDefault="00515404" w:rsidP="00492B00">
      <w:pPr>
        <w:tabs>
          <w:tab w:val="left" w:pos="567"/>
        </w:tabs>
        <w:spacing w:after="0" w:line="240" w:lineRule="auto"/>
        <w:jc w:val="both"/>
        <w:rPr>
          <w:rFonts w:ascii="Arial" w:hAnsi="Arial" w:cs="Arial"/>
          <w:b/>
        </w:rPr>
      </w:pPr>
    </w:p>
    <w:p w:rsidR="00845840" w:rsidRPr="00EF4855" w:rsidRDefault="00845840" w:rsidP="00492B00">
      <w:pPr>
        <w:tabs>
          <w:tab w:val="left" w:pos="567"/>
        </w:tabs>
        <w:spacing w:after="0" w:line="240" w:lineRule="auto"/>
        <w:jc w:val="both"/>
        <w:rPr>
          <w:rFonts w:ascii="Arial" w:hAnsi="Arial" w:cs="Arial"/>
          <w:b/>
        </w:rPr>
      </w:pPr>
    </w:p>
    <w:p w:rsidR="00492B00" w:rsidRPr="00753E6F" w:rsidRDefault="00492B00" w:rsidP="00DA78B4">
      <w:pPr>
        <w:pStyle w:val="ListParagraph"/>
        <w:numPr>
          <w:ilvl w:val="3"/>
          <w:numId w:val="18"/>
        </w:numPr>
        <w:ind w:left="720" w:hanging="720"/>
        <w:jc w:val="both"/>
        <w:rPr>
          <w:rFonts w:ascii="Arial" w:hAnsi="Arial" w:cs="Arial"/>
          <w:b/>
        </w:rPr>
      </w:pPr>
      <w:r w:rsidRPr="00CA00F2">
        <w:rPr>
          <w:rFonts w:ascii="Arial" w:hAnsi="Arial" w:cs="Arial"/>
          <w:b/>
          <w:sz w:val="22"/>
          <w:szCs w:val="22"/>
        </w:rPr>
        <w:t xml:space="preserve">The </w:t>
      </w:r>
      <w:r w:rsidR="00680A31" w:rsidRPr="00CA00F2">
        <w:rPr>
          <w:rFonts w:ascii="Arial" w:hAnsi="Arial" w:cs="Arial"/>
          <w:b/>
          <w:sz w:val="22"/>
          <w:szCs w:val="22"/>
        </w:rPr>
        <w:t>faithful re</w:t>
      </w:r>
      <w:r w:rsidR="00B07B86" w:rsidRPr="00CA00F2">
        <w:rPr>
          <w:rFonts w:ascii="Arial" w:hAnsi="Arial" w:cs="Arial"/>
          <w:b/>
          <w:sz w:val="22"/>
          <w:szCs w:val="22"/>
        </w:rPr>
        <w:t xml:space="preserve">presentation of the balance of the </w:t>
      </w:r>
      <w:r w:rsidRPr="00CA00F2">
        <w:rPr>
          <w:rFonts w:ascii="Arial" w:hAnsi="Arial" w:cs="Arial"/>
          <w:b/>
          <w:sz w:val="22"/>
          <w:szCs w:val="22"/>
        </w:rPr>
        <w:t>consolidated Property, Plant and Equipment (PPE) accounts with a carrying value of  P795.330 million</w:t>
      </w:r>
      <w:r w:rsidR="00B07B86" w:rsidRPr="00CA00F2">
        <w:rPr>
          <w:rFonts w:ascii="Arial" w:hAnsi="Arial" w:cs="Arial"/>
          <w:b/>
          <w:sz w:val="22"/>
          <w:szCs w:val="22"/>
        </w:rPr>
        <w:t xml:space="preserve"> in the financial statements as of December 31, 2018</w:t>
      </w:r>
      <w:r w:rsidRPr="00CA00F2">
        <w:rPr>
          <w:rFonts w:ascii="Arial" w:hAnsi="Arial" w:cs="Arial"/>
          <w:b/>
          <w:sz w:val="22"/>
          <w:szCs w:val="22"/>
        </w:rPr>
        <w:t xml:space="preserve"> could not be ascertained due to the following deficiencies</w:t>
      </w:r>
      <w:r w:rsidRPr="00753E6F">
        <w:rPr>
          <w:rFonts w:ascii="Arial" w:hAnsi="Arial" w:cs="Arial"/>
          <w:b/>
        </w:rPr>
        <w:t>:</w:t>
      </w:r>
    </w:p>
    <w:p w:rsidR="00492B00" w:rsidRPr="00845840" w:rsidRDefault="00492B00" w:rsidP="00492B00">
      <w:pPr>
        <w:pStyle w:val="ListParagraph"/>
        <w:tabs>
          <w:tab w:val="left" w:pos="567"/>
        </w:tabs>
        <w:ind w:left="567"/>
        <w:jc w:val="both"/>
        <w:rPr>
          <w:rFonts w:ascii="Arial" w:hAnsi="Arial" w:cs="Arial"/>
          <w:sz w:val="22"/>
          <w:szCs w:val="22"/>
        </w:rPr>
      </w:pPr>
    </w:p>
    <w:p w:rsidR="00492B00" w:rsidRPr="00CA00F2" w:rsidRDefault="00492B00" w:rsidP="00DA78B4">
      <w:pPr>
        <w:pStyle w:val="ListParagraph"/>
        <w:numPr>
          <w:ilvl w:val="0"/>
          <w:numId w:val="16"/>
        </w:numPr>
        <w:tabs>
          <w:tab w:val="left" w:pos="567"/>
        </w:tabs>
        <w:ind w:left="1260" w:hanging="540"/>
        <w:contextualSpacing/>
        <w:jc w:val="both"/>
        <w:rPr>
          <w:rFonts w:ascii="Arial" w:hAnsi="Arial" w:cs="Arial"/>
          <w:b/>
          <w:sz w:val="22"/>
          <w:szCs w:val="22"/>
        </w:rPr>
      </w:pPr>
      <w:r w:rsidRPr="00CA00F2">
        <w:rPr>
          <w:rFonts w:ascii="Arial" w:hAnsi="Arial" w:cs="Arial"/>
          <w:b/>
          <w:sz w:val="22"/>
          <w:szCs w:val="22"/>
        </w:rPr>
        <w:t>A net discrepancy</w:t>
      </w:r>
      <w:r w:rsidR="00D5668D" w:rsidRPr="00CA00F2">
        <w:rPr>
          <w:rFonts w:ascii="Arial" w:hAnsi="Arial" w:cs="Arial"/>
          <w:b/>
          <w:sz w:val="22"/>
          <w:szCs w:val="22"/>
        </w:rPr>
        <w:t xml:space="preserve"> of P109.</w:t>
      </w:r>
      <w:r w:rsidRPr="00CA00F2">
        <w:rPr>
          <w:rFonts w:ascii="Arial" w:hAnsi="Arial" w:cs="Arial"/>
          <w:b/>
          <w:sz w:val="22"/>
          <w:szCs w:val="22"/>
        </w:rPr>
        <w:t>98</w:t>
      </w:r>
      <w:r w:rsidR="00D5668D" w:rsidRPr="00CA00F2">
        <w:rPr>
          <w:rFonts w:ascii="Arial" w:hAnsi="Arial" w:cs="Arial"/>
          <w:b/>
          <w:sz w:val="22"/>
          <w:szCs w:val="22"/>
        </w:rPr>
        <w:t xml:space="preserve">3 million </w:t>
      </w:r>
      <w:r w:rsidRPr="00CA00F2">
        <w:rPr>
          <w:rFonts w:ascii="Arial" w:hAnsi="Arial" w:cs="Arial"/>
          <w:b/>
          <w:sz w:val="22"/>
          <w:szCs w:val="22"/>
        </w:rPr>
        <w:t>existed between the carrying amount of depreciable PPE per books as of December 31, 2018 and the corresponding lapsing schedules as of the same date;</w:t>
      </w:r>
    </w:p>
    <w:p w:rsidR="00845840" w:rsidRPr="00CA00F2" w:rsidRDefault="00845840" w:rsidP="00E008CF">
      <w:pPr>
        <w:pStyle w:val="ListParagraph"/>
        <w:tabs>
          <w:tab w:val="left" w:pos="567"/>
        </w:tabs>
        <w:ind w:left="1260" w:hanging="540"/>
        <w:contextualSpacing/>
        <w:jc w:val="both"/>
        <w:rPr>
          <w:rFonts w:ascii="Arial" w:hAnsi="Arial" w:cs="Arial"/>
          <w:b/>
          <w:sz w:val="22"/>
          <w:szCs w:val="22"/>
        </w:rPr>
      </w:pPr>
    </w:p>
    <w:p w:rsidR="00492B00" w:rsidRPr="00CA00F2" w:rsidRDefault="00492B00" w:rsidP="00DA78B4">
      <w:pPr>
        <w:pStyle w:val="ListParagraph"/>
        <w:numPr>
          <w:ilvl w:val="0"/>
          <w:numId w:val="16"/>
        </w:numPr>
        <w:tabs>
          <w:tab w:val="left" w:pos="567"/>
        </w:tabs>
        <w:ind w:left="1260" w:hanging="540"/>
        <w:contextualSpacing/>
        <w:jc w:val="both"/>
        <w:rPr>
          <w:rFonts w:ascii="Arial" w:hAnsi="Arial" w:cs="Arial"/>
          <w:b/>
          <w:sz w:val="22"/>
          <w:szCs w:val="22"/>
        </w:rPr>
      </w:pPr>
      <w:r w:rsidRPr="00CA00F2">
        <w:rPr>
          <w:rFonts w:ascii="Arial" w:hAnsi="Arial" w:cs="Arial"/>
          <w:b/>
          <w:sz w:val="22"/>
          <w:szCs w:val="22"/>
        </w:rPr>
        <w:t>The inventory report for CY 2018 submitted by the Assets and Supply Management Department (ASMD) was incomplete considering that it only contained the results of the physical count of the assets at the PCSO – Head Office, hence, the integrity of property cu</w:t>
      </w:r>
      <w:r w:rsidR="00B07B86" w:rsidRPr="00CA00F2">
        <w:rPr>
          <w:rFonts w:ascii="Arial" w:hAnsi="Arial" w:cs="Arial"/>
          <w:b/>
          <w:sz w:val="22"/>
          <w:szCs w:val="22"/>
        </w:rPr>
        <w:t xml:space="preserve">stodianship of the entire PPE </w:t>
      </w:r>
      <w:r w:rsidRPr="00CA00F2">
        <w:rPr>
          <w:rFonts w:ascii="Arial" w:hAnsi="Arial" w:cs="Arial"/>
          <w:b/>
          <w:sz w:val="22"/>
          <w:szCs w:val="22"/>
        </w:rPr>
        <w:t xml:space="preserve"> belonging to PCSO was not checked; and</w:t>
      </w:r>
    </w:p>
    <w:p w:rsidR="00845840" w:rsidRPr="00CA00F2" w:rsidRDefault="00845840" w:rsidP="00E008CF">
      <w:pPr>
        <w:pStyle w:val="ListParagraph"/>
        <w:ind w:left="1260" w:hanging="540"/>
        <w:rPr>
          <w:rFonts w:ascii="Arial" w:hAnsi="Arial" w:cs="Arial"/>
          <w:b/>
          <w:sz w:val="22"/>
          <w:szCs w:val="22"/>
        </w:rPr>
      </w:pPr>
    </w:p>
    <w:p w:rsidR="00492B00" w:rsidRPr="00845840" w:rsidRDefault="00492B00" w:rsidP="00DA78B4">
      <w:pPr>
        <w:pStyle w:val="ListParagraph"/>
        <w:numPr>
          <w:ilvl w:val="0"/>
          <w:numId w:val="16"/>
        </w:numPr>
        <w:tabs>
          <w:tab w:val="left" w:pos="567"/>
        </w:tabs>
        <w:ind w:left="1260" w:hanging="540"/>
        <w:contextualSpacing/>
        <w:jc w:val="both"/>
        <w:rPr>
          <w:rFonts w:ascii="Arial" w:hAnsi="Arial" w:cs="Arial"/>
          <w:b/>
          <w:sz w:val="22"/>
          <w:szCs w:val="22"/>
        </w:rPr>
      </w:pPr>
      <w:r w:rsidRPr="00CA00F2">
        <w:rPr>
          <w:rFonts w:ascii="Arial" w:hAnsi="Arial" w:cs="Arial"/>
          <w:b/>
          <w:sz w:val="22"/>
          <w:szCs w:val="22"/>
        </w:rPr>
        <w:t>Results of the actual physical count of the assets comprising the PPE Head Office account disclosed a material net discrepancy of P177.434</w:t>
      </w:r>
      <w:r w:rsidRPr="00845840">
        <w:rPr>
          <w:rFonts w:ascii="Arial" w:hAnsi="Arial" w:cs="Arial"/>
          <w:b/>
          <w:sz w:val="22"/>
          <w:szCs w:val="22"/>
        </w:rPr>
        <w:t xml:space="preserve"> </w:t>
      </w:r>
      <w:r w:rsidRPr="00845840">
        <w:rPr>
          <w:rFonts w:ascii="Arial" w:hAnsi="Arial" w:cs="Arial"/>
          <w:b/>
          <w:sz w:val="22"/>
          <w:szCs w:val="22"/>
        </w:rPr>
        <w:lastRenderedPageBreak/>
        <w:t>million when compared with the balance pe</w:t>
      </w:r>
      <w:r w:rsidR="00BD35EA">
        <w:rPr>
          <w:rFonts w:ascii="Arial" w:hAnsi="Arial" w:cs="Arial"/>
          <w:b/>
          <w:sz w:val="22"/>
          <w:szCs w:val="22"/>
        </w:rPr>
        <w:t>r books of the said account.</w:t>
      </w:r>
      <w:r w:rsidRPr="00845840">
        <w:rPr>
          <w:rFonts w:ascii="Arial" w:hAnsi="Arial" w:cs="Arial"/>
          <w:b/>
          <w:sz w:val="22"/>
          <w:szCs w:val="22"/>
        </w:rPr>
        <w:t xml:space="preserve"> </w:t>
      </w:r>
    </w:p>
    <w:p w:rsidR="00492B00" w:rsidRPr="00845840" w:rsidRDefault="00492B00" w:rsidP="00492B00">
      <w:pPr>
        <w:tabs>
          <w:tab w:val="left" w:pos="567"/>
        </w:tabs>
        <w:spacing w:after="0" w:line="240" w:lineRule="auto"/>
        <w:jc w:val="both"/>
        <w:rPr>
          <w:rFonts w:ascii="Arial" w:hAnsi="Arial" w:cs="Arial"/>
          <w:b/>
        </w:rPr>
      </w:pPr>
    </w:p>
    <w:p w:rsidR="00102549" w:rsidRPr="00102549" w:rsidRDefault="00102549" w:rsidP="00DA78B4">
      <w:pPr>
        <w:pStyle w:val="ListParagraph"/>
        <w:numPr>
          <w:ilvl w:val="0"/>
          <w:numId w:val="5"/>
        </w:numPr>
        <w:contextualSpacing/>
        <w:jc w:val="both"/>
        <w:rPr>
          <w:rFonts w:ascii="Arial" w:hAnsi="Arial" w:cs="Arial"/>
          <w:vanish/>
          <w:sz w:val="22"/>
          <w:szCs w:val="22"/>
        </w:rPr>
      </w:pPr>
    </w:p>
    <w:p w:rsidR="00102549" w:rsidRPr="00102549" w:rsidRDefault="00102549" w:rsidP="00DA78B4">
      <w:pPr>
        <w:pStyle w:val="ListParagraph"/>
        <w:numPr>
          <w:ilvl w:val="0"/>
          <w:numId w:val="5"/>
        </w:numPr>
        <w:contextualSpacing/>
        <w:jc w:val="both"/>
        <w:rPr>
          <w:rFonts w:ascii="Arial" w:hAnsi="Arial" w:cs="Arial"/>
          <w:vanish/>
          <w:sz w:val="22"/>
          <w:szCs w:val="22"/>
        </w:rPr>
      </w:pPr>
    </w:p>
    <w:p w:rsidR="00102549" w:rsidRPr="00102549" w:rsidRDefault="00102549" w:rsidP="00DA78B4">
      <w:pPr>
        <w:pStyle w:val="ListParagraph"/>
        <w:numPr>
          <w:ilvl w:val="0"/>
          <w:numId w:val="5"/>
        </w:numPr>
        <w:contextualSpacing/>
        <w:jc w:val="both"/>
        <w:rPr>
          <w:rFonts w:ascii="Arial" w:hAnsi="Arial" w:cs="Arial"/>
          <w:vanish/>
          <w:sz w:val="22"/>
          <w:szCs w:val="22"/>
        </w:rPr>
      </w:pPr>
    </w:p>
    <w:p w:rsidR="00102549" w:rsidRPr="00102549" w:rsidRDefault="00102549" w:rsidP="00DA78B4">
      <w:pPr>
        <w:pStyle w:val="ListParagraph"/>
        <w:numPr>
          <w:ilvl w:val="0"/>
          <w:numId w:val="5"/>
        </w:numPr>
        <w:contextualSpacing/>
        <w:jc w:val="both"/>
        <w:rPr>
          <w:rFonts w:ascii="Arial" w:hAnsi="Arial" w:cs="Arial"/>
          <w:vanish/>
          <w:sz w:val="22"/>
          <w:szCs w:val="22"/>
        </w:rPr>
      </w:pPr>
    </w:p>
    <w:p w:rsidR="00102549" w:rsidRPr="00102549" w:rsidRDefault="00102549" w:rsidP="00DA78B4">
      <w:pPr>
        <w:pStyle w:val="ListParagraph"/>
        <w:numPr>
          <w:ilvl w:val="0"/>
          <w:numId w:val="5"/>
        </w:numPr>
        <w:contextualSpacing/>
        <w:jc w:val="both"/>
        <w:rPr>
          <w:rFonts w:ascii="Arial" w:hAnsi="Arial" w:cs="Arial"/>
          <w:vanish/>
          <w:sz w:val="22"/>
          <w:szCs w:val="22"/>
        </w:rPr>
      </w:pPr>
    </w:p>
    <w:p w:rsidR="00102549" w:rsidRPr="00102549" w:rsidRDefault="00102549" w:rsidP="00DA78B4">
      <w:pPr>
        <w:pStyle w:val="ListParagraph"/>
        <w:numPr>
          <w:ilvl w:val="0"/>
          <w:numId w:val="5"/>
        </w:numPr>
        <w:contextualSpacing/>
        <w:jc w:val="both"/>
        <w:rPr>
          <w:rFonts w:ascii="Arial" w:hAnsi="Arial" w:cs="Arial"/>
          <w:vanish/>
          <w:sz w:val="22"/>
          <w:szCs w:val="22"/>
        </w:rPr>
      </w:pPr>
    </w:p>
    <w:p w:rsidR="00102549" w:rsidRPr="00102549" w:rsidRDefault="00102549" w:rsidP="00DA78B4">
      <w:pPr>
        <w:pStyle w:val="ListParagraph"/>
        <w:numPr>
          <w:ilvl w:val="0"/>
          <w:numId w:val="5"/>
        </w:numPr>
        <w:contextualSpacing/>
        <w:jc w:val="both"/>
        <w:rPr>
          <w:rFonts w:ascii="Arial" w:hAnsi="Arial" w:cs="Arial"/>
          <w:vanish/>
          <w:sz w:val="22"/>
          <w:szCs w:val="22"/>
        </w:rPr>
      </w:pPr>
    </w:p>
    <w:p w:rsidR="00102549" w:rsidRPr="00102549" w:rsidRDefault="00102549" w:rsidP="00DA78B4">
      <w:pPr>
        <w:pStyle w:val="ListParagraph"/>
        <w:numPr>
          <w:ilvl w:val="0"/>
          <w:numId w:val="5"/>
        </w:numPr>
        <w:contextualSpacing/>
        <w:jc w:val="both"/>
        <w:rPr>
          <w:rFonts w:ascii="Arial" w:hAnsi="Arial" w:cs="Arial"/>
          <w:vanish/>
          <w:sz w:val="22"/>
          <w:szCs w:val="22"/>
        </w:rPr>
      </w:pPr>
    </w:p>
    <w:p w:rsidR="00102549" w:rsidRPr="00102549" w:rsidRDefault="00102549" w:rsidP="00DA78B4">
      <w:pPr>
        <w:pStyle w:val="ListParagraph"/>
        <w:numPr>
          <w:ilvl w:val="0"/>
          <w:numId w:val="5"/>
        </w:numPr>
        <w:contextualSpacing/>
        <w:jc w:val="both"/>
        <w:rPr>
          <w:rFonts w:ascii="Arial" w:hAnsi="Arial" w:cs="Arial"/>
          <w:vanish/>
          <w:sz w:val="22"/>
          <w:szCs w:val="22"/>
        </w:rPr>
      </w:pPr>
    </w:p>
    <w:p w:rsidR="00102549" w:rsidRPr="00102549" w:rsidRDefault="00102549" w:rsidP="00DA78B4">
      <w:pPr>
        <w:pStyle w:val="ListParagraph"/>
        <w:numPr>
          <w:ilvl w:val="0"/>
          <w:numId w:val="5"/>
        </w:numPr>
        <w:contextualSpacing/>
        <w:jc w:val="both"/>
        <w:rPr>
          <w:rFonts w:ascii="Arial" w:hAnsi="Arial" w:cs="Arial"/>
          <w:vanish/>
          <w:sz w:val="22"/>
          <w:szCs w:val="22"/>
        </w:rPr>
      </w:pPr>
    </w:p>
    <w:p w:rsidR="00102549" w:rsidRPr="00102549" w:rsidRDefault="00102549" w:rsidP="00DA78B4">
      <w:pPr>
        <w:pStyle w:val="ListParagraph"/>
        <w:numPr>
          <w:ilvl w:val="0"/>
          <w:numId w:val="5"/>
        </w:numPr>
        <w:contextualSpacing/>
        <w:jc w:val="both"/>
        <w:rPr>
          <w:rFonts w:ascii="Arial" w:hAnsi="Arial" w:cs="Arial"/>
          <w:vanish/>
          <w:sz w:val="22"/>
          <w:szCs w:val="22"/>
        </w:rPr>
      </w:pPr>
    </w:p>
    <w:p w:rsidR="00B75301" w:rsidRPr="00B75301" w:rsidRDefault="00B75301" w:rsidP="00DA78B4">
      <w:pPr>
        <w:pStyle w:val="ListParagraph"/>
        <w:numPr>
          <w:ilvl w:val="0"/>
          <w:numId w:val="1"/>
        </w:numPr>
        <w:jc w:val="both"/>
        <w:rPr>
          <w:rFonts w:ascii="Arial" w:hAnsi="Arial" w:cs="Arial"/>
          <w:vanish/>
          <w:sz w:val="22"/>
          <w:szCs w:val="22"/>
        </w:rPr>
      </w:pPr>
    </w:p>
    <w:p w:rsidR="00492B00" w:rsidRPr="00CA00F2" w:rsidRDefault="00492B00" w:rsidP="00DA78B4">
      <w:pPr>
        <w:pStyle w:val="ListParagraph"/>
        <w:numPr>
          <w:ilvl w:val="1"/>
          <w:numId w:val="24"/>
        </w:numPr>
        <w:ind w:left="1440" w:hanging="720"/>
        <w:jc w:val="both"/>
        <w:rPr>
          <w:rFonts w:ascii="Arial" w:hAnsi="Arial" w:cs="Arial"/>
          <w:sz w:val="22"/>
          <w:szCs w:val="22"/>
        </w:rPr>
      </w:pPr>
      <w:r w:rsidRPr="00CA00F2">
        <w:rPr>
          <w:rFonts w:ascii="Arial" w:hAnsi="Arial" w:cs="Arial"/>
          <w:sz w:val="22"/>
          <w:szCs w:val="22"/>
        </w:rPr>
        <w:t>Validation of the acquisition costs and the related accumulated depreciation of the depreciable items of PPE of PCSO as of December 31, 2018 disclosed a net discrepancy of P109</w:t>
      </w:r>
      <w:r w:rsidR="00D5668D" w:rsidRPr="00CA00F2">
        <w:rPr>
          <w:rFonts w:ascii="Arial" w:hAnsi="Arial" w:cs="Arial"/>
          <w:sz w:val="22"/>
          <w:szCs w:val="22"/>
        </w:rPr>
        <w:t>.983 million</w:t>
      </w:r>
      <w:r w:rsidRPr="00CA00F2">
        <w:rPr>
          <w:rFonts w:ascii="Arial" w:hAnsi="Arial" w:cs="Arial"/>
          <w:sz w:val="22"/>
          <w:szCs w:val="22"/>
        </w:rPr>
        <w:t xml:space="preserve"> between the amounts recorded in the books and the supporting lapsing schedules, as shown in</w:t>
      </w:r>
      <w:r w:rsidR="006C0553" w:rsidRPr="00CA00F2">
        <w:rPr>
          <w:rFonts w:ascii="Arial" w:hAnsi="Arial" w:cs="Arial"/>
          <w:sz w:val="22"/>
          <w:szCs w:val="22"/>
        </w:rPr>
        <w:t xml:space="preserve"> T</w:t>
      </w:r>
      <w:r w:rsidRPr="00CA00F2">
        <w:rPr>
          <w:rFonts w:ascii="Arial" w:hAnsi="Arial" w:cs="Arial"/>
          <w:sz w:val="22"/>
          <w:szCs w:val="22"/>
        </w:rPr>
        <w:t xml:space="preserve">able </w:t>
      </w:r>
      <w:r w:rsidR="00CA00F2">
        <w:rPr>
          <w:rFonts w:ascii="Arial" w:hAnsi="Arial" w:cs="Arial"/>
          <w:sz w:val="22"/>
          <w:szCs w:val="22"/>
        </w:rPr>
        <w:t>8.</w:t>
      </w:r>
    </w:p>
    <w:p w:rsidR="00492B00" w:rsidRPr="00EF4855" w:rsidRDefault="00492B00">
      <w:pPr>
        <w:spacing w:after="0" w:line="240" w:lineRule="auto"/>
        <w:ind w:firstLine="720"/>
        <w:rPr>
          <w:rFonts w:ascii="Arial" w:hAnsi="Arial" w:cs="Arial"/>
        </w:rPr>
      </w:pPr>
    </w:p>
    <w:p w:rsidR="00492B00" w:rsidRPr="004F6C55" w:rsidRDefault="00492B00">
      <w:pPr>
        <w:spacing w:after="0" w:line="240" w:lineRule="auto"/>
        <w:ind w:firstLine="720"/>
        <w:jc w:val="center"/>
        <w:rPr>
          <w:rFonts w:ascii="Arial" w:hAnsi="Arial" w:cs="Arial"/>
          <w:b/>
          <w:sz w:val="20"/>
          <w:szCs w:val="20"/>
        </w:rPr>
      </w:pPr>
      <w:r w:rsidRPr="004F6C55">
        <w:rPr>
          <w:rFonts w:ascii="Arial" w:hAnsi="Arial" w:cs="Arial"/>
          <w:b/>
          <w:sz w:val="20"/>
          <w:szCs w:val="20"/>
        </w:rPr>
        <w:t xml:space="preserve">Table </w:t>
      </w:r>
      <w:r w:rsidR="00CA00F2">
        <w:rPr>
          <w:rFonts w:ascii="Arial" w:hAnsi="Arial" w:cs="Arial"/>
          <w:b/>
          <w:sz w:val="20"/>
          <w:szCs w:val="20"/>
        </w:rPr>
        <w:t>8</w:t>
      </w:r>
      <w:r w:rsidR="00FD7CED" w:rsidRPr="004F6C55">
        <w:rPr>
          <w:rFonts w:ascii="Arial" w:hAnsi="Arial" w:cs="Arial"/>
          <w:b/>
          <w:sz w:val="20"/>
          <w:szCs w:val="20"/>
        </w:rPr>
        <w:t xml:space="preserve"> </w:t>
      </w:r>
      <w:r w:rsidRPr="004F6C55">
        <w:rPr>
          <w:rFonts w:ascii="Arial" w:hAnsi="Arial" w:cs="Arial"/>
          <w:b/>
          <w:sz w:val="20"/>
          <w:szCs w:val="20"/>
        </w:rPr>
        <w:t>–</w:t>
      </w:r>
      <w:r w:rsidR="00FD7CED" w:rsidRPr="004F6C55">
        <w:rPr>
          <w:rFonts w:ascii="Arial" w:hAnsi="Arial" w:cs="Arial"/>
          <w:b/>
          <w:sz w:val="20"/>
          <w:szCs w:val="20"/>
        </w:rPr>
        <w:t xml:space="preserve"> </w:t>
      </w:r>
      <w:r w:rsidRPr="004F6C55">
        <w:rPr>
          <w:rFonts w:ascii="Arial" w:hAnsi="Arial" w:cs="Arial"/>
          <w:b/>
          <w:sz w:val="20"/>
          <w:szCs w:val="20"/>
        </w:rPr>
        <w:t xml:space="preserve">Comparison between balances per </w:t>
      </w:r>
      <w:r w:rsidR="0062212A">
        <w:rPr>
          <w:rFonts w:ascii="Arial" w:hAnsi="Arial" w:cs="Arial"/>
          <w:b/>
          <w:sz w:val="20"/>
          <w:szCs w:val="20"/>
        </w:rPr>
        <w:t>B</w:t>
      </w:r>
      <w:r w:rsidR="0062212A" w:rsidRPr="004F6C55">
        <w:rPr>
          <w:rFonts w:ascii="Arial" w:hAnsi="Arial" w:cs="Arial"/>
          <w:b/>
          <w:sz w:val="20"/>
          <w:szCs w:val="20"/>
        </w:rPr>
        <w:t>ook</w:t>
      </w:r>
      <w:r w:rsidR="0062212A">
        <w:rPr>
          <w:rFonts w:ascii="Arial" w:hAnsi="Arial" w:cs="Arial"/>
          <w:b/>
          <w:sz w:val="20"/>
          <w:szCs w:val="20"/>
        </w:rPr>
        <w:t>s</w:t>
      </w:r>
    </w:p>
    <w:p w:rsidR="00492B00" w:rsidRPr="004F6C55" w:rsidRDefault="00492B00">
      <w:pPr>
        <w:spacing w:after="0" w:line="240" w:lineRule="auto"/>
        <w:ind w:firstLine="720"/>
        <w:jc w:val="center"/>
        <w:rPr>
          <w:rFonts w:ascii="Arial" w:hAnsi="Arial" w:cs="Arial"/>
          <w:b/>
          <w:sz w:val="20"/>
          <w:szCs w:val="20"/>
        </w:rPr>
      </w:pPr>
      <w:r w:rsidRPr="004F6C55">
        <w:rPr>
          <w:rFonts w:ascii="Arial" w:hAnsi="Arial" w:cs="Arial"/>
          <w:b/>
          <w:sz w:val="20"/>
          <w:szCs w:val="20"/>
        </w:rPr>
        <w:t>and lapsing schedule</w:t>
      </w:r>
      <w:r w:rsidR="00D5668D">
        <w:rPr>
          <w:rFonts w:ascii="Arial" w:hAnsi="Arial" w:cs="Arial"/>
          <w:b/>
          <w:sz w:val="20"/>
          <w:szCs w:val="20"/>
        </w:rPr>
        <w:t xml:space="preserve"> as of December 31, 2018</w:t>
      </w:r>
    </w:p>
    <w:p w:rsidR="00492B00" w:rsidRPr="004F6C55" w:rsidRDefault="00492B00">
      <w:pPr>
        <w:spacing w:after="0" w:line="240" w:lineRule="auto"/>
        <w:ind w:firstLine="720"/>
        <w:rPr>
          <w:rFonts w:ascii="Arial" w:hAnsi="Arial" w:cs="Arial"/>
          <w:b/>
          <w:sz w:val="20"/>
          <w:szCs w:val="20"/>
        </w:rPr>
      </w:pPr>
    </w:p>
    <w:tbl>
      <w:tblPr>
        <w:tblW w:w="7732" w:type="dxa"/>
        <w:jc w:val="right"/>
        <w:tblLayout w:type="fixed"/>
        <w:tblLook w:val="04A0" w:firstRow="1" w:lastRow="0" w:firstColumn="1" w:lastColumn="0" w:noHBand="0" w:noVBand="1"/>
      </w:tblPr>
      <w:tblGrid>
        <w:gridCol w:w="1953"/>
        <w:gridCol w:w="244"/>
        <w:gridCol w:w="1791"/>
        <w:gridCol w:w="244"/>
        <w:gridCol w:w="1628"/>
        <w:gridCol w:w="244"/>
        <w:gridCol w:w="1628"/>
      </w:tblGrid>
      <w:tr w:rsidR="00492B00" w:rsidRPr="00FD7CED" w:rsidTr="006C0553">
        <w:trPr>
          <w:trHeight w:val="177"/>
          <w:jc w:val="right"/>
        </w:trPr>
        <w:tc>
          <w:tcPr>
            <w:tcW w:w="1953" w:type="dxa"/>
            <w:vMerge w:val="restart"/>
            <w:tcBorders>
              <w:top w:val="single" w:sz="4" w:space="0" w:color="auto"/>
            </w:tcBorders>
            <w:vAlign w:val="center"/>
          </w:tcPr>
          <w:p w:rsidR="00492B00" w:rsidRPr="006C0553" w:rsidRDefault="00492B00" w:rsidP="006C0553">
            <w:pPr>
              <w:suppressAutoHyphens/>
              <w:spacing w:after="0" w:line="240" w:lineRule="auto"/>
              <w:ind w:hanging="44"/>
              <w:textAlignment w:val="baseline"/>
              <w:rPr>
                <w:rFonts w:ascii="Arial Narrow" w:eastAsia="Times New Roman" w:hAnsi="Arial Narrow" w:cs="Arial"/>
                <w:b/>
                <w:sz w:val="20"/>
                <w:szCs w:val="20"/>
                <w:lang w:eastAsia="ar-SA"/>
              </w:rPr>
            </w:pPr>
            <w:r w:rsidRPr="006C0553">
              <w:rPr>
                <w:rFonts w:ascii="Arial Narrow" w:eastAsia="Times New Roman" w:hAnsi="Arial Narrow" w:cs="Arial"/>
                <w:b/>
                <w:sz w:val="20"/>
                <w:szCs w:val="20"/>
                <w:lang w:eastAsia="ar-SA"/>
              </w:rPr>
              <w:t>Particulars</w:t>
            </w:r>
          </w:p>
        </w:tc>
        <w:tc>
          <w:tcPr>
            <w:tcW w:w="3907" w:type="dxa"/>
            <w:gridSpan w:val="4"/>
            <w:tcBorders>
              <w:top w:val="single" w:sz="4" w:space="0" w:color="auto"/>
              <w:bottom w:val="single" w:sz="4" w:space="0" w:color="auto"/>
            </w:tcBorders>
            <w:vAlign w:val="center"/>
          </w:tcPr>
          <w:p w:rsidR="00492B00" w:rsidRPr="006C0553" w:rsidRDefault="00492B00" w:rsidP="004C6D56">
            <w:pPr>
              <w:suppressAutoHyphens/>
              <w:spacing w:after="0" w:line="240" w:lineRule="auto"/>
              <w:jc w:val="center"/>
              <w:rPr>
                <w:rFonts w:ascii="Arial Narrow" w:eastAsia="Times New Roman" w:hAnsi="Arial Narrow" w:cs="Arial"/>
                <w:b/>
                <w:bCs/>
                <w:sz w:val="20"/>
                <w:szCs w:val="20"/>
                <w:lang w:eastAsia="ar-SA"/>
              </w:rPr>
            </w:pPr>
            <w:r w:rsidRPr="006C0553">
              <w:rPr>
                <w:rFonts w:ascii="Arial Narrow" w:eastAsia="Times New Roman" w:hAnsi="Arial Narrow" w:cs="Arial"/>
                <w:b/>
                <w:sz w:val="20"/>
                <w:szCs w:val="20"/>
                <w:lang w:eastAsia="ar-SA"/>
              </w:rPr>
              <w:t>Balances Per</w:t>
            </w:r>
          </w:p>
        </w:tc>
        <w:tc>
          <w:tcPr>
            <w:tcW w:w="1872" w:type="dxa"/>
            <w:gridSpan w:val="2"/>
            <w:vMerge w:val="restart"/>
            <w:tcBorders>
              <w:top w:val="single" w:sz="4" w:space="0" w:color="auto"/>
            </w:tcBorders>
            <w:vAlign w:val="center"/>
          </w:tcPr>
          <w:p w:rsidR="00492B00" w:rsidRPr="006C0553" w:rsidRDefault="00492B00" w:rsidP="006C0553">
            <w:pPr>
              <w:suppressAutoHyphens/>
              <w:spacing w:after="0" w:line="240" w:lineRule="auto"/>
              <w:jc w:val="right"/>
              <w:rPr>
                <w:rFonts w:ascii="Arial Narrow" w:eastAsia="Times New Roman" w:hAnsi="Arial Narrow" w:cs="Arial"/>
                <w:b/>
                <w:bCs/>
                <w:sz w:val="20"/>
                <w:szCs w:val="20"/>
                <w:lang w:eastAsia="ar-SA"/>
              </w:rPr>
            </w:pPr>
          </w:p>
          <w:p w:rsidR="00492B00" w:rsidRPr="006C0553" w:rsidRDefault="00492B00" w:rsidP="006C0553">
            <w:pPr>
              <w:suppressAutoHyphens/>
              <w:spacing w:after="0" w:line="240" w:lineRule="auto"/>
              <w:ind w:right="-90"/>
              <w:jc w:val="right"/>
              <w:rPr>
                <w:rFonts w:ascii="Arial Narrow" w:eastAsia="Times New Roman" w:hAnsi="Arial Narrow" w:cs="Arial"/>
                <w:b/>
                <w:bCs/>
                <w:sz w:val="20"/>
                <w:szCs w:val="20"/>
                <w:lang w:eastAsia="ar-SA"/>
              </w:rPr>
            </w:pPr>
            <w:r w:rsidRPr="006C0553">
              <w:rPr>
                <w:rFonts w:ascii="Arial Narrow" w:eastAsia="Times New Roman" w:hAnsi="Arial Narrow" w:cs="Arial"/>
                <w:b/>
                <w:bCs/>
                <w:sz w:val="20"/>
                <w:szCs w:val="20"/>
                <w:lang w:eastAsia="ar-SA"/>
              </w:rPr>
              <w:t>Variance</w:t>
            </w:r>
          </w:p>
          <w:p w:rsidR="00492B00" w:rsidRPr="006C0553" w:rsidRDefault="00492B00" w:rsidP="006C0553">
            <w:pPr>
              <w:suppressAutoHyphens/>
              <w:spacing w:after="0" w:line="240" w:lineRule="auto"/>
              <w:jc w:val="right"/>
              <w:rPr>
                <w:rFonts w:ascii="Arial Narrow" w:eastAsia="Times New Roman" w:hAnsi="Arial Narrow" w:cs="Arial"/>
                <w:b/>
                <w:bCs/>
                <w:sz w:val="20"/>
                <w:szCs w:val="20"/>
                <w:lang w:eastAsia="ar-SA"/>
              </w:rPr>
            </w:pPr>
          </w:p>
        </w:tc>
      </w:tr>
      <w:tr w:rsidR="00492B00" w:rsidRPr="00FD7CED" w:rsidTr="006C0553">
        <w:trPr>
          <w:trHeight w:val="177"/>
          <w:jc w:val="right"/>
        </w:trPr>
        <w:tc>
          <w:tcPr>
            <w:tcW w:w="1953" w:type="dxa"/>
            <w:vMerge/>
            <w:tcBorders>
              <w:bottom w:val="single" w:sz="4" w:space="0" w:color="auto"/>
            </w:tcBorders>
          </w:tcPr>
          <w:p w:rsidR="00492B00" w:rsidRPr="006C0553" w:rsidRDefault="00492B00" w:rsidP="006C0553">
            <w:pPr>
              <w:suppressAutoHyphens/>
              <w:spacing w:after="0" w:line="240" w:lineRule="auto"/>
              <w:ind w:hanging="44"/>
              <w:textAlignment w:val="baseline"/>
              <w:rPr>
                <w:rFonts w:ascii="Arial Narrow" w:eastAsia="Times New Roman" w:hAnsi="Arial Narrow" w:cs="Arial"/>
                <w:sz w:val="20"/>
                <w:szCs w:val="20"/>
                <w:lang w:eastAsia="ar-SA"/>
              </w:rPr>
            </w:pPr>
          </w:p>
        </w:tc>
        <w:tc>
          <w:tcPr>
            <w:tcW w:w="2035" w:type="dxa"/>
            <w:gridSpan w:val="2"/>
            <w:tcBorders>
              <w:top w:val="single" w:sz="4" w:space="0" w:color="auto"/>
              <w:bottom w:val="single" w:sz="4" w:space="0" w:color="auto"/>
            </w:tcBorders>
          </w:tcPr>
          <w:p w:rsidR="00492B00" w:rsidRPr="006C0553" w:rsidRDefault="00492B00" w:rsidP="004C6D56">
            <w:pPr>
              <w:suppressAutoHyphens/>
              <w:spacing w:after="0" w:line="240" w:lineRule="auto"/>
              <w:jc w:val="center"/>
              <w:textAlignment w:val="baseline"/>
              <w:rPr>
                <w:rFonts w:ascii="Arial Narrow" w:eastAsia="Times New Roman" w:hAnsi="Arial Narrow" w:cs="Arial"/>
                <w:b/>
                <w:sz w:val="20"/>
                <w:szCs w:val="20"/>
                <w:lang w:eastAsia="ar-SA"/>
              </w:rPr>
            </w:pPr>
            <w:r w:rsidRPr="006C0553">
              <w:rPr>
                <w:rFonts w:ascii="Arial Narrow" w:eastAsia="Times New Roman" w:hAnsi="Arial Narrow" w:cs="Arial"/>
                <w:b/>
                <w:sz w:val="20"/>
                <w:szCs w:val="20"/>
                <w:lang w:eastAsia="ar-SA"/>
              </w:rPr>
              <w:t>Book</w:t>
            </w:r>
          </w:p>
        </w:tc>
        <w:tc>
          <w:tcPr>
            <w:tcW w:w="1872" w:type="dxa"/>
            <w:gridSpan w:val="2"/>
            <w:tcBorders>
              <w:top w:val="single" w:sz="4" w:space="0" w:color="auto"/>
              <w:bottom w:val="single" w:sz="4" w:space="0" w:color="auto"/>
            </w:tcBorders>
          </w:tcPr>
          <w:p w:rsidR="00492B00" w:rsidRPr="006C0553" w:rsidRDefault="00492B00" w:rsidP="004C6D56">
            <w:pPr>
              <w:suppressAutoHyphens/>
              <w:spacing w:after="0" w:line="240" w:lineRule="auto"/>
              <w:jc w:val="center"/>
              <w:textAlignment w:val="baseline"/>
              <w:rPr>
                <w:rFonts w:ascii="Arial Narrow" w:eastAsia="Times New Roman" w:hAnsi="Arial Narrow" w:cs="Arial"/>
                <w:b/>
                <w:sz w:val="20"/>
                <w:szCs w:val="20"/>
                <w:lang w:eastAsia="ar-SA"/>
              </w:rPr>
            </w:pPr>
            <w:r w:rsidRPr="006C0553">
              <w:rPr>
                <w:rFonts w:ascii="Arial Narrow" w:eastAsia="Times New Roman" w:hAnsi="Arial Narrow" w:cs="Arial"/>
                <w:b/>
                <w:sz w:val="20"/>
                <w:szCs w:val="20"/>
                <w:lang w:eastAsia="ar-SA"/>
              </w:rPr>
              <w:t>Lapsing Schedule</w:t>
            </w:r>
          </w:p>
        </w:tc>
        <w:tc>
          <w:tcPr>
            <w:tcW w:w="1872" w:type="dxa"/>
            <w:gridSpan w:val="2"/>
            <w:vMerge/>
            <w:tcBorders>
              <w:bottom w:val="single" w:sz="4" w:space="0" w:color="auto"/>
            </w:tcBorders>
            <w:vAlign w:val="center"/>
          </w:tcPr>
          <w:p w:rsidR="00492B00" w:rsidRPr="006C0553" w:rsidRDefault="00492B00" w:rsidP="006C0553">
            <w:pPr>
              <w:suppressAutoHyphens/>
              <w:spacing w:after="0" w:line="240" w:lineRule="auto"/>
              <w:jc w:val="right"/>
              <w:rPr>
                <w:rFonts w:ascii="Arial Narrow" w:eastAsia="Times New Roman" w:hAnsi="Arial Narrow" w:cs="Arial"/>
                <w:b/>
                <w:bCs/>
                <w:sz w:val="20"/>
                <w:szCs w:val="20"/>
                <w:lang w:eastAsia="ar-SA"/>
              </w:rPr>
            </w:pPr>
          </w:p>
        </w:tc>
      </w:tr>
      <w:tr w:rsidR="00492B00" w:rsidRPr="00FD7CED" w:rsidTr="006C0553">
        <w:trPr>
          <w:trHeight w:val="177"/>
          <w:jc w:val="right"/>
        </w:trPr>
        <w:tc>
          <w:tcPr>
            <w:tcW w:w="1953" w:type="dxa"/>
            <w:tcBorders>
              <w:top w:val="single" w:sz="4" w:space="0" w:color="auto"/>
            </w:tcBorders>
            <w:vAlign w:val="center"/>
          </w:tcPr>
          <w:p w:rsidR="00492B00" w:rsidRPr="006C0553" w:rsidRDefault="00492B00" w:rsidP="006C0553">
            <w:pPr>
              <w:suppressAutoHyphens/>
              <w:spacing w:after="0" w:line="240" w:lineRule="auto"/>
              <w:ind w:left="136" w:hanging="180"/>
              <w:rPr>
                <w:rFonts w:ascii="Arial Narrow" w:eastAsia="Times New Roman" w:hAnsi="Arial Narrow" w:cs="Arial"/>
                <w:sz w:val="20"/>
                <w:szCs w:val="20"/>
                <w:lang w:eastAsia="ar-SA"/>
              </w:rPr>
            </w:pPr>
            <w:r w:rsidRPr="006C0553">
              <w:rPr>
                <w:rFonts w:ascii="Arial Narrow" w:eastAsia="Times New Roman" w:hAnsi="Arial Narrow" w:cs="Arial"/>
                <w:sz w:val="20"/>
                <w:szCs w:val="20"/>
                <w:lang w:eastAsia="ar-SA"/>
              </w:rPr>
              <w:t>Acquisition cost</w:t>
            </w:r>
          </w:p>
        </w:tc>
        <w:tc>
          <w:tcPr>
            <w:tcW w:w="244" w:type="dxa"/>
            <w:tcBorders>
              <w:top w:val="single" w:sz="4" w:space="0" w:color="auto"/>
            </w:tcBorders>
          </w:tcPr>
          <w:p w:rsidR="00492B00" w:rsidRPr="006C0553" w:rsidRDefault="00492B00" w:rsidP="004C6D56">
            <w:pPr>
              <w:suppressAutoHyphens/>
              <w:spacing w:after="0" w:line="240" w:lineRule="auto"/>
              <w:jc w:val="right"/>
              <w:rPr>
                <w:rFonts w:ascii="Arial Narrow" w:eastAsia="Times New Roman" w:hAnsi="Arial Narrow" w:cs="Arial"/>
                <w:sz w:val="20"/>
                <w:szCs w:val="20"/>
                <w:lang w:eastAsia="ar-SA"/>
              </w:rPr>
            </w:pPr>
            <w:r w:rsidRPr="006C0553">
              <w:rPr>
                <w:rFonts w:ascii="Arial Narrow" w:eastAsia="Times New Roman" w:hAnsi="Arial Narrow" w:cs="Arial"/>
                <w:sz w:val="20"/>
                <w:szCs w:val="20"/>
                <w:lang w:eastAsia="ar-SA"/>
              </w:rPr>
              <w:t>P</w:t>
            </w:r>
          </w:p>
        </w:tc>
        <w:tc>
          <w:tcPr>
            <w:tcW w:w="1791" w:type="dxa"/>
            <w:tcBorders>
              <w:top w:val="single" w:sz="4" w:space="0" w:color="auto"/>
            </w:tcBorders>
            <w:shd w:val="clear" w:color="auto" w:fill="auto"/>
            <w:vAlign w:val="bottom"/>
          </w:tcPr>
          <w:p w:rsidR="00492B00" w:rsidRPr="006C0553" w:rsidRDefault="00492B00" w:rsidP="004C6D56">
            <w:pPr>
              <w:spacing w:after="0" w:line="240" w:lineRule="auto"/>
              <w:jc w:val="center"/>
              <w:rPr>
                <w:rFonts w:ascii="Arial Narrow" w:eastAsia="Times New Roman" w:hAnsi="Arial Narrow" w:cs="Arial"/>
                <w:sz w:val="20"/>
                <w:szCs w:val="20"/>
                <w:lang w:eastAsia="en-PH"/>
              </w:rPr>
            </w:pPr>
            <w:r w:rsidRPr="006C0553">
              <w:rPr>
                <w:rFonts w:ascii="Arial Narrow" w:eastAsia="Times New Roman" w:hAnsi="Arial Narrow" w:cs="Arial"/>
                <w:sz w:val="20"/>
                <w:szCs w:val="20"/>
                <w:lang w:eastAsia="en-PH"/>
              </w:rPr>
              <w:t xml:space="preserve">   662,134,108.02</w:t>
            </w:r>
          </w:p>
        </w:tc>
        <w:tc>
          <w:tcPr>
            <w:tcW w:w="244" w:type="dxa"/>
            <w:tcBorders>
              <w:top w:val="single" w:sz="4" w:space="0" w:color="auto"/>
            </w:tcBorders>
          </w:tcPr>
          <w:p w:rsidR="00492B00" w:rsidRPr="006C0553" w:rsidRDefault="00492B00" w:rsidP="004C6D56">
            <w:pPr>
              <w:suppressAutoHyphens/>
              <w:spacing w:after="0" w:line="240" w:lineRule="auto"/>
              <w:jc w:val="right"/>
              <w:rPr>
                <w:rFonts w:ascii="Arial Narrow" w:eastAsia="Times New Roman" w:hAnsi="Arial Narrow" w:cs="Arial"/>
                <w:sz w:val="20"/>
                <w:szCs w:val="20"/>
                <w:lang w:eastAsia="ar-SA"/>
              </w:rPr>
            </w:pPr>
            <w:r w:rsidRPr="006C0553">
              <w:rPr>
                <w:rFonts w:ascii="Arial Narrow" w:eastAsia="Times New Roman" w:hAnsi="Arial Narrow" w:cs="Arial"/>
                <w:sz w:val="20"/>
                <w:szCs w:val="20"/>
                <w:lang w:eastAsia="ar-SA"/>
              </w:rPr>
              <w:t>P</w:t>
            </w:r>
          </w:p>
        </w:tc>
        <w:tc>
          <w:tcPr>
            <w:tcW w:w="1628" w:type="dxa"/>
            <w:tcBorders>
              <w:top w:val="single" w:sz="4" w:space="0" w:color="auto"/>
            </w:tcBorders>
            <w:shd w:val="clear" w:color="auto" w:fill="auto"/>
            <w:vAlign w:val="bottom"/>
          </w:tcPr>
          <w:p w:rsidR="00492B00" w:rsidRPr="006C0553" w:rsidRDefault="00492B00" w:rsidP="004C6D56">
            <w:pPr>
              <w:spacing w:after="0" w:line="240" w:lineRule="auto"/>
              <w:rPr>
                <w:rFonts w:ascii="Arial Narrow" w:eastAsia="Times New Roman" w:hAnsi="Arial Narrow" w:cs="Arial"/>
                <w:sz w:val="20"/>
                <w:szCs w:val="20"/>
                <w:lang w:eastAsia="en-PH"/>
              </w:rPr>
            </w:pPr>
            <w:r w:rsidRPr="006C0553">
              <w:rPr>
                <w:rFonts w:ascii="Arial Narrow" w:eastAsia="Times New Roman" w:hAnsi="Arial Narrow" w:cs="Arial"/>
                <w:sz w:val="20"/>
                <w:szCs w:val="20"/>
                <w:lang w:eastAsia="en-PH"/>
              </w:rPr>
              <w:t>556,286,666.76</w:t>
            </w:r>
          </w:p>
        </w:tc>
        <w:tc>
          <w:tcPr>
            <w:tcW w:w="244" w:type="dxa"/>
            <w:tcBorders>
              <w:top w:val="single" w:sz="4" w:space="0" w:color="auto"/>
            </w:tcBorders>
          </w:tcPr>
          <w:p w:rsidR="00492B00" w:rsidRPr="006C0553" w:rsidRDefault="00492B00" w:rsidP="004C6D56">
            <w:pPr>
              <w:suppressAutoHyphens/>
              <w:spacing w:after="0" w:line="240" w:lineRule="auto"/>
              <w:jc w:val="right"/>
              <w:rPr>
                <w:rFonts w:ascii="Arial Narrow" w:eastAsia="Times New Roman" w:hAnsi="Arial Narrow" w:cs="Arial"/>
                <w:sz w:val="20"/>
                <w:szCs w:val="20"/>
                <w:lang w:eastAsia="ar-SA"/>
              </w:rPr>
            </w:pPr>
            <w:r w:rsidRPr="006C0553">
              <w:rPr>
                <w:rFonts w:ascii="Arial Narrow" w:eastAsia="Times New Roman" w:hAnsi="Arial Narrow" w:cs="Arial"/>
                <w:sz w:val="20"/>
                <w:szCs w:val="20"/>
                <w:lang w:eastAsia="ar-SA"/>
              </w:rPr>
              <w:t>P</w:t>
            </w:r>
          </w:p>
        </w:tc>
        <w:tc>
          <w:tcPr>
            <w:tcW w:w="1628" w:type="dxa"/>
            <w:tcBorders>
              <w:top w:val="single" w:sz="4" w:space="0" w:color="auto"/>
            </w:tcBorders>
            <w:shd w:val="clear" w:color="auto" w:fill="auto"/>
            <w:vAlign w:val="bottom"/>
          </w:tcPr>
          <w:p w:rsidR="00492B00" w:rsidRPr="006C0553" w:rsidRDefault="00492B00" w:rsidP="006C0553">
            <w:pPr>
              <w:spacing w:after="0" w:line="240" w:lineRule="auto"/>
              <w:ind w:right="-90" w:hanging="108"/>
              <w:jc w:val="right"/>
              <w:rPr>
                <w:rFonts w:ascii="Arial Narrow" w:eastAsia="Times New Roman" w:hAnsi="Arial Narrow" w:cs="Arial"/>
                <w:sz w:val="20"/>
                <w:szCs w:val="20"/>
                <w:lang w:eastAsia="en-PH"/>
              </w:rPr>
            </w:pPr>
            <w:r w:rsidRPr="006C0553">
              <w:rPr>
                <w:rFonts w:ascii="Arial Narrow" w:eastAsia="Times New Roman" w:hAnsi="Arial Narrow" w:cs="Arial"/>
                <w:sz w:val="20"/>
                <w:szCs w:val="20"/>
                <w:lang w:eastAsia="en-PH"/>
              </w:rPr>
              <w:t>105,847,441.26</w:t>
            </w:r>
          </w:p>
        </w:tc>
      </w:tr>
      <w:tr w:rsidR="00492B00" w:rsidRPr="00FD7CED" w:rsidTr="006C0553">
        <w:trPr>
          <w:trHeight w:val="177"/>
          <w:jc w:val="right"/>
        </w:trPr>
        <w:tc>
          <w:tcPr>
            <w:tcW w:w="1953" w:type="dxa"/>
            <w:tcBorders>
              <w:bottom w:val="single" w:sz="4" w:space="0" w:color="auto"/>
            </w:tcBorders>
            <w:vAlign w:val="center"/>
          </w:tcPr>
          <w:p w:rsidR="00492B00" w:rsidRPr="006C0553" w:rsidRDefault="00492B00" w:rsidP="006C0553">
            <w:pPr>
              <w:suppressAutoHyphens/>
              <w:spacing w:after="0" w:line="240" w:lineRule="auto"/>
              <w:ind w:left="136" w:hanging="180"/>
              <w:rPr>
                <w:rFonts w:ascii="Arial Narrow" w:eastAsia="Times New Roman" w:hAnsi="Arial Narrow" w:cs="Arial"/>
                <w:sz w:val="20"/>
                <w:szCs w:val="20"/>
                <w:lang w:eastAsia="ar-SA"/>
              </w:rPr>
            </w:pPr>
            <w:r w:rsidRPr="006C0553">
              <w:rPr>
                <w:rFonts w:ascii="Arial Narrow" w:eastAsia="Times New Roman" w:hAnsi="Arial Narrow" w:cs="Arial"/>
                <w:bCs/>
                <w:sz w:val="20"/>
                <w:szCs w:val="20"/>
                <w:lang w:eastAsia="ar-SA"/>
              </w:rPr>
              <w:t>Accumulated depreciation</w:t>
            </w:r>
          </w:p>
        </w:tc>
        <w:tc>
          <w:tcPr>
            <w:tcW w:w="244" w:type="dxa"/>
            <w:tcBorders>
              <w:bottom w:val="single" w:sz="4" w:space="0" w:color="auto"/>
            </w:tcBorders>
          </w:tcPr>
          <w:p w:rsidR="00492B00" w:rsidRPr="006C0553" w:rsidRDefault="00492B00" w:rsidP="004C6D56">
            <w:pPr>
              <w:suppressAutoHyphens/>
              <w:spacing w:after="0" w:line="240" w:lineRule="auto"/>
              <w:jc w:val="right"/>
              <w:rPr>
                <w:rFonts w:ascii="Arial Narrow" w:eastAsia="Times New Roman" w:hAnsi="Arial Narrow" w:cs="Arial"/>
                <w:sz w:val="20"/>
                <w:szCs w:val="20"/>
                <w:lang w:eastAsia="ar-SA"/>
              </w:rPr>
            </w:pPr>
          </w:p>
        </w:tc>
        <w:tc>
          <w:tcPr>
            <w:tcW w:w="1791" w:type="dxa"/>
            <w:tcBorders>
              <w:bottom w:val="single" w:sz="4" w:space="0" w:color="auto"/>
            </w:tcBorders>
            <w:shd w:val="clear" w:color="auto" w:fill="auto"/>
            <w:vAlign w:val="bottom"/>
          </w:tcPr>
          <w:p w:rsidR="00492B00" w:rsidRPr="006C0553" w:rsidRDefault="00492B00" w:rsidP="004C6D56">
            <w:pPr>
              <w:suppressAutoHyphens/>
              <w:spacing w:after="0" w:line="240" w:lineRule="auto"/>
              <w:jc w:val="right"/>
              <w:rPr>
                <w:rFonts w:ascii="Arial Narrow" w:eastAsia="Times New Roman" w:hAnsi="Arial Narrow" w:cs="Arial"/>
                <w:sz w:val="20"/>
                <w:szCs w:val="20"/>
                <w:lang w:eastAsia="ar-SA"/>
              </w:rPr>
            </w:pPr>
            <w:r w:rsidRPr="006C0553">
              <w:rPr>
                <w:rFonts w:ascii="Arial Narrow" w:eastAsia="Times New Roman" w:hAnsi="Arial Narrow" w:cs="Arial"/>
                <w:sz w:val="20"/>
                <w:szCs w:val="20"/>
                <w:lang w:eastAsia="ar-SA"/>
              </w:rPr>
              <w:t>353,831,774.58</w:t>
            </w:r>
          </w:p>
        </w:tc>
        <w:tc>
          <w:tcPr>
            <w:tcW w:w="244" w:type="dxa"/>
            <w:tcBorders>
              <w:bottom w:val="single" w:sz="4" w:space="0" w:color="auto"/>
            </w:tcBorders>
          </w:tcPr>
          <w:p w:rsidR="00492B00" w:rsidRPr="006C0553" w:rsidRDefault="00492B00" w:rsidP="004C6D56">
            <w:pPr>
              <w:suppressAutoHyphens/>
              <w:spacing w:after="0" w:line="240" w:lineRule="auto"/>
              <w:jc w:val="right"/>
              <w:rPr>
                <w:rFonts w:ascii="Arial Narrow" w:eastAsia="Times New Roman" w:hAnsi="Arial Narrow" w:cs="Arial"/>
                <w:sz w:val="20"/>
                <w:szCs w:val="20"/>
                <w:lang w:eastAsia="ar-SA"/>
              </w:rPr>
            </w:pPr>
          </w:p>
        </w:tc>
        <w:tc>
          <w:tcPr>
            <w:tcW w:w="1628" w:type="dxa"/>
            <w:tcBorders>
              <w:bottom w:val="single" w:sz="4" w:space="0" w:color="auto"/>
            </w:tcBorders>
            <w:shd w:val="clear" w:color="auto" w:fill="auto"/>
            <w:vAlign w:val="bottom"/>
          </w:tcPr>
          <w:p w:rsidR="00492B00" w:rsidRPr="006C0553" w:rsidRDefault="00492B00" w:rsidP="004C6D56">
            <w:pPr>
              <w:suppressAutoHyphens/>
              <w:spacing w:after="0" w:line="240" w:lineRule="auto"/>
              <w:ind w:hanging="108"/>
              <w:jc w:val="right"/>
              <w:rPr>
                <w:rFonts w:ascii="Arial Narrow" w:eastAsia="Times New Roman" w:hAnsi="Arial Narrow" w:cs="Arial"/>
                <w:sz w:val="20"/>
                <w:szCs w:val="20"/>
                <w:lang w:eastAsia="ar-SA"/>
              </w:rPr>
            </w:pPr>
            <w:r w:rsidRPr="006C0553">
              <w:rPr>
                <w:rFonts w:ascii="Arial Narrow" w:eastAsia="Times New Roman" w:hAnsi="Arial Narrow" w:cs="Arial"/>
                <w:sz w:val="20"/>
                <w:szCs w:val="20"/>
                <w:lang w:eastAsia="ar-SA"/>
              </w:rPr>
              <w:t>357,967,145.34</w:t>
            </w:r>
          </w:p>
        </w:tc>
        <w:tc>
          <w:tcPr>
            <w:tcW w:w="244" w:type="dxa"/>
            <w:tcBorders>
              <w:bottom w:val="single" w:sz="4" w:space="0" w:color="auto"/>
            </w:tcBorders>
          </w:tcPr>
          <w:p w:rsidR="00492B00" w:rsidRPr="006C0553" w:rsidRDefault="00492B00" w:rsidP="004C6D56">
            <w:pPr>
              <w:suppressAutoHyphens/>
              <w:spacing w:after="0" w:line="240" w:lineRule="auto"/>
              <w:jc w:val="right"/>
              <w:rPr>
                <w:rFonts w:ascii="Arial Narrow" w:eastAsia="Times New Roman" w:hAnsi="Arial Narrow" w:cs="Arial"/>
                <w:sz w:val="20"/>
                <w:szCs w:val="20"/>
                <w:lang w:eastAsia="ar-SA"/>
              </w:rPr>
            </w:pPr>
          </w:p>
        </w:tc>
        <w:tc>
          <w:tcPr>
            <w:tcW w:w="1628" w:type="dxa"/>
            <w:tcBorders>
              <w:bottom w:val="single" w:sz="4" w:space="0" w:color="auto"/>
            </w:tcBorders>
            <w:shd w:val="clear" w:color="auto" w:fill="auto"/>
            <w:vAlign w:val="bottom"/>
          </w:tcPr>
          <w:p w:rsidR="00492B00" w:rsidRPr="006C0553" w:rsidRDefault="00492B00" w:rsidP="006C0553">
            <w:pPr>
              <w:suppressAutoHyphens/>
              <w:spacing w:after="0" w:line="240" w:lineRule="auto"/>
              <w:ind w:right="-90" w:hanging="108"/>
              <w:jc w:val="right"/>
              <w:rPr>
                <w:rFonts w:ascii="Arial Narrow" w:eastAsia="Times New Roman" w:hAnsi="Arial Narrow" w:cs="Arial"/>
                <w:sz w:val="20"/>
                <w:szCs w:val="20"/>
                <w:lang w:eastAsia="ar-SA"/>
              </w:rPr>
            </w:pPr>
            <w:r w:rsidRPr="006C0553">
              <w:rPr>
                <w:rFonts w:ascii="Arial Narrow" w:eastAsia="Times New Roman" w:hAnsi="Arial Narrow" w:cs="Arial"/>
                <w:sz w:val="20"/>
                <w:szCs w:val="20"/>
                <w:lang w:eastAsia="ar-SA"/>
              </w:rPr>
              <w:t>(4,135,370.77)</w:t>
            </w:r>
          </w:p>
        </w:tc>
      </w:tr>
      <w:tr w:rsidR="00492B00" w:rsidRPr="00FD7CED" w:rsidTr="006C0553">
        <w:trPr>
          <w:trHeight w:val="186"/>
          <w:jc w:val="right"/>
        </w:trPr>
        <w:tc>
          <w:tcPr>
            <w:tcW w:w="1953" w:type="dxa"/>
            <w:tcBorders>
              <w:top w:val="single" w:sz="4" w:space="0" w:color="auto"/>
              <w:bottom w:val="double" w:sz="4" w:space="0" w:color="auto"/>
            </w:tcBorders>
            <w:vAlign w:val="center"/>
          </w:tcPr>
          <w:p w:rsidR="00492B00" w:rsidRPr="006C0553" w:rsidRDefault="00492B00" w:rsidP="006C0553">
            <w:pPr>
              <w:spacing w:after="0" w:line="240" w:lineRule="auto"/>
              <w:ind w:left="136" w:hanging="180"/>
              <w:rPr>
                <w:rFonts w:ascii="Arial Narrow" w:eastAsia="Times New Roman" w:hAnsi="Arial Narrow" w:cs="Arial"/>
                <w:b/>
                <w:bCs/>
                <w:sz w:val="20"/>
                <w:szCs w:val="20"/>
                <w:lang w:eastAsia="en-PH"/>
              </w:rPr>
            </w:pPr>
            <w:r w:rsidRPr="006C0553">
              <w:rPr>
                <w:rFonts w:ascii="Arial Narrow" w:eastAsia="Times New Roman" w:hAnsi="Arial Narrow" w:cs="Arial"/>
                <w:b/>
                <w:bCs/>
                <w:sz w:val="20"/>
                <w:szCs w:val="20"/>
                <w:lang w:eastAsia="ar-SA"/>
              </w:rPr>
              <w:t>Carrying amount</w:t>
            </w:r>
          </w:p>
        </w:tc>
        <w:tc>
          <w:tcPr>
            <w:tcW w:w="244" w:type="dxa"/>
            <w:tcBorders>
              <w:top w:val="single" w:sz="4" w:space="0" w:color="auto"/>
              <w:bottom w:val="double" w:sz="4" w:space="0" w:color="auto"/>
            </w:tcBorders>
          </w:tcPr>
          <w:p w:rsidR="00492B00" w:rsidRPr="006C0553" w:rsidRDefault="00492B00" w:rsidP="004C6D56">
            <w:pPr>
              <w:suppressAutoHyphens/>
              <w:spacing w:after="0" w:line="240" w:lineRule="auto"/>
              <w:rPr>
                <w:rFonts w:ascii="Arial Narrow" w:eastAsia="Times New Roman" w:hAnsi="Arial Narrow" w:cs="Arial"/>
                <w:b/>
                <w:bCs/>
                <w:sz w:val="20"/>
                <w:szCs w:val="20"/>
                <w:lang w:eastAsia="ar-SA"/>
              </w:rPr>
            </w:pPr>
            <w:r w:rsidRPr="006C0553">
              <w:rPr>
                <w:rFonts w:ascii="Arial Narrow" w:eastAsia="Times New Roman" w:hAnsi="Arial Narrow" w:cs="Arial"/>
                <w:b/>
                <w:bCs/>
                <w:sz w:val="20"/>
                <w:szCs w:val="20"/>
                <w:lang w:eastAsia="ar-SA"/>
              </w:rPr>
              <w:t>P</w:t>
            </w:r>
          </w:p>
        </w:tc>
        <w:tc>
          <w:tcPr>
            <w:tcW w:w="1791" w:type="dxa"/>
            <w:tcBorders>
              <w:top w:val="single" w:sz="4" w:space="0" w:color="auto"/>
              <w:bottom w:val="double" w:sz="4" w:space="0" w:color="auto"/>
            </w:tcBorders>
            <w:shd w:val="clear" w:color="auto" w:fill="auto"/>
            <w:vAlign w:val="center"/>
          </w:tcPr>
          <w:p w:rsidR="00492B00" w:rsidRPr="006C0553" w:rsidRDefault="00492B00" w:rsidP="004C6D56">
            <w:pPr>
              <w:suppressAutoHyphens/>
              <w:spacing w:after="0" w:line="240" w:lineRule="auto"/>
              <w:jc w:val="right"/>
              <w:rPr>
                <w:rFonts w:ascii="Arial Narrow" w:eastAsia="Times New Roman" w:hAnsi="Arial Narrow" w:cs="Arial"/>
                <w:b/>
                <w:bCs/>
                <w:sz w:val="20"/>
                <w:szCs w:val="20"/>
                <w:lang w:eastAsia="ar-SA"/>
              </w:rPr>
            </w:pPr>
            <w:r w:rsidRPr="006C0553">
              <w:rPr>
                <w:rFonts w:ascii="Arial Narrow" w:eastAsia="Times New Roman" w:hAnsi="Arial Narrow" w:cs="Arial"/>
                <w:b/>
                <w:bCs/>
                <w:sz w:val="20"/>
                <w:szCs w:val="20"/>
                <w:lang w:eastAsia="ar-SA"/>
              </w:rPr>
              <w:t>308,302,333.44</w:t>
            </w:r>
          </w:p>
        </w:tc>
        <w:tc>
          <w:tcPr>
            <w:tcW w:w="244" w:type="dxa"/>
            <w:tcBorders>
              <w:top w:val="single" w:sz="4" w:space="0" w:color="auto"/>
              <w:bottom w:val="double" w:sz="4" w:space="0" w:color="auto"/>
            </w:tcBorders>
          </w:tcPr>
          <w:p w:rsidR="00492B00" w:rsidRPr="006C0553" w:rsidRDefault="00492B00" w:rsidP="004C6D56">
            <w:pPr>
              <w:suppressAutoHyphens/>
              <w:spacing w:after="0" w:line="240" w:lineRule="auto"/>
              <w:jc w:val="right"/>
              <w:rPr>
                <w:rFonts w:ascii="Arial Narrow" w:eastAsia="Times New Roman" w:hAnsi="Arial Narrow" w:cs="Arial"/>
                <w:b/>
                <w:bCs/>
                <w:sz w:val="20"/>
                <w:szCs w:val="20"/>
                <w:lang w:eastAsia="ar-SA"/>
              </w:rPr>
            </w:pPr>
            <w:r w:rsidRPr="006C0553">
              <w:rPr>
                <w:rFonts w:ascii="Arial Narrow" w:eastAsia="Times New Roman" w:hAnsi="Arial Narrow" w:cs="Arial"/>
                <w:b/>
                <w:bCs/>
                <w:sz w:val="20"/>
                <w:szCs w:val="20"/>
                <w:lang w:eastAsia="ar-SA"/>
              </w:rPr>
              <w:t>P</w:t>
            </w:r>
          </w:p>
        </w:tc>
        <w:tc>
          <w:tcPr>
            <w:tcW w:w="1628" w:type="dxa"/>
            <w:tcBorders>
              <w:top w:val="single" w:sz="4" w:space="0" w:color="auto"/>
              <w:bottom w:val="double" w:sz="4" w:space="0" w:color="auto"/>
            </w:tcBorders>
            <w:shd w:val="clear" w:color="auto" w:fill="auto"/>
            <w:vAlign w:val="center"/>
          </w:tcPr>
          <w:p w:rsidR="00492B00" w:rsidRPr="006C0553" w:rsidRDefault="00492B00" w:rsidP="004C6D56">
            <w:pPr>
              <w:suppressAutoHyphens/>
              <w:spacing w:after="0" w:line="240" w:lineRule="auto"/>
              <w:jc w:val="right"/>
              <w:rPr>
                <w:rFonts w:ascii="Arial Narrow" w:eastAsia="Times New Roman" w:hAnsi="Arial Narrow" w:cs="Arial"/>
                <w:b/>
                <w:bCs/>
                <w:sz w:val="20"/>
                <w:szCs w:val="20"/>
                <w:lang w:eastAsia="ar-SA"/>
              </w:rPr>
            </w:pPr>
            <w:r w:rsidRPr="006C0553">
              <w:rPr>
                <w:rFonts w:ascii="Arial Narrow" w:eastAsia="Times New Roman" w:hAnsi="Arial Narrow" w:cs="Arial"/>
                <w:b/>
                <w:bCs/>
                <w:sz w:val="20"/>
                <w:szCs w:val="20"/>
                <w:lang w:eastAsia="ar-SA"/>
              </w:rPr>
              <w:t>198,319,521.42</w:t>
            </w:r>
          </w:p>
        </w:tc>
        <w:tc>
          <w:tcPr>
            <w:tcW w:w="244" w:type="dxa"/>
            <w:tcBorders>
              <w:top w:val="single" w:sz="4" w:space="0" w:color="auto"/>
              <w:bottom w:val="double" w:sz="4" w:space="0" w:color="auto"/>
            </w:tcBorders>
          </w:tcPr>
          <w:p w:rsidR="00492B00" w:rsidRPr="006C0553" w:rsidRDefault="00492B00" w:rsidP="004C6D56">
            <w:pPr>
              <w:suppressAutoHyphens/>
              <w:spacing w:after="0" w:line="240" w:lineRule="auto"/>
              <w:jc w:val="right"/>
              <w:rPr>
                <w:rFonts w:ascii="Arial Narrow" w:eastAsia="Times New Roman" w:hAnsi="Arial Narrow" w:cs="Arial"/>
                <w:b/>
                <w:bCs/>
                <w:sz w:val="20"/>
                <w:szCs w:val="20"/>
                <w:lang w:eastAsia="ar-SA"/>
              </w:rPr>
            </w:pPr>
            <w:r w:rsidRPr="006C0553">
              <w:rPr>
                <w:rFonts w:ascii="Arial Narrow" w:eastAsia="Times New Roman" w:hAnsi="Arial Narrow" w:cs="Arial"/>
                <w:b/>
                <w:bCs/>
                <w:sz w:val="20"/>
                <w:szCs w:val="20"/>
                <w:lang w:eastAsia="ar-SA"/>
              </w:rPr>
              <w:t>P</w:t>
            </w:r>
          </w:p>
        </w:tc>
        <w:tc>
          <w:tcPr>
            <w:tcW w:w="1628" w:type="dxa"/>
            <w:tcBorders>
              <w:top w:val="single" w:sz="4" w:space="0" w:color="auto"/>
              <w:bottom w:val="double" w:sz="4" w:space="0" w:color="auto"/>
            </w:tcBorders>
            <w:shd w:val="clear" w:color="auto" w:fill="auto"/>
            <w:vAlign w:val="bottom"/>
          </w:tcPr>
          <w:p w:rsidR="00492B00" w:rsidRPr="006C0553" w:rsidRDefault="00492B00" w:rsidP="006C0553">
            <w:pPr>
              <w:suppressAutoHyphens/>
              <w:spacing w:after="0" w:line="240" w:lineRule="auto"/>
              <w:ind w:right="-90"/>
              <w:jc w:val="right"/>
              <w:rPr>
                <w:rFonts w:ascii="Arial Narrow" w:eastAsia="Times New Roman" w:hAnsi="Arial Narrow" w:cs="Arial"/>
                <w:b/>
                <w:bCs/>
                <w:sz w:val="20"/>
                <w:szCs w:val="20"/>
                <w:lang w:eastAsia="ar-SA"/>
              </w:rPr>
            </w:pPr>
            <w:r w:rsidRPr="006C0553">
              <w:rPr>
                <w:rFonts w:ascii="Arial Narrow" w:eastAsia="Times New Roman" w:hAnsi="Arial Narrow" w:cs="Arial"/>
                <w:b/>
                <w:bCs/>
                <w:sz w:val="20"/>
                <w:szCs w:val="20"/>
                <w:lang w:eastAsia="ar-SA"/>
              </w:rPr>
              <w:t>109,982,812.03</w:t>
            </w:r>
          </w:p>
        </w:tc>
      </w:tr>
    </w:tbl>
    <w:p w:rsidR="00492B00" w:rsidRPr="004F6C55" w:rsidRDefault="00492B00" w:rsidP="00492B00">
      <w:pPr>
        <w:spacing w:after="0" w:line="240" w:lineRule="auto"/>
        <w:jc w:val="both"/>
        <w:rPr>
          <w:rFonts w:ascii="Arial" w:hAnsi="Arial" w:cs="Arial"/>
          <w:i/>
          <w:sz w:val="20"/>
          <w:szCs w:val="20"/>
        </w:rPr>
      </w:pPr>
      <w:r w:rsidRPr="004F6C55">
        <w:rPr>
          <w:rFonts w:ascii="Arial" w:hAnsi="Arial" w:cs="Arial"/>
          <w:sz w:val="20"/>
          <w:szCs w:val="20"/>
        </w:rPr>
        <w:t xml:space="preserve">    </w:t>
      </w:r>
    </w:p>
    <w:p w:rsidR="00492B00" w:rsidRPr="00EF4855" w:rsidRDefault="00492B00" w:rsidP="00DA78B4">
      <w:pPr>
        <w:pStyle w:val="ListParagraph"/>
        <w:numPr>
          <w:ilvl w:val="1"/>
          <w:numId w:val="24"/>
        </w:numPr>
        <w:ind w:left="1440" w:hanging="720"/>
        <w:jc w:val="both"/>
        <w:rPr>
          <w:rFonts w:ascii="Arial" w:hAnsi="Arial" w:cs="Arial"/>
          <w:i/>
          <w:sz w:val="22"/>
          <w:szCs w:val="22"/>
        </w:rPr>
      </w:pPr>
      <w:r w:rsidRPr="006C0553">
        <w:rPr>
          <w:rFonts w:ascii="Arial" w:hAnsi="Arial" w:cs="Arial"/>
          <w:sz w:val="22"/>
          <w:szCs w:val="22"/>
        </w:rPr>
        <w:t xml:space="preserve">Ideally, the lapsing schedules should agree with the book balances of the various items comprising the PPE account since </w:t>
      </w:r>
      <w:r w:rsidR="00680A31" w:rsidRPr="006C0553">
        <w:rPr>
          <w:rFonts w:ascii="Arial" w:hAnsi="Arial" w:cs="Arial"/>
          <w:sz w:val="22"/>
          <w:szCs w:val="22"/>
        </w:rPr>
        <w:t>these provide</w:t>
      </w:r>
      <w:r w:rsidRPr="006C0553">
        <w:rPr>
          <w:rFonts w:ascii="Arial" w:hAnsi="Arial" w:cs="Arial"/>
          <w:sz w:val="22"/>
          <w:szCs w:val="22"/>
        </w:rPr>
        <w:t xml:space="preserve"> specific accounting data such as original purchase cost, accumulated depreciation, additions and disposals. We noted, however, that the balances of the depreciable items of PPE</w:t>
      </w:r>
      <w:r w:rsidR="00D5668D" w:rsidRPr="006C0553">
        <w:rPr>
          <w:rFonts w:ascii="Arial" w:hAnsi="Arial" w:cs="Arial"/>
          <w:sz w:val="22"/>
          <w:szCs w:val="22"/>
        </w:rPr>
        <w:t xml:space="preserve"> per books were greater by P109.</w:t>
      </w:r>
      <w:r w:rsidRPr="006C0553">
        <w:rPr>
          <w:rFonts w:ascii="Arial" w:hAnsi="Arial" w:cs="Arial"/>
          <w:sz w:val="22"/>
          <w:szCs w:val="22"/>
        </w:rPr>
        <w:t>98</w:t>
      </w:r>
      <w:r w:rsidR="00D5668D" w:rsidRPr="006C0553">
        <w:rPr>
          <w:rFonts w:ascii="Arial" w:hAnsi="Arial" w:cs="Arial"/>
          <w:sz w:val="22"/>
          <w:szCs w:val="22"/>
        </w:rPr>
        <w:t>3 million</w:t>
      </w:r>
      <w:r w:rsidRPr="006C0553">
        <w:rPr>
          <w:rFonts w:ascii="Arial" w:hAnsi="Arial" w:cs="Arial"/>
          <w:sz w:val="22"/>
          <w:szCs w:val="22"/>
        </w:rPr>
        <w:t>, net of the related accumulated depreciation, when compared with the balances reflected in the lapsing schedules. The</w:t>
      </w:r>
      <w:r w:rsidRPr="00EF4855">
        <w:rPr>
          <w:rFonts w:ascii="Arial" w:hAnsi="Arial" w:cs="Arial"/>
          <w:sz w:val="22"/>
          <w:szCs w:val="22"/>
        </w:rPr>
        <w:t xml:space="preserve"> concerned accounting personnel informed that the noted discrepancy was due to the absence of pertinent information needed for inclusion in the lapsing schedule; hence, the same were just labeled as “For Reconciliation”.  </w:t>
      </w:r>
    </w:p>
    <w:p w:rsidR="00492B00" w:rsidRPr="00EF4855" w:rsidRDefault="00492B00" w:rsidP="00492B00">
      <w:pPr>
        <w:spacing w:after="0" w:line="240" w:lineRule="auto"/>
        <w:ind w:firstLine="720"/>
        <w:jc w:val="both"/>
        <w:rPr>
          <w:rFonts w:ascii="Arial" w:hAnsi="Arial" w:cs="Arial"/>
        </w:rPr>
      </w:pPr>
    </w:p>
    <w:p w:rsidR="00492B00" w:rsidRPr="00EF4855" w:rsidRDefault="00492B00" w:rsidP="00DA78B4">
      <w:pPr>
        <w:pStyle w:val="ListParagraph"/>
        <w:numPr>
          <w:ilvl w:val="1"/>
          <w:numId w:val="24"/>
        </w:numPr>
        <w:ind w:left="1440" w:hanging="720"/>
        <w:jc w:val="both"/>
        <w:rPr>
          <w:rFonts w:ascii="Arial" w:hAnsi="Arial" w:cs="Arial"/>
          <w:sz w:val="22"/>
          <w:szCs w:val="22"/>
        </w:rPr>
      </w:pPr>
      <w:r w:rsidRPr="00EF4855">
        <w:rPr>
          <w:rFonts w:ascii="Arial" w:hAnsi="Arial" w:cs="Arial"/>
          <w:sz w:val="22"/>
          <w:szCs w:val="22"/>
        </w:rPr>
        <w:t>The existence of the above-mentioned discrepancy of P109</w:t>
      </w:r>
      <w:r w:rsidR="00D5668D">
        <w:rPr>
          <w:rFonts w:ascii="Arial" w:hAnsi="Arial" w:cs="Arial"/>
          <w:sz w:val="22"/>
          <w:szCs w:val="22"/>
        </w:rPr>
        <w:t>.</w:t>
      </w:r>
      <w:r w:rsidR="00D5668D" w:rsidRPr="00EF4855">
        <w:rPr>
          <w:rFonts w:ascii="Arial" w:hAnsi="Arial" w:cs="Arial"/>
          <w:sz w:val="22"/>
          <w:szCs w:val="22"/>
        </w:rPr>
        <w:t>98</w:t>
      </w:r>
      <w:r w:rsidR="00D5668D">
        <w:rPr>
          <w:rFonts w:ascii="Arial" w:hAnsi="Arial" w:cs="Arial"/>
          <w:sz w:val="22"/>
          <w:szCs w:val="22"/>
        </w:rPr>
        <w:t>3 million</w:t>
      </w:r>
      <w:r w:rsidR="00D5668D" w:rsidRPr="00EF4855">
        <w:rPr>
          <w:rFonts w:ascii="Arial" w:hAnsi="Arial" w:cs="Arial"/>
          <w:sz w:val="22"/>
          <w:szCs w:val="22"/>
        </w:rPr>
        <w:t xml:space="preserve"> </w:t>
      </w:r>
      <w:r w:rsidRPr="00EF4855">
        <w:rPr>
          <w:rFonts w:ascii="Arial" w:hAnsi="Arial" w:cs="Arial"/>
          <w:sz w:val="22"/>
          <w:szCs w:val="22"/>
        </w:rPr>
        <w:t xml:space="preserve">casts doubt on the fairness of presentation of the balances of the depreciable items of PPE in the financial statements as of December 31, 2018. </w:t>
      </w:r>
    </w:p>
    <w:p w:rsidR="00492B00" w:rsidRPr="00EF4855" w:rsidRDefault="00492B00" w:rsidP="00492B00">
      <w:pPr>
        <w:pStyle w:val="ListParagraph"/>
        <w:rPr>
          <w:rFonts w:ascii="Arial" w:hAnsi="Arial" w:cs="Arial"/>
          <w:sz w:val="22"/>
          <w:szCs w:val="22"/>
        </w:rPr>
      </w:pPr>
    </w:p>
    <w:p w:rsidR="00492B00" w:rsidRDefault="00845840" w:rsidP="00DA78B4">
      <w:pPr>
        <w:pStyle w:val="ListParagraph"/>
        <w:numPr>
          <w:ilvl w:val="1"/>
          <w:numId w:val="24"/>
        </w:numPr>
        <w:ind w:left="1440" w:hanging="720"/>
        <w:jc w:val="both"/>
        <w:rPr>
          <w:rFonts w:ascii="Arial" w:hAnsi="Arial" w:cs="Arial"/>
          <w:sz w:val="22"/>
          <w:szCs w:val="22"/>
        </w:rPr>
      </w:pPr>
      <w:r w:rsidRPr="00845840">
        <w:rPr>
          <w:rFonts w:ascii="Arial" w:hAnsi="Arial" w:cs="Arial"/>
          <w:sz w:val="22"/>
          <w:szCs w:val="22"/>
        </w:rPr>
        <w:t xml:space="preserve">Moreover, </w:t>
      </w:r>
      <w:r>
        <w:rPr>
          <w:rFonts w:ascii="Arial" w:hAnsi="Arial" w:cs="Arial"/>
          <w:sz w:val="22"/>
          <w:szCs w:val="22"/>
        </w:rPr>
        <w:t xml:space="preserve">we noted </w:t>
      </w:r>
      <w:r w:rsidRPr="00EF4855">
        <w:rPr>
          <w:rFonts w:ascii="Arial" w:hAnsi="Arial" w:cs="Arial"/>
          <w:sz w:val="22"/>
          <w:szCs w:val="22"/>
        </w:rPr>
        <w:t xml:space="preserve">that the Inventory Report submitted by the </w:t>
      </w:r>
      <w:r w:rsidR="00420B30">
        <w:rPr>
          <w:rFonts w:ascii="Arial" w:hAnsi="Arial" w:cs="Arial"/>
          <w:sz w:val="22"/>
          <w:szCs w:val="22"/>
        </w:rPr>
        <w:t>Asset &amp; Supply Management Department (</w:t>
      </w:r>
      <w:r w:rsidRPr="00EF4855">
        <w:rPr>
          <w:rFonts w:ascii="Arial" w:hAnsi="Arial" w:cs="Arial"/>
          <w:sz w:val="22"/>
          <w:szCs w:val="22"/>
        </w:rPr>
        <w:t>ASMD</w:t>
      </w:r>
      <w:r w:rsidR="00420B30">
        <w:rPr>
          <w:rFonts w:ascii="Arial" w:hAnsi="Arial" w:cs="Arial"/>
          <w:sz w:val="22"/>
          <w:szCs w:val="22"/>
        </w:rPr>
        <w:t>)</w:t>
      </w:r>
      <w:r w:rsidRPr="00EF4855">
        <w:rPr>
          <w:rFonts w:ascii="Arial" w:hAnsi="Arial" w:cs="Arial"/>
          <w:sz w:val="22"/>
          <w:szCs w:val="22"/>
        </w:rPr>
        <w:t xml:space="preserve"> for CY 2018 pertained only to the results of the actual physical count of the assets in the PCSO-Head Office</w:t>
      </w:r>
      <w:r>
        <w:rPr>
          <w:rFonts w:ascii="Arial" w:hAnsi="Arial" w:cs="Arial"/>
          <w:sz w:val="22"/>
          <w:szCs w:val="22"/>
        </w:rPr>
        <w:t xml:space="preserve">.  </w:t>
      </w:r>
      <w:r w:rsidR="00984470">
        <w:rPr>
          <w:rFonts w:ascii="Arial" w:hAnsi="Arial" w:cs="Arial"/>
          <w:sz w:val="22"/>
          <w:szCs w:val="22"/>
        </w:rPr>
        <w:t xml:space="preserve">Hence, the integrity of property custodianship of all the assets belonging to PCSO was not checked.  </w:t>
      </w:r>
    </w:p>
    <w:p w:rsidR="00984470" w:rsidRPr="00984470" w:rsidRDefault="00984470" w:rsidP="00984470">
      <w:pPr>
        <w:pStyle w:val="ListParagraph"/>
        <w:rPr>
          <w:rFonts w:ascii="Arial" w:hAnsi="Arial" w:cs="Arial"/>
          <w:sz w:val="22"/>
          <w:szCs w:val="22"/>
        </w:rPr>
      </w:pPr>
    </w:p>
    <w:p w:rsidR="00492B00" w:rsidRPr="00EF4855" w:rsidRDefault="00492B00" w:rsidP="00DA78B4">
      <w:pPr>
        <w:pStyle w:val="ListParagraph"/>
        <w:numPr>
          <w:ilvl w:val="1"/>
          <w:numId w:val="24"/>
        </w:numPr>
        <w:ind w:left="1440" w:hanging="720"/>
        <w:jc w:val="both"/>
        <w:rPr>
          <w:rFonts w:ascii="Arial" w:hAnsi="Arial" w:cs="Arial"/>
          <w:sz w:val="22"/>
          <w:szCs w:val="22"/>
        </w:rPr>
      </w:pPr>
      <w:r w:rsidRPr="00EF4855">
        <w:rPr>
          <w:rFonts w:ascii="Arial" w:hAnsi="Arial" w:cs="Arial"/>
          <w:sz w:val="22"/>
          <w:szCs w:val="22"/>
        </w:rPr>
        <w:t>Existing guidelines for inventory taking provides that inventory reports of regional/branch offices shall be submitted to the head of the agency not later than January 20 for consolidation and the consolidated inventory report shall be submitted to the Auditor not later than January 31 of each year. However, only the CY 2018 inventory report for the head office was submitted to the Office of the Auditor.</w:t>
      </w:r>
    </w:p>
    <w:p w:rsidR="00492B00" w:rsidRDefault="00492B00" w:rsidP="00492B00">
      <w:pPr>
        <w:spacing w:after="0" w:line="240" w:lineRule="auto"/>
        <w:ind w:firstLine="720"/>
        <w:jc w:val="both"/>
        <w:rPr>
          <w:rFonts w:ascii="Arial" w:hAnsi="Arial" w:cs="Arial"/>
        </w:rPr>
      </w:pPr>
    </w:p>
    <w:p w:rsidR="00CA00F2" w:rsidRPr="00EF4855" w:rsidRDefault="00CA00F2" w:rsidP="00492B00">
      <w:pPr>
        <w:spacing w:after="0" w:line="240" w:lineRule="auto"/>
        <w:ind w:firstLine="720"/>
        <w:jc w:val="both"/>
        <w:rPr>
          <w:rFonts w:ascii="Arial" w:hAnsi="Arial" w:cs="Arial"/>
        </w:rPr>
      </w:pPr>
    </w:p>
    <w:p w:rsidR="00492B00" w:rsidRPr="00EF4855" w:rsidRDefault="00984470" w:rsidP="00DA78B4">
      <w:pPr>
        <w:pStyle w:val="ListParagraph"/>
        <w:numPr>
          <w:ilvl w:val="1"/>
          <w:numId w:val="24"/>
        </w:numPr>
        <w:ind w:left="1440" w:hanging="720"/>
        <w:jc w:val="both"/>
        <w:rPr>
          <w:rFonts w:ascii="Arial" w:hAnsi="Arial" w:cs="Arial"/>
          <w:sz w:val="22"/>
          <w:szCs w:val="22"/>
        </w:rPr>
      </w:pPr>
      <w:r>
        <w:rPr>
          <w:rFonts w:ascii="Arial" w:hAnsi="Arial" w:cs="Arial"/>
          <w:sz w:val="22"/>
          <w:szCs w:val="22"/>
        </w:rPr>
        <w:lastRenderedPageBreak/>
        <w:t xml:space="preserve">In addition, the respective Audit Team Leaders of the </w:t>
      </w:r>
      <w:r w:rsidR="00492B00" w:rsidRPr="00EF4855">
        <w:rPr>
          <w:rFonts w:ascii="Arial" w:hAnsi="Arial" w:cs="Arial"/>
          <w:sz w:val="22"/>
          <w:szCs w:val="22"/>
        </w:rPr>
        <w:t>PCSO Cagayan, K</w:t>
      </w:r>
      <w:r>
        <w:rPr>
          <w:rFonts w:ascii="Arial" w:hAnsi="Arial" w:cs="Arial"/>
          <w:sz w:val="22"/>
          <w:szCs w:val="22"/>
        </w:rPr>
        <w:t xml:space="preserve">alinga and Nueva Vizcaya branches reported that no physical inventory taking was conducted during CY 2018 in the said branches, </w:t>
      </w:r>
      <w:r w:rsidR="00492B00" w:rsidRPr="00EF4855">
        <w:rPr>
          <w:rFonts w:ascii="Arial" w:hAnsi="Arial" w:cs="Arial"/>
          <w:sz w:val="22"/>
          <w:szCs w:val="22"/>
        </w:rPr>
        <w:t>hence</w:t>
      </w:r>
      <w:r>
        <w:rPr>
          <w:rFonts w:ascii="Arial" w:hAnsi="Arial" w:cs="Arial"/>
          <w:sz w:val="22"/>
          <w:szCs w:val="22"/>
        </w:rPr>
        <w:t xml:space="preserve">, </w:t>
      </w:r>
      <w:r w:rsidR="00492B00" w:rsidRPr="00EF4855">
        <w:rPr>
          <w:rFonts w:ascii="Arial" w:hAnsi="Arial" w:cs="Arial"/>
          <w:sz w:val="22"/>
          <w:szCs w:val="22"/>
        </w:rPr>
        <w:t>the existence, accuracy and reliability of Property, Plant and Equipment (PPE) balances could not be ascertained.</w:t>
      </w:r>
    </w:p>
    <w:p w:rsidR="00492B00" w:rsidRPr="00EF4855" w:rsidRDefault="00492B00" w:rsidP="00492B00">
      <w:pPr>
        <w:spacing w:after="0" w:line="240" w:lineRule="auto"/>
        <w:rPr>
          <w:rFonts w:ascii="Arial" w:hAnsi="Arial" w:cs="Arial"/>
        </w:rPr>
      </w:pPr>
    </w:p>
    <w:p w:rsidR="00492B00" w:rsidRDefault="00984470" w:rsidP="00DA78B4">
      <w:pPr>
        <w:pStyle w:val="ListParagraph"/>
        <w:numPr>
          <w:ilvl w:val="1"/>
          <w:numId w:val="24"/>
        </w:numPr>
        <w:ind w:left="1440" w:hanging="720"/>
        <w:jc w:val="both"/>
        <w:rPr>
          <w:rFonts w:ascii="Arial" w:hAnsi="Arial" w:cs="Arial"/>
          <w:sz w:val="22"/>
          <w:szCs w:val="22"/>
        </w:rPr>
      </w:pPr>
      <w:r w:rsidRPr="006C0553">
        <w:rPr>
          <w:rFonts w:ascii="Arial" w:hAnsi="Arial" w:cs="Arial"/>
          <w:sz w:val="22"/>
          <w:szCs w:val="22"/>
        </w:rPr>
        <w:t xml:space="preserve">With regard to the CY 2018 physical inventory report for the PCSO Head Office submitted by the ASMD, </w:t>
      </w:r>
      <w:r w:rsidR="00492B00" w:rsidRPr="006C0553">
        <w:rPr>
          <w:rFonts w:ascii="Arial" w:hAnsi="Arial" w:cs="Arial"/>
          <w:sz w:val="22"/>
          <w:szCs w:val="22"/>
        </w:rPr>
        <w:t xml:space="preserve">comparison of the balances </w:t>
      </w:r>
      <w:r w:rsidRPr="006C0553">
        <w:rPr>
          <w:rFonts w:ascii="Arial" w:hAnsi="Arial" w:cs="Arial"/>
          <w:sz w:val="22"/>
          <w:szCs w:val="22"/>
        </w:rPr>
        <w:t>reflected therein wi</w:t>
      </w:r>
      <w:r w:rsidR="00492B00" w:rsidRPr="006C0553">
        <w:rPr>
          <w:rFonts w:ascii="Arial" w:hAnsi="Arial" w:cs="Arial"/>
          <w:sz w:val="22"/>
          <w:szCs w:val="22"/>
        </w:rPr>
        <w:t>th the corresponding balanc</w:t>
      </w:r>
      <w:r w:rsidR="00420B30" w:rsidRPr="006C0553">
        <w:rPr>
          <w:rFonts w:ascii="Arial" w:hAnsi="Arial" w:cs="Arial"/>
          <w:sz w:val="22"/>
          <w:szCs w:val="22"/>
        </w:rPr>
        <w:t xml:space="preserve">es per books as of December 31, 2018 </w:t>
      </w:r>
      <w:r w:rsidR="00492B00" w:rsidRPr="006C0553">
        <w:rPr>
          <w:rFonts w:ascii="Arial" w:hAnsi="Arial" w:cs="Arial"/>
          <w:sz w:val="22"/>
          <w:szCs w:val="22"/>
        </w:rPr>
        <w:t>disclosed a net discrepancy of P177</w:t>
      </w:r>
      <w:r w:rsidR="00420B30" w:rsidRPr="006C0553">
        <w:rPr>
          <w:rFonts w:ascii="Arial" w:hAnsi="Arial" w:cs="Arial"/>
          <w:sz w:val="22"/>
          <w:szCs w:val="22"/>
        </w:rPr>
        <w:t>.434 million, details</w:t>
      </w:r>
      <w:r w:rsidR="00492B00" w:rsidRPr="006C0553">
        <w:rPr>
          <w:rFonts w:ascii="Arial" w:hAnsi="Arial" w:cs="Arial"/>
          <w:sz w:val="22"/>
          <w:szCs w:val="22"/>
        </w:rPr>
        <w:t xml:space="preserve"> shown in </w:t>
      </w:r>
      <w:r w:rsidR="00680A31" w:rsidRPr="006C0553">
        <w:rPr>
          <w:rFonts w:ascii="Arial" w:hAnsi="Arial" w:cs="Arial"/>
          <w:sz w:val="22"/>
          <w:szCs w:val="22"/>
        </w:rPr>
        <w:t>T</w:t>
      </w:r>
      <w:r w:rsidR="00492B00" w:rsidRPr="006C0553">
        <w:rPr>
          <w:rFonts w:ascii="Arial" w:hAnsi="Arial" w:cs="Arial"/>
          <w:sz w:val="22"/>
          <w:szCs w:val="22"/>
        </w:rPr>
        <w:t xml:space="preserve">able </w:t>
      </w:r>
      <w:r w:rsidR="00CA00F2">
        <w:rPr>
          <w:rFonts w:ascii="Arial" w:hAnsi="Arial" w:cs="Arial"/>
          <w:sz w:val="22"/>
          <w:szCs w:val="22"/>
        </w:rPr>
        <w:t>9</w:t>
      </w:r>
      <w:r w:rsidR="00420B30" w:rsidRPr="006C0553">
        <w:rPr>
          <w:rFonts w:ascii="Arial" w:hAnsi="Arial" w:cs="Arial"/>
          <w:sz w:val="22"/>
          <w:szCs w:val="22"/>
        </w:rPr>
        <w:t>.</w:t>
      </w:r>
    </w:p>
    <w:p w:rsidR="006C0553" w:rsidRPr="006C0553" w:rsidRDefault="006C0553" w:rsidP="006C0553">
      <w:pPr>
        <w:pStyle w:val="ListParagraph"/>
        <w:rPr>
          <w:rFonts w:ascii="Arial" w:hAnsi="Arial" w:cs="Arial"/>
          <w:sz w:val="22"/>
          <w:szCs w:val="22"/>
        </w:rPr>
      </w:pPr>
    </w:p>
    <w:p w:rsidR="00492B00" w:rsidRPr="00D208BF" w:rsidRDefault="00492B00" w:rsidP="004F6C55">
      <w:pPr>
        <w:pStyle w:val="BodyTextIndent"/>
        <w:spacing w:after="0" w:line="240" w:lineRule="auto"/>
        <w:ind w:left="0"/>
        <w:rPr>
          <w:rFonts w:ascii="Arial" w:hAnsi="Arial" w:cs="Arial"/>
          <w:b/>
          <w:bCs/>
          <w:sz w:val="6"/>
        </w:rPr>
      </w:pPr>
      <w:r w:rsidRPr="00EF4855">
        <w:rPr>
          <w:rFonts w:ascii="Arial" w:hAnsi="Arial" w:cs="Arial"/>
        </w:rPr>
        <w:t xml:space="preserve">   </w:t>
      </w:r>
    </w:p>
    <w:p w:rsidR="0062212A" w:rsidRPr="004F6C55" w:rsidRDefault="00492B00" w:rsidP="00D208BF">
      <w:pPr>
        <w:pStyle w:val="BodyTextIndent"/>
        <w:spacing w:after="0" w:line="240" w:lineRule="auto"/>
        <w:ind w:left="0" w:firstLine="540"/>
        <w:jc w:val="center"/>
        <w:rPr>
          <w:rFonts w:ascii="Arial" w:hAnsi="Arial" w:cs="Arial"/>
          <w:b/>
          <w:sz w:val="20"/>
          <w:szCs w:val="20"/>
        </w:rPr>
      </w:pPr>
      <w:r w:rsidRPr="004F6C55">
        <w:rPr>
          <w:rFonts w:ascii="Arial" w:hAnsi="Arial" w:cs="Arial"/>
          <w:b/>
          <w:sz w:val="20"/>
          <w:szCs w:val="20"/>
        </w:rPr>
        <w:t xml:space="preserve">Table </w:t>
      </w:r>
      <w:r w:rsidR="00CA00F2">
        <w:rPr>
          <w:rFonts w:ascii="Arial" w:hAnsi="Arial" w:cs="Arial"/>
          <w:b/>
          <w:sz w:val="20"/>
          <w:szCs w:val="20"/>
        </w:rPr>
        <w:t>9</w:t>
      </w:r>
      <w:r w:rsidR="0062212A">
        <w:rPr>
          <w:rFonts w:ascii="Arial" w:hAnsi="Arial" w:cs="Arial"/>
          <w:b/>
          <w:sz w:val="20"/>
          <w:szCs w:val="20"/>
        </w:rPr>
        <w:t xml:space="preserve"> -</w:t>
      </w:r>
      <w:r w:rsidRPr="004F6C55">
        <w:rPr>
          <w:rFonts w:ascii="Arial" w:hAnsi="Arial" w:cs="Arial"/>
          <w:b/>
          <w:sz w:val="20"/>
          <w:szCs w:val="20"/>
        </w:rPr>
        <w:t xml:space="preserve"> Comparison between balance per </w:t>
      </w:r>
      <w:r w:rsidR="0062212A">
        <w:rPr>
          <w:rFonts w:ascii="Arial" w:hAnsi="Arial" w:cs="Arial"/>
          <w:b/>
          <w:sz w:val="20"/>
          <w:szCs w:val="20"/>
        </w:rPr>
        <w:t>B</w:t>
      </w:r>
      <w:r w:rsidR="0062212A" w:rsidRPr="004F6C55">
        <w:rPr>
          <w:rFonts w:ascii="Arial" w:hAnsi="Arial" w:cs="Arial"/>
          <w:b/>
          <w:sz w:val="20"/>
          <w:szCs w:val="20"/>
        </w:rPr>
        <w:t>ook</w:t>
      </w:r>
      <w:r w:rsidR="0062212A">
        <w:rPr>
          <w:rFonts w:ascii="Arial" w:hAnsi="Arial" w:cs="Arial"/>
          <w:b/>
          <w:sz w:val="20"/>
          <w:szCs w:val="20"/>
        </w:rPr>
        <w:t xml:space="preserve">s </w:t>
      </w:r>
    </w:p>
    <w:p w:rsidR="00492B00" w:rsidRDefault="00492B00" w:rsidP="00D208BF">
      <w:pPr>
        <w:pStyle w:val="BodyTextIndent"/>
        <w:spacing w:after="0" w:line="240" w:lineRule="auto"/>
        <w:ind w:left="0" w:firstLine="540"/>
        <w:jc w:val="center"/>
        <w:rPr>
          <w:rFonts w:ascii="Arial" w:hAnsi="Arial" w:cs="Arial"/>
          <w:b/>
          <w:sz w:val="20"/>
          <w:szCs w:val="20"/>
        </w:rPr>
      </w:pPr>
      <w:r w:rsidRPr="004F6C55">
        <w:rPr>
          <w:rFonts w:ascii="Arial" w:hAnsi="Arial" w:cs="Arial"/>
          <w:b/>
          <w:sz w:val="20"/>
          <w:szCs w:val="20"/>
        </w:rPr>
        <w:t>and Inventory Report</w:t>
      </w:r>
      <w:r w:rsidR="00D5668D">
        <w:rPr>
          <w:rFonts w:ascii="Arial" w:hAnsi="Arial" w:cs="Arial"/>
          <w:b/>
          <w:sz w:val="20"/>
          <w:szCs w:val="20"/>
        </w:rPr>
        <w:t xml:space="preserve"> as of December 31, 2018</w:t>
      </w:r>
    </w:p>
    <w:p w:rsidR="0062212A" w:rsidRPr="00D208BF" w:rsidRDefault="0062212A" w:rsidP="004F6C55">
      <w:pPr>
        <w:pStyle w:val="BodyTextIndent"/>
        <w:spacing w:after="0" w:line="240" w:lineRule="auto"/>
        <w:ind w:left="0" w:firstLine="540"/>
        <w:jc w:val="center"/>
        <w:rPr>
          <w:rFonts w:ascii="Arial" w:hAnsi="Arial" w:cs="Arial"/>
          <w:b/>
          <w:bCs/>
          <w:sz w:val="10"/>
          <w:szCs w:val="20"/>
        </w:rPr>
      </w:pPr>
    </w:p>
    <w:tbl>
      <w:tblPr>
        <w:tblW w:w="7956" w:type="dxa"/>
        <w:jc w:val="right"/>
        <w:tblLayout w:type="fixed"/>
        <w:tblLook w:val="04A0" w:firstRow="1" w:lastRow="0" w:firstColumn="1" w:lastColumn="0" w:noHBand="0" w:noVBand="1"/>
      </w:tblPr>
      <w:tblGrid>
        <w:gridCol w:w="2772"/>
        <w:gridCol w:w="270"/>
        <w:gridCol w:w="1422"/>
        <w:gridCol w:w="270"/>
        <w:gridCol w:w="1332"/>
        <w:gridCol w:w="270"/>
        <w:gridCol w:w="1620"/>
      </w:tblGrid>
      <w:tr w:rsidR="00492B00" w:rsidRPr="0062212A" w:rsidTr="006C0553">
        <w:trPr>
          <w:trHeight w:val="183"/>
          <w:tblHeader/>
          <w:jc w:val="right"/>
        </w:trPr>
        <w:tc>
          <w:tcPr>
            <w:tcW w:w="2772" w:type="dxa"/>
            <w:vMerge w:val="restart"/>
            <w:tcBorders>
              <w:top w:val="single" w:sz="4" w:space="0" w:color="auto"/>
            </w:tcBorders>
            <w:shd w:val="clear" w:color="auto" w:fill="auto"/>
            <w:vAlign w:val="center"/>
          </w:tcPr>
          <w:p w:rsidR="00492B00" w:rsidRPr="006C0553" w:rsidRDefault="00492B00" w:rsidP="006C0553">
            <w:pPr>
              <w:suppressAutoHyphens/>
              <w:spacing w:after="0" w:line="240" w:lineRule="auto"/>
              <w:ind w:hanging="36"/>
              <w:rPr>
                <w:rFonts w:ascii="Arial Narrow" w:eastAsia="Times New Roman" w:hAnsi="Arial Narrow" w:cs="Arial"/>
                <w:b/>
                <w:bCs/>
                <w:sz w:val="16"/>
                <w:szCs w:val="16"/>
                <w:lang w:eastAsia="ar-SA"/>
              </w:rPr>
            </w:pPr>
            <w:r w:rsidRPr="006C0553">
              <w:rPr>
                <w:rFonts w:ascii="Arial Narrow" w:eastAsia="Times New Roman" w:hAnsi="Arial Narrow" w:cs="Arial"/>
                <w:b/>
                <w:bCs/>
                <w:sz w:val="16"/>
                <w:szCs w:val="16"/>
                <w:lang w:eastAsia="ar-SA"/>
              </w:rPr>
              <w:t>Account Title</w:t>
            </w:r>
          </w:p>
        </w:tc>
        <w:tc>
          <w:tcPr>
            <w:tcW w:w="3294" w:type="dxa"/>
            <w:gridSpan w:val="4"/>
            <w:tcBorders>
              <w:top w:val="single" w:sz="4" w:space="0" w:color="auto"/>
              <w:bottom w:val="single" w:sz="4" w:space="0" w:color="auto"/>
            </w:tcBorders>
            <w:shd w:val="clear" w:color="auto" w:fill="auto"/>
            <w:vAlign w:val="center"/>
          </w:tcPr>
          <w:p w:rsidR="00492B00" w:rsidRPr="006C0553" w:rsidRDefault="00492B00" w:rsidP="004F6C55">
            <w:pPr>
              <w:suppressAutoHyphens/>
              <w:spacing w:after="0" w:line="240" w:lineRule="auto"/>
              <w:jc w:val="center"/>
              <w:rPr>
                <w:rFonts w:ascii="Arial Narrow" w:eastAsia="Times New Roman" w:hAnsi="Arial Narrow" w:cs="Arial"/>
                <w:b/>
                <w:bCs/>
                <w:sz w:val="16"/>
                <w:szCs w:val="16"/>
                <w:lang w:eastAsia="ar-SA"/>
              </w:rPr>
            </w:pPr>
            <w:r w:rsidRPr="006C0553">
              <w:rPr>
                <w:rFonts w:ascii="Arial Narrow" w:eastAsia="Times New Roman" w:hAnsi="Arial Narrow" w:cs="Arial"/>
                <w:b/>
                <w:bCs/>
                <w:sz w:val="16"/>
                <w:szCs w:val="16"/>
                <w:lang w:eastAsia="ar-SA"/>
              </w:rPr>
              <w:t>Balances per</w:t>
            </w:r>
          </w:p>
        </w:tc>
        <w:tc>
          <w:tcPr>
            <w:tcW w:w="1890" w:type="dxa"/>
            <w:gridSpan w:val="2"/>
            <w:tcBorders>
              <w:top w:val="single" w:sz="4" w:space="0" w:color="auto"/>
            </w:tcBorders>
            <w:shd w:val="clear" w:color="auto" w:fill="auto"/>
            <w:vAlign w:val="center"/>
          </w:tcPr>
          <w:p w:rsidR="00492B00" w:rsidRPr="006C0553" w:rsidRDefault="00492B00" w:rsidP="006C0553">
            <w:pPr>
              <w:suppressAutoHyphens/>
              <w:spacing w:after="0" w:line="240" w:lineRule="auto"/>
              <w:jc w:val="right"/>
              <w:rPr>
                <w:rFonts w:ascii="Arial Narrow" w:eastAsia="Times New Roman" w:hAnsi="Arial Narrow" w:cs="Arial"/>
                <w:b/>
                <w:bCs/>
                <w:sz w:val="16"/>
                <w:szCs w:val="16"/>
                <w:lang w:eastAsia="ar-SA"/>
              </w:rPr>
            </w:pPr>
            <w:r w:rsidRPr="006C0553">
              <w:rPr>
                <w:rFonts w:ascii="Arial Narrow" w:eastAsia="Times New Roman" w:hAnsi="Arial Narrow" w:cs="Arial"/>
                <w:b/>
                <w:bCs/>
                <w:sz w:val="16"/>
                <w:szCs w:val="16"/>
                <w:lang w:eastAsia="ar-SA"/>
              </w:rPr>
              <w:t>Variance</w:t>
            </w:r>
          </w:p>
        </w:tc>
      </w:tr>
      <w:tr w:rsidR="00492B00" w:rsidRPr="0062212A" w:rsidTr="006C0553">
        <w:trPr>
          <w:trHeight w:val="134"/>
          <w:tblHeader/>
          <w:jc w:val="right"/>
        </w:trPr>
        <w:tc>
          <w:tcPr>
            <w:tcW w:w="2772" w:type="dxa"/>
            <w:vMerge/>
            <w:tcBorders>
              <w:bottom w:val="single" w:sz="4" w:space="0" w:color="auto"/>
            </w:tcBorders>
            <w:shd w:val="clear" w:color="auto" w:fill="auto"/>
            <w:vAlign w:val="center"/>
          </w:tcPr>
          <w:p w:rsidR="00492B00" w:rsidRPr="006C0553" w:rsidRDefault="00492B00" w:rsidP="006D2B80">
            <w:pPr>
              <w:spacing w:before="20" w:afterLines="20" w:after="48" w:line="240" w:lineRule="auto"/>
              <w:ind w:hanging="36"/>
              <w:jc w:val="center"/>
              <w:rPr>
                <w:rFonts w:ascii="Arial Narrow" w:eastAsia="Times New Roman" w:hAnsi="Arial Narrow" w:cs="Arial"/>
                <w:b/>
                <w:bCs/>
                <w:sz w:val="16"/>
                <w:szCs w:val="16"/>
                <w:lang w:eastAsia="en-PH"/>
              </w:rPr>
            </w:pPr>
          </w:p>
        </w:tc>
        <w:tc>
          <w:tcPr>
            <w:tcW w:w="1692" w:type="dxa"/>
            <w:gridSpan w:val="2"/>
            <w:tcBorders>
              <w:top w:val="single" w:sz="4" w:space="0" w:color="auto"/>
              <w:bottom w:val="single" w:sz="4" w:space="0" w:color="auto"/>
            </w:tcBorders>
            <w:shd w:val="clear" w:color="auto" w:fill="auto"/>
            <w:vAlign w:val="center"/>
          </w:tcPr>
          <w:p w:rsidR="00492B00" w:rsidRPr="006C0553" w:rsidRDefault="00492B00" w:rsidP="006D2B80">
            <w:pPr>
              <w:suppressAutoHyphens/>
              <w:spacing w:before="20" w:afterLines="20" w:after="48" w:line="240" w:lineRule="auto"/>
              <w:jc w:val="center"/>
              <w:rPr>
                <w:rFonts w:ascii="Arial Narrow" w:eastAsia="Times New Roman" w:hAnsi="Arial Narrow" w:cs="Arial"/>
                <w:b/>
                <w:bCs/>
                <w:sz w:val="16"/>
                <w:szCs w:val="16"/>
                <w:lang w:eastAsia="ar-SA"/>
              </w:rPr>
            </w:pPr>
            <w:r w:rsidRPr="006C0553">
              <w:rPr>
                <w:rFonts w:ascii="Arial Narrow" w:eastAsia="Times New Roman" w:hAnsi="Arial Narrow" w:cs="Arial"/>
                <w:b/>
                <w:bCs/>
                <w:sz w:val="16"/>
                <w:szCs w:val="16"/>
                <w:lang w:eastAsia="ar-SA"/>
              </w:rPr>
              <w:t>Book</w:t>
            </w:r>
          </w:p>
        </w:tc>
        <w:tc>
          <w:tcPr>
            <w:tcW w:w="1602" w:type="dxa"/>
            <w:gridSpan w:val="2"/>
            <w:tcBorders>
              <w:top w:val="single" w:sz="4" w:space="0" w:color="auto"/>
              <w:bottom w:val="single" w:sz="4" w:space="0" w:color="auto"/>
            </w:tcBorders>
            <w:shd w:val="clear" w:color="auto" w:fill="auto"/>
            <w:vAlign w:val="center"/>
          </w:tcPr>
          <w:p w:rsidR="00492B00" w:rsidRPr="006C0553" w:rsidRDefault="00492B00" w:rsidP="006D2B80">
            <w:pPr>
              <w:suppressAutoHyphens/>
              <w:spacing w:before="20" w:afterLines="20" w:after="48" w:line="240" w:lineRule="auto"/>
              <w:jc w:val="center"/>
              <w:rPr>
                <w:rFonts w:ascii="Arial Narrow" w:eastAsia="Times New Roman" w:hAnsi="Arial Narrow" w:cs="Arial"/>
                <w:b/>
                <w:bCs/>
                <w:sz w:val="16"/>
                <w:szCs w:val="16"/>
                <w:lang w:eastAsia="ar-SA"/>
              </w:rPr>
            </w:pPr>
            <w:r w:rsidRPr="006C0553">
              <w:rPr>
                <w:rFonts w:ascii="Arial Narrow" w:eastAsia="Times New Roman" w:hAnsi="Arial Narrow" w:cs="Arial"/>
                <w:b/>
                <w:bCs/>
                <w:sz w:val="16"/>
                <w:szCs w:val="16"/>
                <w:lang w:eastAsia="ar-SA"/>
              </w:rPr>
              <w:t>Inventory Report</w:t>
            </w:r>
          </w:p>
        </w:tc>
        <w:tc>
          <w:tcPr>
            <w:tcW w:w="1890" w:type="dxa"/>
            <w:gridSpan w:val="2"/>
            <w:tcBorders>
              <w:bottom w:val="single" w:sz="4" w:space="0" w:color="auto"/>
            </w:tcBorders>
            <w:shd w:val="clear" w:color="auto" w:fill="auto"/>
            <w:vAlign w:val="center"/>
          </w:tcPr>
          <w:p w:rsidR="00492B00" w:rsidRPr="006C0553" w:rsidRDefault="00492B00" w:rsidP="006D2B80">
            <w:pPr>
              <w:suppressAutoHyphens/>
              <w:spacing w:before="20" w:afterLines="20" w:after="48" w:line="240" w:lineRule="auto"/>
              <w:jc w:val="center"/>
              <w:rPr>
                <w:rFonts w:ascii="Arial Narrow" w:eastAsia="Times New Roman" w:hAnsi="Arial Narrow" w:cs="Arial"/>
                <w:b/>
                <w:bCs/>
                <w:sz w:val="16"/>
                <w:szCs w:val="16"/>
                <w:lang w:eastAsia="ar-SA"/>
              </w:rPr>
            </w:pPr>
          </w:p>
        </w:tc>
      </w:tr>
      <w:tr w:rsidR="0062212A" w:rsidRPr="0062212A" w:rsidTr="006C0553">
        <w:trPr>
          <w:trHeight w:val="134"/>
          <w:jc w:val="right"/>
        </w:trPr>
        <w:tc>
          <w:tcPr>
            <w:tcW w:w="2772" w:type="dxa"/>
            <w:tcBorders>
              <w:top w:val="single" w:sz="4" w:space="0" w:color="auto"/>
            </w:tcBorders>
            <w:shd w:val="clear" w:color="auto" w:fill="auto"/>
            <w:vAlign w:val="center"/>
          </w:tcPr>
          <w:p w:rsidR="00492B00" w:rsidRPr="006C0553" w:rsidRDefault="00492B00" w:rsidP="006D2B80">
            <w:pPr>
              <w:suppressAutoHyphens/>
              <w:spacing w:before="20" w:afterLines="20" w:after="48" w:line="240" w:lineRule="auto"/>
              <w:ind w:left="-36"/>
              <w:jc w:val="both"/>
              <w:rPr>
                <w:rFonts w:ascii="Arial Narrow" w:eastAsia="Times New Roman" w:hAnsi="Arial Narrow" w:cs="Arial"/>
                <w:sz w:val="16"/>
                <w:szCs w:val="16"/>
                <w:lang w:eastAsia="ar-SA"/>
              </w:rPr>
            </w:pPr>
            <w:r w:rsidRPr="006C0553">
              <w:rPr>
                <w:rFonts w:ascii="Arial Narrow" w:eastAsia="Times New Roman" w:hAnsi="Arial Narrow" w:cs="Arial"/>
                <w:sz w:val="16"/>
                <w:szCs w:val="16"/>
                <w:lang w:eastAsia="ar-SA"/>
              </w:rPr>
              <w:t>Office Equipment</w:t>
            </w:r>
          </w:p>
        </w:tc>
        <w:tc>
          <w:tcPr>
            <w:tcW w:w="270" w:type="dxa"/>
            <w:tcBorders>
              <w:top w:val="single" w:sz="4" w:space="0" w:color="auto"/>
            </w:tcBorders>
            <w:shd w:val="clear" w:color="auto" w:fill="auto"/>
          </w:tcPr>
          <w:p w:rsidR="00492B00" w:rsidRPr="006C0553" w:rsidRDefault="00492B00" w:rsidP="006D2B80">
            <w:pPr>
              <w:suppressAutoHyphens/>
              <w:spacing w:before="20" w:afterLines="20" w:after="48" w:line="240" w:lineRule="auto"/>
              <w:jc w:val="right"/>
              <w:rPr>
                <w:rFonts w:ascii="Arial Narrow" w:eastAsia="Times New Roman" w:hAnsi="Arial Narrow" w:cs="Arial"/>
                <w:sz w:val="16"/>
                <w:szCs w:val="16"/>
                <w:lang w:eastAsia="ar-SA"/>
              </w:rPr>
            </w:pPr>
            <w:r w:rsidRPr="006C0553">
              <w:rPr>
                <w:rFonts w:ascii="Arial Narrow" w:eastAsia="Times New Roman" w:hAnsi="Arial Narrow" w:cs="Arial"/>
                <w:sz w:val="16"/>
                <w:szCs w:val="16"/>
                <w:lang w:eastAsia="ar-SA"/>
              </w:rPr>
              <w:t>P</w:t>
            </w:r>
          </w:p>
        </w:tc>
        <w:tc>
          <w:tcPr>
            <w:tcW w:w="1422" w:type="dxa"/>
            <w:tcBorders>
              <w:top w:val="single" w:sz="4" w:space="0" w:color="auto"/>
            </w:tcBorders>
            <w:shd w:val="clear" w:color="auto" w:fill="auto"/>
          </w:tcPr>
          <w:p w:rsidR="00492B00" w:rsidRPr="006C0553" w:rsidRDefault="00492B00" w:rsidP="006D2B80">
            <w:pPr>
              <w:suppressAutoHyphens/>
              <w:spacing w:before="20" w:afterLines="20" w:after="48" w:line="240" w:lineRule="auto"/>
              <w:rPr>
                <w:rFonts w:ascii="Arial Narrow" w:eastAsia="Times New Roman" w:hAnsi="Arial Narrow" w:cs="Arial"/>
                <w:sz w:val="16"/>
                <w:szCs w:val="16"/>
                <w:lang w:eastAsia="ar-SA"/>
              </w:rPr>
            </w:pPr>
            <w:r w:rsidRPr="006C0553">
              <w:rPr>
                <w:rFonts w:ascii="Arial Narrow" w:eastAsia="Times New Roman" w:hAnsi="Arial Narrow" w:cs="Arial"/>
                <w:sz w:val="16"/>
                <w:szCs w:val="16"/>
                <w:lang w:eastAsia="ar-SA"/>
              </w:rPr>
              <w:t>165,874,468.82</w:t>
            </w:r>
          </w:p>
        </w:tc>
        <w:tc>
          <w:tcPr>
            <w:tcW w:w="270" w:type="dxa"/>
            <w:tcBorders>
              <w:top w:val="single" w:sz="4" w:space="0" w:color="auto"/>
            </w:tcBorders>
            <w:shd w:val="clear" w:color="auto" w:fill="auto"/>
          </w:tcPr>
          <w:p w:rsidR="00492B00" w:rsidRPr="006C0553" w:rsidRDefault="00492B00" w:rsidP="006D2B80">
            <w:pPr>
              <w:suppressAutoHyphens/>
              <w:spacing w:before="20" w:afterLines="20" w:after="48" w:line="240" w:lineRule="auto"/>
              <w:jc w:val="center"/>
              <w:rPr>
                <w:rFonts w:ascii="Arial Narrow" w:eastAsia="Times New Roman" w:hAnsi="Arial Narrow" w:cs="Arial"/>
                <w:sz w:val="16"/>
                <w:szCs w:val="16"/>
                <w:lang w:eastAsia="ar-SA"/>
              </w:rPr>
            </w:pPr>
            <w:r w:rsidRPr="006C0553">
              <w:rPr>
                <w:rFonts w:ascii="Arial Narrow" w:eastAsia="Times New Roman" w:hAnsi="Arial Narrow" w:cs="Arial"/>
                <w:sz w:val="16"/>
                <w:szCs w:val="16"/>
                <w:lang w:eastAsia="ar-SA"/>
              </w:rPr>
              <w:t>P</w:t>
            </w:r>
          </w:p>
        </w:tc>
        <w:tc>
          <w:tcPr>
            <w:tcW w:w="1332" w:type="dxa"/>
            <w:tcBorders>
              <w:top w:val="single" w:sz="4" w:space="0" w:color="auto"/>
            </w:tcBorders>
            <w:shd w:val="clear" w:color="auto" w:fill="auto"/>
          </w:tcPr>
          <w:p w:rsidR="00492B00" w:rsidRPr="006C0553" w:rsidRDefault="00492B00" w:rsidP="006D2B80">
            <w:pPr>
              <w:spacing w:before="20" w:afterLines="20" w:after="48" w:line="240" w:lineRule="auto"/>
              <w:ind w:hanging="18"/>
              <w:jc w:val="right"/>
              <w:rPr>
                <w:rFonts w:ascii="Arial Narrow" w:eastAsia="Times New Roman" w:hAnsi="Arial Narrow" w:cs="Arial"/>
                <w:sz w:val="16"/>
                <w:szCs w:val="16"/>
                <w:lang w:eastAsia="en-PH"/>
              </w:rPr>
            </w:pPr>
            <w:r w:rsidRPr="006C0553">
              <w:rPr>
                <w:rFonts w:ascii="Arial Narrow" w:eastAsia="Times New Roman" w:hAnsi="Arial Narrow" w:cs="Arial"/>
                <w:sz w:val="16"/>
                <w:szCs w:val="16"/>
                <w:lang w:eastAsia="en-PH"/>
              </w:rPr>
              <w:t>19,767,059.96</w:t>
            </w:r>
          </w:p>
        </w:tc>
        <w:tc>
          <w:tcPr>
            <w:tcW w:w="270" w:type="dxa"/>
            <w:tcBorders>
              <w:top w:val="single" w:sz="4" w:space="0" w:color="auto"/>
            </w:tcBorders>
            <w:shd w:val="clear" w:color="auto" w:fill="auto"/>
          </w:tcPr>
          <w:p w:rsidR="00492B00" w:rsidRPr="006C0553" w:rsidRDefault="00492B00" w:rsidP="006D2B80">
            <w:pPr>
              <w:suppressAutoHyphens/>
              <w:spacing w:before="20" w:afterLines="20" w:after="48" w:line="240" w:lineRule="auto"/>
              <w:jc w:val="right"/>
              <w:rPr>
                <w:rFonts w:ascii="Arial Narrow" w:eastAsia="Times New Roman" w:hAnsi="Arial Narrow" w:cs="Arial"/>
                <w:sz w:val="16"/>
                <w:szCs w:val="16"/>
                <w:lang w:eastAsia="ar-SA"/>
              </w:rPr>
            </w:pPr>
            <w:r w:rsidRPr="006C0553">
              <w:rPr>
                <w:rFonts w:ascii="Arial Narrow" w:eastAsia="Times New Roman" w:hAnsi="Arial Narrow" w:cs="Arial"/>
                <w:sz w:val="16"/>
                <w:szCs w:val="16"/>
                <w:lang w:eastAsia="ar-SA"/>
              </w:rPr>
              <w:t>P</w:t>
            </w:r>
          </w:p>
        </w:tc>
        <w:tc>
          <w:tcPr>
            <w:tcW w:w="1620" w:type="dxa"/>
            <w:tcBorders>
              <w:top w:val="single" w:sz="4" w:space="0" w:color="auto"/>
            </w:tcBorders>
            <w:shd w:val="clear" w:color="auto" w:fill="auto"/>
          </w:tcPr>
          <w:p w:rsidR="00492B00" w:rsidRPr="006C0553" w:rsidRDefault="00492B00" w:rsidP="006D2B80">
            <w:pPr>
              <w:spacing w:before="20" w:afterLines="20" w:after="48" w:line="240" w:lineRule="auto"/>
              <w:ind w:right="-90" w:hanging="18"/>
              <w:jc w:val="right"/>
              <w:rPr>
                <w:rFonts w:ascii="Arial Narrow" w:eastAsia="Times New Roman" w:hAnsi="Arial Narrow" w:cs="Arial"/>
                <w:sz w:val="16"/>
                <w:szCs w:val="16"/>
                <w:lang w:eastAsia="en-PH"/>
              </w:rPr>
            </w:pPr>
            <w:r w:rsidRPr="006C0553">
              <w:rPr>
                <w:rFonts w:ascii="Arial Narrow" w:eastAsia="Times New Roman" w:hAnsi="Arial Narrow" w:cs="Arial"/>
                <w:sz w:val="16"/>
                <w:szCs w:val="16"/>
                <w:lang w:eastAsia="en-PH"/>
              </w:rPr>
              <w:t>146,107,408.86</w:t>
            </w:r>
          </w:p>
        </w:tc>
      </w:tr>
      <w:tr w:rsidR="0062212A" w:rsidRPr="0062212A" w:rsidTr="006C0553">
        <w:trPr>
          <w:trHeight w:val="234"/>
          <w:jc w:val="right"/>
        </w:trPr>
        <w:tc>
          <w:tcPr>
            <w:tcW w:w="2772" w:type="dxa"/>
            <w:shd w:val="clear" w:color="auto" w:fill="auto"/>
          </w:tcPr>
          <w:p w:rsidR="00492B00" w:rsidRPr="006C0553" w:rsidRDefault="00492B00" w:rsidP="006D2B80">
            <w:pPr>
              <w:suppressAutoHyphens/>
              <w:spacing w:before="20" w:afterLines="20" w:after="48" w:line="240" w:lineRule="auto"/>
              <w:ind w:left="-36"/>
              <w:rPr>
                <w:rFonts w:ascii="Arial Narrow" w:eastAsia="Times New Roman" w:hAnsi="Arial Narrow" w:cs="Arial"/>
                <w:sz w:val="16"/>
                <w:szCs w:val="16"/>
                <w:lang w:eastAsia="ar-SA"/>
              </w:rPr>
            </w:pPr>
            <w:r w:rsidRPr="006C0553">
              <w:rPr>
                <w:rFonts w:ascii="Arial Narrow" w:eastAsia="Times New Roman" w:hAnsi="Arial Narrow" w:cs="Arial"/>
                <w:sz w:val="16"/>
                <w:szCs w:val="16"/>
                <w:lang w:eastAsia="ar-SA"/>
              </w:rPr>
              <w:t>Information and Communication Tech Eqpt.</w:t>
            </w:r>
          </w:p>
        </w:tc>
        <w:tc>
          <w:tcPr>
            <w:tcW w:w="270" w:type="dxa"/>
            <w:shd w:val="clear" w:color="auto" w:fill="auto"/>
          </w:tcPr>
          <w:p w:rsidR="00492B00" w:rsidRPr="006C0553" w:rsidRDefault="00492B00" w:rsidP="006D2B80">
            <w:pPr>
              <w:suppressAutoHyphens/>
              <w:spacing w:before="20" w:afterLines="20" w:after="48" w:line="240" w:lineRule="auto"/>
              <w:jc w:val="right"/>
              <w:rPr>
                <w:rFonts w:ascii="Arial Narrow" w:eastAsia="Times New Roman" w:hAnsi="Arial Narrow" w:cs="Arial"/>
                <w:sz w:val="16"/>
                <w:szCs w:val="16"/>
                <w:lang w:eastAsia="ar-SA"/>
              </w:rPr>
            </w:pPr>
          </w:p>
        </w:tc>
        <w:tc>
          <w:tcPr>
            <w:tcW w:w="1422" w:type="dxa"/>
            <w:shd w:val="clear" w:color="auto" w:fill="auto"/>
          </w:tcPr>
          <w:p w:rsidR="00492B00" w:rsidRPr="006C0553" w:rsidRDefault="00492B00" w:rsidP="006D2B80">
            <w:pPr>
              <w:suppressAutoHyphens/>
              <w:spacing w:before="20" w:afterLines="20" w:after="48" w:line="240" w:lineRule="auto"/>
              <w:ind w:hanging="164"/>
              <w:jc w:val="right"/>
              <w:rPr>
                <w:rFonts w:ascii="Arial Narrow" w:eastAsia="Times New Roman" w:hAnsi="Arial Narrow" w:cs="Arial"/>
                <w:sz w:val="16"/>
                <w:szCs w:val="16"/>
                <w:lang w:eastAsia="ar-SA"/>
              </w:rPr>
            </w:pPr>
            <w:r w:rsidRPr="006C0553">
              <w:rPr>
                <w:rFonts w:ascii="Arial Narrow" w:eastAsia="Times New Roman" w:hAnsi="Arial Narrow" w:cs="Arial"/>
                <w:sz w:val="16"/>
                <w:szCs w:val="16"/>
                <w:lang w:eastAsia="ar-SA"/>
              </w:rPr>
              <w:t>78,733,721.50</w:t>
            </w:r>
          </w:p>
        </w:tc>
        <w:tc>
          <w:tcPr>
            <w:tcW w:w="270" w:type="dxa"/>
            <w:shd w:val="clear" w:color="auto" w:fill="auto"/>
          </w:tcPr>
          <w:p w:rsidR="00492B00" w:rsidRPr="006C0553" w:rsidRDefault="00492B00" w:rsidP="006D2B80">
            <w:pPr>
              <w:suppressAutoHyphens/>
              <w:spacing w:before="20" w:afterLines="20" w:after="48" w:line="240" w:lineRule="auto"/>
              <w:jc w:val="right"/>
              <w:rPr>
                <w:rFonts w:ascii="Arial Narrow" w:eastAsia="Times New Roman" w:hAnsi="Arial Narrow" w:cs="Arial"/>
                <w:sz w:val="16"/>
                <w:szCs w:val="16"/>
                <w:lang w:eastAsia="ar-SA"/>
              </w:rPr>
            </w:pPr>
          </w:p>
        </w:tc>
        <w:tc>
          <w:tcPr>
            <w:tcW w:w="1332" w:type="dxa"/>
            <w:shd w:val="clear" w:color="auto" w:fill="auto"/>
          </w:tcPr>
          <w:p w:rsidR="00492B00" w:rsidRPr="006C0553" w:rsidRDefault="00492B00" w:rsidP="006D2B80">
            <w:pPr>
              <w:suppressAutoHyphens/>
              <w:spacing w:before="20" w:afterLines="20" w:after="48" w:line="240" w:lineRule="auto"/>
              <w:jc w:val="right"/>
              <w:rPr>
                <w:rFonts w:ascii="Arial Narrow" w:eastAsia="Times New Roman" w:hAnsi="Arial Narrow" w:cs="Arial"/>
                <w:sz w:val="16"/>
                <w:szCs w:val="16"/>
                <w:lang w:eastAsia="ar-SA"/>
              </w:rPr>
            </w:pPr>
            <w:r w:rsidRPr="006C0553">
              <w:rPr>
                <w:rFonts w:ascii="Arial Narrow" w:eastAsia="Times New Roman" w:hAnsi="Arial Narrow" w:cs="Arial"/>
                <w:sz w:val="16"/>
                <w:szCs w:val="16"/>
                <w:lang w:eastAsia="ar-SA"/>
              </w:rPr>
              <w:t>67,308,998.85</w:t>
            </w:r>
          </w:p>
        </w:tc>
        <w:tc>
          <w:tcPr>
            <w:tcW w:w="270" w:type="dxa"/>
            <w:shd w:val="clear" w:color="auto" w:fill="auto"/>
          </w:tcPr>
          <w:p w:rsidR="00492B00" w:rsidRPr="006C0553" w:rsidRDefault="00492B00" w:rsidP="006D2B80">
            <w:pPr>
              <w:suppressAutoHyphens/>
              <w:spacing w:before="20" w:afterLines="20" w:after="48" w:line="240" w:lineRule="auto"/>
              <w:jc w:val="right"/>
              <w:rPr>
                <w:rFonts w:ascii="Arial Narrow" w:eastAsia="Times New Roman" w:hAnsi="Arial Narrow" w:cs="Arial"/>
                <w:sz w:val="16"/>
                <w:szCs w:val="16"/>
                <w:lang w:eastAsia="ar-SA"/>
              </w:rPr>
            </w:pPr>
          </w:p>
        </w:tc>
        <w:tc>
          <w:tcPr>
            <w:tcW w:w="1620" w:type="dxa"/>
            <w:shd w:val="clear" w:color="auto" w:fill="auto"/>
          </w:tcPr>
          <w:p w:rsidR="00492B00" w:rsidRPr="006C0553" w:rsidRDefault="00492B00" w:rsidP="006D2B80">
            <w:pPr>
              <w:suppressAutoHyphens/>
              <w:spacing w:before="20" w:afterLines="20" w:after="48" w:line="240" w:lineRule="auto"/>
              <w:ind w:right="-90"/>
              <w:jc w:val="right"/>
              <w:rPr>
                <w:rFonts w:ascii="Arial Narrow" w:eastAsia="Times New Roman" w:hAnsi="Arial Narrow" w:cs="Arial"/>
                <w:sz w:val="16"/>
                <w:szCs w:val="16"/>
                <w:lang w:eastAsia="ar-SA"/>
              </w:rPr>
            </w:pPr>
            <w:r w:rsidRPr="006C0553">
              <w:rPr>
                <w:rFonts w:ascii="Arial Narrow" w:eastAsia="Times New Roman" w:hAnsi="Arial Narrow" w:cs="Arial"/>
                <w:sz w:val="16"/>
                <w:szCs w:val="16"/>
                <w:lang w:eastAsia="ar-SA"/>
              </w:rPr>
              <w:t>11,424,722.65</w:t>
            </w:r>
          </w:p>
        </w:tc>
      </w:tr>
      <w:tr w:rsidR="0062212A" w:rsidRPr="0062212A" w:rsidTr="006C0553">
        <w:trPr>
          <w:trHeight w:val="117"/>
          <w:jc w:val="right"/>
        </w:trPr>
        <w:tc>
          <w:tcPr>
            <w:tcW w:w="2772" w:type="dxa"/>
            <w:shd w:val="clear" w:color="auto" w:fill="auto"/>
            <w:vAlign w:val="center"/>
          </w:tcPr>
          <w:p w:rsidR="00492B00" w:rsidRPr="006C0553" w:rsidRDefault="00492B00" w:rsidP="006D2B80">
            <w:pPr>
              <w:suppressAutoHyphens/>
              <w:spacing w:before="20" w:afterLines="20" w:after="48" w:line="240" w:lineRule="auto"/>
              <w:ind w:left="-36"/>
              <w:jc w:val="both"/>
              <w:rPr>
                <w:rFonts w:ascii="Arial Narrow" w:eastAsia="Times New Roman" w:hAnsi="Arial Narrow" w:cs="Arial"/>
                <w:sz w:val="16"/>
                <w:szCs w:val="16"/>
                <w:lang w:eastAsia="ar-SA"/>
              </w:rPr>
            </w:pPr>
            <w:r w:rsidRPr="006C0553">
              <w:rPr>
                <w:rFonts w:ascii="Arial Narrow" w:eastAsia="Times New Roman" w:hAnsi="Arial Narrow" w:cs="Arial"/>
                <w:sz w:val="16"/>
                <w:szCs w:val="16"/>
                <w:lang w:eastAsia="ar-SA"/>
              </w:rPr>
              <w:t>Communication Equipment</w:t>
            </w:r>
          </w:p>
        </w:tc>
        <w:tc>
          <w:tcPr>
            <w:tcW w:w="270" w:type="dxa"/>
            <w:shd w:val="clear" w:color="auto" w:fill="auto"/>
          </w:tcPr>
          <w:p w:rsidR="00492B00" w:rsidRPr="006C0553" w:rsidRDefault="00492B00" w:rsidP="006D2B80">
            <w:pPr>
              <w:suppressAutoHyphens/>
              <w:spacing w:before="20" w:afterLines="20" w:after="48" w:line="240" w:lineRule="auto"/>
              <w:jc w:val="right"/>
              <w:rPr>
                <w:rFonts w:ascii="Arial Narrow" w:eastAsia="Times New Roman" w:hAnsi="Arial Narrow" w:cs="Arial"/>
                <w:sz w:val="16"/>
                <w:szCs w:val="16"/>
                <w:lang w:eastAsia="ar-SA"/>
              </w:rPr>
            </w:pPr>
          </w:p>
        </w:tc>
        <w:tc>
          <w:tcPr>
            <w:tcW w:w="1422" w:type="dxa"/>
            <w:shd w:val="clear" w:color="auto" w:fill="auto"/>
          </w:tcPr>
          <w:p w:rsidR="00492B00" w:rsidRPr="006C0553" w:rsidRDefault="00492B00" w:rsidP="006D2B80">
            <w:pPr>
              <w:suppressAutoHyphens/>
              <w:spacing w:before="20" w:afterLines="20" w:after="48" w:line="240" w:lineRule="auto"/>
              <w:ind w:hanging="164"/>
              <w:jc w:val="right"/>
              <w:rPr>
                <w:rFonts w:ascii="Arial Narrow" w:eastAsia="Times New Roman" w:hAnsi="Arial Narrow" w:cs="Arial"/>
                <w:sz w:val="16"/>
                <w:szCs w:val="16"/>
                <w:lang w:eastAsia="ar-SA"/>
              </w:rPr>
            </w:pPr>
            <w:r w:rsidRPr="006C0553">
              <w:rPr>
                <w:rFonts w:ascii="Arial Narrow" w:eastAsia="Times New Roman" w:hAnsi="Arial Narrow" w:cs="Arial"/>
                <w:sz w:val="16"/>
                <w:szCs w:val="16"/>
                <w:lang w:eastAsia="ar-SA"/>
              </w:rPr>
              <w:t>8,596,875.14</w:t>
            </w:r>
          </w:p>
        </w:tc>
        <w:tc>
          <w:tcPr>
            <w:tcW w:w="270" w:type="dxa"/>
            <w:shd w:val="clear" w:color="auto" w:fill="auto"/>
          </w:tcPr>
          <w:p w:rsidR="00492B00" w:rsidRPr="006C0553" w:rsidRDefault="00492B00" w:rsidP="006D2B80">
            <w:pPr>
              <w:suppressAutoHyphens/>
              <w:spacing w:before="20" w:afterLines="20" w:after="48" w:line="240" w:lineRule="auto"/>
              <w:jc w:val="right"/>
              <w:rPr>
                <w:rFonts w:ascii="Arial Narrow" w:eastAsia="Times New Roman" w:hAnsi="Arial Narrow" w:cs="Arial"/>
                <w:sz w:val="16"/>
                <w:szCs w:val="16"/>
                <w:lang w:eastAsia="ar-SA"/>
              </w:rPr>
            </w:pPr>
          </w:p>
        </w:tc>
        <w:tc>
          <w:tcPr>
            <w:tcW w:w="1332" w:type="dxa"/>
            <w:shd w:val="clear" w:color="auto" w:fill="auto"/>
          </w:tcPr>
          <w:p w:rsidR="00492B00" w:rsidRPr="006C0553" w:rsidRDefault="00492B00" w:rsidP="006D2B80">
            <w:pPr>
              <w:suppressAutoHyphens/>
              <w:spacing w:before="20" w:afterLines="20" w:after="48" w:line="240" w:lineRule="auto"/>
              <w:ind w:hanging="18"/>
              <w:jc w:val="right"/>
              <w:rPr>
                <w:rFonts w:ascii="Arial Narrow" w:eastAsia="Times New Roman" w:hAnsi="Arial Narrow" w:cs="Arial"/>
                <w:sz w:val="16"/>
                <w:szCs w:val="16"/>
                <w:lang w:eastAsia="ar-SA"/>
              </w:rPr>
            </w:pPr>
            <w:r w:rsidRPr="006C0553">
              <w:rPr>
                <w:rFonts w:ascii="Arial Narrow" w:eastAsia="Times New Roman" w:hAnsi="Arial Narrow" w:cs="Arial"/>
                <w:sz w:val="16"/>
                <w:szCs w:val="16"/>
                <w:lang w:eastAsia="ar-SA"/>
              </w:rPr>
              <w:t>3,763,506.79</w:t>
            </w:r>
          </w:p>
        </w:tc>
        <w:tc>
          <w:tcPr>
            <w:tcW w:w="270" w:type="dxa"/>
            <w:shd w:val="clear" w:color="auto" w:fill="auto"/>
          </w:tcPr>
          <w:p w:rsidR="00492B00" w:rsidRPr="006C0553" w:rsidRDefault="00492B00" w:rsidP="006D2B80">
            <w:pPr>
              <w:suppressAutoHyphens/>
              <w:spacing w:before="20" w:afterLines="20" w:after="48" w:line="240" w:lineRule="auto"/>
              <w:jc w:val="right"/>
              <w:rPr>
                <w:rFonts w:ascii="Arial Narrow" w:eastAsia="Times New Roman" w:hAnsi="Arial Narrow" w:cs="Arial"/>
                <w:sz w:val="16"/>
                <w:szCs w:val="16"/>
                <w:lang w:eastAsia="ar-SA"/>
              </w:rPr>
            </w:pPr>
          </w:p>
        </w:tc>
        <w:tc>
          <w:tcPr>
            <w:tcW w:w="1620" w:type="dxa"/>
            <w:shd w:val="clear" w:color="auto" w:fill="auto"/>
          </w:tcPr>
          <w:p w:rsidR="00492B00" w:rsidRPr="006C0553" w:rsidRDefault="00492B00" w:rsidP="006D2B80">
            <w:pPr>
              <w:suppressAutoHyphens/>
              <w:spacing w:before="20" w:afterLines="20" w:after="48" w:line="240" w:lineRule="auto"/>
              <w:ind w:right="-90" w:hanging="18"/>
              <w:jc w:val="right"/>
              <w:rPr>
                <w:rFonts w:ascii="Arial Narrow" w:eastAsia="Times New Roman" w:hAnsi="Arial Narrow" w:cs="Arial"/>
                <w:sz w:val="16"/>
                <w:szCs w:val="16"/>
                <w:lang w:eastAsia="ar-SA"/>
              </w:rPr>
            </w:pPr>
            <w:r w:rsidRPr="006C0553">
              <w:rPr>
                <w:rFonts w:ascii="Arial Narrow" w:eastAsia="Times New Roman" w:hAnsi="Arial Narrow" w:cs="Arial"/>
                <w:sz w:val="16"/>
                <w:szCs w:val="16"/>
                <w:lang w:eastAsia="ar-SA"/>
              </w:rPr>
              <w:t>4,833,368.35</w:t>
            </w:r>
          </w:p>
        </w:tc>
      </w:tr>
      <w:tr w:rsidR="0062212A" w:rsidRPr="0062212A" w:rsidTr="006C0553">
        <w:trPr>
          <w:trHeight w:val="146"/>
          <w:jc w:val="right"/>
        </w:trPr>
        <w:tc>
          <w:tcPr>
            <w:tcW w:w="2772" w:type="dxa"/>
            <w:shd w:val="clear" w:color="auto" w:fill="auto"/>
            <w:vAlign w:val="center"/>
          </w:tcPr>
          <w:p w:rsidR="00492B00" w:rsidRPr="006C0553" w:rsidRDefault="00492B00" w:rsidP="006D2B80">
            <w:pPr>
              <w:suppressAutoHyphens/>
              <w:spacing w:before="20" w:afterLines="20" w:after="48" w:line="240" w:lineRule="auto"/>
              <w:ind w:left="-36"/>
              <w:jc w:val="both"/>
              <w:rPr>
                <w:rFonts w:ascii="Arial Narrow" w:eastAsia="Times New Roman" w:hAnsi="Arial Narrow" w:cs="Arial"/>
                <w:sz w:val="16"/>
                <w:szCs w:val="16"/>
                <w:lang w:eastAsia="ar-SA"/>
              </w:rPr>
            </w:pPr>
            <w:r w:rsidRPr="006C0553">
              <w:rPr>
                <w:rFonts w:ascii="Arial Narrow" w:eastAsia="Times New Roman" w:hAnsi="Arial Narrow" w:cs="Arial"/>
                <w:sz w:val="16"/>
                <w:szCs w:val="16"/>
                <w:lang w:eastAsia="ar-SA"/>
              </w:rPr>
              <w:t>Military, Police and Security Equipment</w:t>
            </w:r>
          </w:p>
        </w:tc>
        <w:tc>
          <w:tcPr>
            <w:tcW w:w="270" w:type="dxa"/>
            <w:shd w:val="clear" w:color="auto" w:fill="auto"/>
          </w:tcPr>
          <w:p w:rsidR="00492B00" w:rsidRPr="006C0553" w:rsidRDefault="00492B00" w:rsidP="006D2B80">
            <w:pPr>
              <w:suppressAutoHyphens/>
              <w:spacing w:before="20" w:afterLines="20" w:after="48" w:line="240" w:lineRule="auto"/>
              <w:jc w:val="right"/>
              <w:rPr>
                <w:rFonts w:ascii="Arial Narrow" w:eastAsia="Times New Roman" w:hAnsi="Arial Narrow" w:cs="Arial"/>
                <w:sz w:val="16"/>
                <w:szCs w:val="16"/>
                <w:lang w:eastAsia="ar-SA"/>
              </w:rPr>
            </w:pPr>
          </w:p>
        </w:tc>
        <w:tc>
          <w:tcPr>
            <w:tcW w:w="1422" w:type="dxa"/>
            <w:shd w:val="clear" w:color="auto" w:fill="auto"/>
          </w:tcPr>
          <w:p w:rsidR="00492B00" w:rsidRPr="006C0553" w:rsidRDefault="00492B00" w:rsidP="006D2B80">
            <w:pPr>
              <w:suppressAutoHyphens/>
              <w:spacing w:before="20" w:afterLines="20" w:after="48" w:line="240" w:lineRule="auto"/>
              <w:ind w:hanging="164"/>
              <w:jc w:val="right"/>
              <w:rPr>
                <w:rFonts w:ascii="Arial Narrow" w:eastAsia="Times New Roman" w:hAnsi="Arial Narrow" w:cs="Arial"/>
                <w:sz w:val="16"/>
                <w:szCs w:val="16"/>
                <w:lang w:eastAsia="ar-SA"/>
              </w:rPr>
            </w:pPr>
            <w:r w:rsidRPr="006C0553">
              <w:rPr>
                <w:rFonts w:ascii="Arial Narrow" w:eastAsia="Times New Roman" w:hAnsi="Arial Narrow" w:cs="Arial"/>
                <w:sz w:val="16"/>
                <w:szCs w:val="16"/>
                <w:lang w:eastAsia="ar-SA"/>
              </w:rPr>
              <w:t>1,300,109.96</w:t>
            </w:r>
          </w:p>
        </w:tc>
        <w:tc>
          <w:tcPr>
            <w:tcW w:w="270" w:type="dxa"/>
            <w:shd w:val="clear" w:color="auto" w:fill="auto"/>
          </w:tcPr>
          <w:p w:rsidR="00492B00" w:rsidRPr="006C0553" w:rsidRDefault="00492B00" w:rsidP="006D2B80">
            <w:pPr>
              <w:suppressAutoHyphens/>
              <w:spacing w:before="20" w:afterLines="20" w:after="48" w:line="240" w:lineRule="auto"/>
              <w:jc w:val="right"/>
              <w:rPr>
                <w:rFonts w:ascii="Arial Narrow" w:eastAsia="Times New Roman" w:hAnsi="Arial Narrow" w:cs="Arial"/>
                <w:sz w:val="16"/>
                <w:szCs w:val="16"/>
                <w:lang w:eastAsia="ar-SA"/>
              </w:rPr>
            </w:pPr>
          </w:p>
        </w:tc>
        <w:tc>
          <w:tcPr>
            <w:tcW w:w="1332" w:type="dxa"/>
            <w:shd w:val="clear" w:color="auto" w:fill="auto"/>
          </w:tcPr>
          <w:p w:rsidR="00492B00" w:rsidRPr="006C0553" w:rsidRDefault="00492B00" w:rsidP="006D2B80">
            <w:pPr>
              <w:suppressAutoHyphens/>
              <w:spacing w:before="20" w:afterLines="20" w:after="48" w:line="240" w:lineRule="auto"/>
              <w:jc w:val="right"/>
              <w:rPr>
                <w:rFonts w:ascii="Arial Narrow" w:eastAsia="Times New Roman" w:hAnsi="Arial Narrow" w:cs="Arial"/>
                <w:sz w:val="16"/>
                <w:szCs w:val="16"/>
                <w:lang w:eastAsia="ar-SA"/>
              </w:rPr>
            </w:pPr>
            <w:r w:rsidRPr="006C0553">
              <w:rPr>
                <w:rFonts w:ascii="Arial Narrow" w:eastAsia="Times New Roman" w:hAnsi="Arial Narrow" w:cs="Arial"/>
                <w:sz w:val="16"/>
                <w:szCs w:val="16"/>
                <w:lang w:eastAsia="ar-SA"/>
              </w:rPr>
              <w:t>96,500.00</w:t>
            </w:r>
          </w:p>
        </w:tc>
        <w:tc>
          <w:tcPr>
            <w:tcW w:w="270" w:type="dxa"/>
            <w:shd w:val="clear" w:color="auto" w:fill="auto"/>
          </w:tcPr>
          <w:p w:rsidR="00492B00" w:rsidRPr="006C0553" w:rsidRDefault="00492B00" w:rsidP="006D2B80">
            <w:pPr>
              <w:suppressAutoHyphens/>
              <w:spacing w:before="20" w:afterLines="20" w:after="48" w:line="240" w:lineRule="auto"/>
              <w:jc w:val="right"/>
              <w:rPr>
                <w:rFonts w:ascii="Arial Narrow" w:eastAsia="Times New Roman" w:hAnsi="Arial Narrow" w:cs="Arial"/>
                <w:sz w:val="16"/>
                <w:szCs w:val="16"/>
                <w:lang w:eastAsia="ar-SA"/>
              </w:rPr>
            </w:pPr>
          </w:p>
        </w:tc>
        <w:tc>
          <w:tcPr>
            <w:tcW w:w="1620" w:type="dxa"/>
            <w:shd w:val="clear" w:color="auto" w:fill="auto"/>
          </w:tcPr>
          <w:p w:rsidR="00492B00" w:rsidRPr="006C0553" w:rsidRDefault="00492B00" w:rsidP="006D2B80">
            <w:pPr>
              <w:suppressAutoHyphens/>
              <w:spacing w:before="20" w:afterLines="20" w:after="48" w:line="240" w:lineRule="auto"/>
              <w:ind w:right="-90" w:hanging="18"/>
              <w:jc w:val="right"/>
              <w:rPr>
                <w:rFonts w:ascii="Arial Narrow" w:eastAsia="Times New Roman" w:hAnsi="Arial Narrow" w:cs="Arial"/>
                <w:sz w:val="16"/>
                <w:szCs w:val="16"/>
                <w:lang w:eastAsia="ar-SA"/>
              </w:rPr>
            </w:pPr>
            <w:r w:rsidRPr="006C0553">
              <w:rPr>
                <w:rFonts w:ascii="Arial Narrow" w:eastAsia="Times New Roman" w:hAnsi="Arial Narrow" w:cs="Arial"/>
                <w:sz w:val="16"/>
                <w:szCs w:val="16"/>
                <w:lang w:eastAsia="ar-SA"/>
              </w:rPr>
              <w:t>1,203,609.96</w:t>
            </w:r>
          </w:p>
        </w:tc>
      </w:tr>
      <w:tr w:rsidR="0062212A" w:rsidRPr="0062212A" w:rsidTr="006C0553">
        <w:trPr>
          <w:trHeight w:val="145"/>
          <w:jc w:val="right"/>
        </w:trPr>
        <w:tc>
          <w:tcPr>
            <w:tcW w:w="2772" w:type="dxa"/>
            <w:shd w:val="clear" w:color="auto" w:fill="auto"/>
            <w:vAlign w:val="center"/>
          </w:tcPr>
          <w:p w:rsidR="00492B00" w:rsidRPr="006C0553" w:rsidRDefault="00492B00" w:rsidP="006D2B80">
            <w:pPr>
              <w:suppressAutoHyphens/>
              <w:spacing w:before="20" w:afterLines="20" w:after="48" w:line="240" w:lineRule="auto"/>
              <w:ind w:left="-36"/>
              <w:jc w:val="both"/>
              <w:rPr>
                <w:rFonts w:ascii="Arial Narrow" w:eastAsia="Times New Roman" w:hAnsi="Arial Narrow" w:cs="Arial"/>
                <w:sz w:val="16"/>
                <w:szCs w:val="16"/>
                <w:lang w:eastAsia="ar-SA"/>
              </w:rPr>
            </w:pPr>
            <w:r w:rsidRPr="006C0553">
              <w:rPr>
                <w:rFonts w:ascii="Arial Narrow" w:eastAsia="Times New Roman" w:hAnsi="Arial Narrow" w:cs="Arial"/>
                <w:sz w:val="16"/>
                <w:szCs w:val="16"/>
                <w:lang w:eastAsia="ar-SA"/>
              </w:rPr>
              <w:t>Medical Equipment</w:t>
            </w:r>
          </w:p>
        </w:tc>
        <w:tc>
          <w:tcPr>
            <w:tcW w:w="270" w:type="dxa"/>
            <w:shd w:val="clear" w:color="auto" w:fill="auto"/>
          </w:tcPr>
          <w:p w:rsidR="00492B00" w:rsidRPr="006C0553" w:rsidRDefault="00492B00" w:rsidP="006D2B80">
            <w:pPr>
              <w:suppressAutoHyphens/>
              <w:spacing w:before="20" w:afterLines="20" w:after="48" w:line="240" w:lineRule="auto"/>
              <w:jc w:val="right"/>
              <w:rPr>
                <w:rFonts w:ascii="Arial Narrow" w:eastAsia="Times New Roman" w:hAnsi="Arial Narrow" w:cs="Arial"/>
                <w:sz w:val="16"/>
                <w:szCs w:val="16"/>
                <w:lang w:eastAsia="ar-SA"/>
              </w:rPr>
            </w:pPr>
          </w:p>
        </w:tc>
        <w:tc>
          <w:tcPr>
            <w:tcW w:w="1422" w:type="dxa"/>
            <w:shd w:val="clear" w:color="auto" w:fill="auto"/>
          </w:tcPr>
          <w:p w:rsidR="00492B00" w:rsidRPr="006C0553" w:rsidRDefault="00492B00" w:rsidP="006D2B80">
            <w:pPr>
              <w:suppressAutoHyphens/>
              <w:spacing w:before="20" w:afterLines="20" w:after="48" w:line="240" w:lineRule="auto"/>
              <w:ind w:hanging="164"/>
              <w:jc w:val="right"/>
              <w:rPr>
                <w:rFonts w:ascii="Arial Narrow" w:eastAsia="Times New Roman" w:hAnsi="Arial Narrow" w:cs="Arial"/>
                <w:sz w:val="16"/>
                <w:szCs w:val="16"/>
                <w:lang w:eastAsia="ar-SA"/>
              </w:rPr>
            </w:pPr>
            <w:r w:rsidRPr="006C0553">
              <w:rPr>
                <w:rFonts w:ascii="Arial Narrow" w:eastAsia="Times New Roman" w:hAnsi="Arial Narrow" w:cs="Arial"/>
                <w:sz w:val="16"/>
                <w:szCs w:val="16"/>
                <w:lang w:eastAsia="ar-SA"/>
              </w:rPr>
              <w:t>16,268,645.68</w:t>
            </w:r>
          </w:p>
        </w:tc>
        <w:tc>
          <w:tcPr>
            <w:tcW w:w="270" w:type="dxa"/>
            <w:shd w:val="clear" w:color="auto" w:fill="auto"/>
          </w:tcPr>
          <w:p w:rsidR="00492B00" w:rsidRPr="006C0553" w:rsidRDefault="00492B00" w:rsidP="006D2B80">
            <w:pPr>
              <w:suppressAutoHyphens/>
              <w:spacing w:before="20" w:afterLines="20" w:after="48" w:line="240" w:lineRule="auto"/>
              <w:jc w:val="right"/>
              <w:rPr>
                <w:rFonts w:ascii="Arial Narrow" w:eastAsia="Times New Roman" w:hAnsi="Arial Narrow" w:cs="Arial"/>
                <w:sz w:val="16"/>
                <w:szCs w:val="16"/>
                <w:lang w:eastAsia="ar-SA"/>
              </w:rPr>
            </w:pPr>
          </w:p>
        </w:tc>
        <w:tc>
          <w:tcPr>
            <w:tcW w:w="1332" w:type="dxa"/>
            <w:shd w:val="clear" w:color="auto" w:fill="auto"/>
          </w:tcPr>
          <w:p w:rsidR="00492B00" w:rsidRPr="006C0553" w:rsidRDefault="00492B00" w:rsidP="006D2B80">
            <w:pPr>
              <w:spacing w:before="20" w:afterLines="20" w:after="48" w:line="240" w:lineRule="auto"/>
              <w:jc w:val="right"/>
              <w:rPr>
                <w:rFonts w:ascii="Arial Narrow" w:eastAsia="Times New Roman" w:hAnsi="Arial Narrow" w:cs="Arial"/>
                <w:sz w:val="16"/>
                <w:szCs w:val="16"/>
                <w:lang w:eastAsia="en-PH"/>
              </w:rPr>
            </w:pPr>
            <w:r w:rsidRPr="006C0553">
              <w:rPr>
                <w:rFonts w:ascii="Arial Narrow" w:eastAsia="Times New Roman" w:hAnsi="Arial Narrow" w:cs="Arial"/>
                <w:sz w:val="16"/>
                <w:szCs w:val="16"/>
                <w:lang w:eastAsia="en-PH"/>
              </w:rPr>
              <w:t>7,915,826.00</w:t>
            </w:r>
          </w:p>
        </w:tc>
        <w:tc>
          <w:tcPr>
            <w:tcW w:w="270" w:type="dxa"/>
            <w:shd w:val="clear" w:color="auto" w:fill="auto"/>
          </w:tcPr>
          <w:p w:rsidR="00492B00" w:rsidRPr="006C0553" w:rsidRDefault="00492B00" w:rsidP="006D2B80">
            <w:pPr>
              <w:suppressAutoHyphens/>
              <w:spacing w:before="20" w:afterLines="20" w:after="48" w:line="240" w:lineRule="auto"/>
              <w:jc w:val="right"/>
              <w:rPr>
                <w:rFonts w:ascii="Arial Narrow" w:eastAsia="Times New Roman" w:hAnsi="Arial Narrow" w:cs="Arial"/>
                <w:sz w:val="16"/>
                <w:szCs w:val="16"/>
                <w:lang w:eastAsia="ar-SA"/>
              </w:rPr>
            </w:pPr>
          </w:p>
        </w:tc>
        <w:tc>
          <w:tcPr>
            <w:tcW w:w="1620" w:type="dxa"/>
            <w:shd w:val="clear" w:color="auto" w:fill="auto"/>
          </w:tcPr>
          <w:p w:rsidR="00492B00" w:rsidRPr="006C0553" w:rsidRDefault="00492B00" w:rsidP="006D2B80">
            <w:pPr>
              <w:suppressAutoHyphens/>
              <w:spacing w:before="20" w:afterLines="20" w:after="48" w:line="240" w:lineRule="auto"/>
              <w:ind w:right="-90" w:hanging="18"/>
              <w:jc w:val="right"/>
              <w:rPr>
                <w:rFonts w:ascii="Arial Narrow" w:eastAsia="Times New Roman" w:hAnsi="Arial Narrow" w:cs="Arial"/>
                <w:sz w:val="16"/>
                <w:szCs w:val="16"/>
                <w:lang w:eastAsia="ar-SA"/>
              </w:rPr>
            </w:pPr>
            <w:r w:rsidRPr="006C0553">
              <w:rPr>
                <w:rFonts w:ascii="Arial Narrow" w:eastAsia="Times New Roman" w:hAnsi="Arial Narrow" w:cs="Arial"/>
                <w:sz w:val="16"/>
                <w:szCs w:val="16"/>
                <w:lang w:eastAsia="ar-SA"/>
              </w:rPr>
              <w:t>8,352,819.68</w:t>
            </w:r>
          </w:p>
        </w:tc>
      </w:tr>
      <w:tr w:rsidR="0062212A" w:rsidRPr="0062212A" w:rsidTr="006C0553">
        <w:trPr>
          <w:trHeight w:val="145"/>
          <w:jc w:val="right"/>
        </w:trPr>
        <w:tc>
          <w:tcPr>
            <w:tcW w:w="2772" w:type="dxa"/>
            <w:shd w:val="clear" w:color="auto" w:fill="auto"/>
            <w:vAlign w:val="center"/>
          </w:tcPr>
          <w:p w:rsidR="00492B00" w:rsidRPr="006C0553" w:rsidRDefault="00492B00" w:rsidP="006D2B80">
            <w:pPr>
              <w:suppressAutoHyphens/>
              <w:spacing w:before="20" w:afterLines="20" w:after="48" w:line="240" w:lineRule="auto"/>
              <w:ind w:left="-36"/>
              <w:jc w:val="both"/>
              <w:rPr>
                <w:rFonts w:ascii="Arial Narrow" w:eastAsia="Times New Roman" w:hAnsi="Arial Narrow" w:cs="Arial"/>
                <w:sz w:val="16"/>
                <w:szCs w:val="16"/>
                <w:lang w:eastAsia="ar-SA"/>
              </w:rPr>
            </w:pPr>
            <w:r w:rsidRPr="006C0553">
              <w:rPr>
                <w:rFonts w:ascii="Arial Narrow" w:eastAsia="Times New Roman" w:hAnsi="Arial Narrow" w:cs="Arial"/>
                <w:sz w:val="16"/>
                <w:szCs w:val="16"/>
                <w:lang w:eastAsia="ar-SA"/>
              </w:rPr>
              <w:t>Printing Equipment</w:t>
            </w:r>
          </w:p>
        </w:tc>
        <w:tc>
          <w:tcPr>
            <w:tcW w:w="270" w:type="dxa"/>
            <w:shd w:val="clear" w:color="auto" w:fill="auto"/>
          </w:tcPr>
          <w:p w:rsidR="00492B00" w:rsidRPr="006C0553" w:rsidRDefault="00492B00" w:rsidP="006D2B80">
            <w:pPr>
              <w:suppressAutoHyphens/>
              <w:spacing w:before="20" w:afterLines="20" w:after="48" w:line="240" w:lineRule="auto"/>
              <w:jc w:val="right"/>
              <w:rPr>
                <w:rFonts w:ascii="Arial Narrow" w:eastAsia="Times New Roman" w:hAnsi="Arial Narrow" w:cs="Arial"/>
                <w:sz w:val="16"/>
                <w:szCs w:val="16"/>
                <w:lang w:eastAsia="ar-SA"/>
              </w:rPr>
            </w:pPr>
          </w:p>
        </w:tc>
        <w:tc>
          <w:tcPr>
            <w:tcW w:w="1422" w:type="dxa"/>
            <w:shd w:val="clear" w:color="auto" w:fill="auto"/>
          </w:tcPr>
          <w:p w:rsidR="00492B00" w:rsidRPr="006C0553" w:rsidRDefault="00492B00" w:rsidP="006D2B80">
            <w:pPr>
              <w:suppressAutoHyphens/>
              <w:spacing w:before="20" w:afterLines="20" w:after="48" w:line="240" w:lineRule="auto"/>
              <w:ind w:hanging="164"/>
              <w:jc w:val="right"/>
              <w:rPr>
                <w:rFonts w:ascii="Arial Narrow" w:eastAsia="Times New Roman" w:hAnsi="Arial Narrow" w:cs="Arial"/>
                <w:sz w:val="16"/>
                <w:szCs w:val="16"/>
                <w:lang w:eastAsia="ar-SA"/>
              </w:rPr>
            </w:pPr>
            <w:r w:rsidRPr="006C0553">
              <w:rPr>
                <w:rFonts w:ascii="Arial Narrow" w:eastAsia="Times New Roman" w:hAnsi="Arial Narrow" w:cs="Arial"/>
                <w:sz w:val="16"/>
                <w:szCs w:val="16"/>
                <w:lang w:eastAsia="ar-SA"/>
              </w:rPr>
              <w:t>102,682,475.60</w:t>
            </w:r>
          </w:p>
        </w:tc>
        <w:tc>
          <w:tcPr>
            <w:tcW w:w="270" w:type="dxa"/>
            <w:shd w:val="clear" w:color="auto" w:fill="auto"/>
          </w:tcPr>
          <w:p w:rsidR="00492B00" w:rsidRPr="006C0553" w:rsidRDefault="00492B00" w:rsidP="006D2B80">
            <w:pPr>
              <w:suppressAutoHyphens/>
              <w:spacing w:before="20" w:afterLines="20" w:after="48" w:line="240" w:lineRule="auto"/>
              <w:jc w:val="right"/>
              <w:rPr>
                <w:rFonts w:ascii="Arial Narrow" w:eastAsia="Times New Roman" w:hAnsi="Arial Narrow" w:cs="Arial"/>
                <w:sz w:val="16"/>
                <w:szCs w:val="16"/>
                <w:lang w:eastAsia="ar-SA"/>
              </w:rPr>
            </w:pPr>
          </w:p>
        </w:tc>
        <w:tc>
          <w:tcPr>
            <w:tcW w:w="1332" w:type="dxa"/>
            <w:shd w:val="clear" w:color="auto" w:fill="auto"/>
          </w:tcPr>
          <w:p w:rsidR="00492B00" w:rsidRPr="006C0553" w:rsidRDefault="00492B00" w:rsidP="006D2B80">
            <w:pPr>
              <w:suppressAutoHyphens/>
              <w:spacing w:before="20" w:afterLines="20" w:after="48" w:line="240" w:lineRule="auto"/>
              <w:jc w:val="right"/>
              <w:rPr>
                <w:rFonts w:ascii="Arial Narrow" w:eastAsia="Times New Roman" w:hAnsi="Arial Narrow" w:cs="Arial"/>
                <w:sz w:val="16"/>
                <w:szCs w:val="16"/>
                <w:lang w:eastAsia="ar-SA"/>
              </w:rPr>
            </w:pPr>
            <w:r w:rsidRPr="006C0553">
              <w:rPr>
                <w:rFonts w:ascii="Arial Narrow" w:eastAsia="Times New Roman" w:hAnsi="Arial Narrow" w:cs="Arial"/>
                <w:sz w:val="16"/>
                <w:szCs w:val="16"/>
                <w:lang w:eastAsia="ar-SA"/>
              </w:rPr>
              <w:t>106,684,331.00</w:t>
            </w:r>
          </w:p>
        </w:tc>
        <w:tc>
          <w:tcPr>
            <w:tcW w:w="270" w:type="dxa"/>
            <w:shd w:val="clear" w:color="auto" w:fill="auto"/>
          </w:tcPr>
          <w:p w:rsidR="00492B00" w:rsidRPr="006C0553" w:rsidRDefault="00492B00" w:rsidP="006D2B80">
            <w:pPr>
              <w:suppressAutoHyphens/>
              <w:spacing w:before="20" w:afterLines="20" w:after="48" w:line="240" w:lineRule="auto"/>
              <w:jc w:val="right"/>
              <w:rPr>
                <w:rFonts w:ascii="Arial Narrow" w:eastAsia="Times New Roman" w:hAnsi="Arial Narrow" w:cs="Arial"/>
                <w:sz w:val="16"/>
                <w:szCs w:val="16"/>
                <w:lang w:eastAsia="ar-SA"/>
              </w:rPr>
            </w:pPr>
          </w:p>
        </w:tc>
        <w:tc>
          <w:tcPr>
            <w:tcW w:w="1620" w:type="dxa"/>
            <w:shd w:val="clear" w:color="auto" w:fill="auto"/>
          </w:tcPr>
          <w:p w:rsidR="00492B00" w:rsidRPr="006C0553" w:rsidRDefault="00492B00" w:rsidP="006D2B80">
            <w:pPr>
              <w:suppressAutoHyphens/>
              <w:spacing w:before="20" w:afterLines="20" w:after="48" w:line="240" w:lineRule="auto"/>
              <w:ind w:right="-90" w:hanging="18"/>
              <w:jc w:val="right"/>
              <w:rPr>
                <w:rFonts w:ascii="Arial Narrow" w:eastAsia="Times New Roman" w:hAnsi="Arial Narrow" w:cs="Arial"/>
                <w:sz w:val="16"/>
                <w:szCs w:val="16"/>
                <w:lang w:eastAsia="ar-SA"/>
              </w:rPr>
            </w:pPr>
            <w:r w:rsidRPr="006C0553">
              <w:rPr>
                <w:rFonts w:ascii="Arial Narrow" w:eastAsia="Times New Roman" w:hAnsi="Arial Narrow" w:cs="Arial"/>
                <w:sz w:val="16"/>
                <w:szCs w:val="16"/>
                <w:lang w:eastAsia="ar-SA"/>
              </w:rPr>
              <w:t>(4,001,855.40)</w:t>
            </w:r>
          </w:p>
        </w:tc>
      </w:tr>
      <w:tr w:rsidR="0062212A" w:rsidRPr="0062212A" w:rsidTr="006C0553">
        <w:trPr>
          <w:trHeight w:val="145"/>
          <w:jc w:val="right"/>
        </w:trPr>
        <w:tc>
          <w:tcPr>
            <w:tcW w:w="2772" w:type="dxa"/>
            <w:shd w:val="clear" w:color="auto" w:fill="auto"/>
            <w:vAlign w:val="center"/>
          </w:tcPr>
          <w:p w:rsidR="00492B00" w:rsidRPr="006C0553" w:rsidRDefault="00492B00" w:rsidP="006D2B80">
            <w:pPr>
              <w:suppressAutoHyphens/>
              <w:spacing w:before="20" w:afterLines="20" w:after="48" w:line="240" w:lineRule="auto"/>
              <w:ind w:left="-36"/>
              <w:jc w:val="both"/>
              <w:rPr>
                <w:rFonts w:ascii="Arial Narrow" w:eastAsia="Times New Roman" w:hAnsi="Arial Narrow" w:cs="Arial"/>
                <w:sz w:val="16"/>
                <w:szCs w:val="16"/>
                <w:lang w:eastAsia="ar-SA"/>
              </w:rPr>
            </w:pPr>
            <w:r w:rsidRPr="006C0553">
              <w:rPr>
                <w:rFonts w:ascii="Arial Narrow" w:eastAsia="Times New Roman" w:hAnsi="Arial Narrow" w:cs="Arial"/>
                <w:sz w:val="16"/>
                <w:szCs w:val="16"/>
                <w:lang w:eastAsia="ar-SA"/>
              </w:rPr>
              <w:t>Motor Vehicles</w:t>
            </w:r>
          </w:p>
        </w:tc>
        <w:tc>
          <w:tcPr>
            <w:tcW w:w="270" w:type="dxa"/>
            <w:shd w:val="clear" w:color="auto" w:fill="auto"/>
          </w:tcPr>
          <w:p w:rsidR="00492B00" w:rsidRPr="006C0553" w:rsidRDefault="00492B00" w:rsidP="006D2B80">
            <w:pPr>
              <w:suppressAutoHyphens/>
              <w:spacing w:before="20" w:afterLines="20" w:after="48" w:line="240" w:lineRule="auto"/>
              <w:jc w:val="right"/>
              <w:rPr>
                <w:rFonts w:ascii="Arial Narrow" w:eastAsia="Times New Roman" w:hAnsi="Arial Narrow" w:cs="Arial"/>
                <w:sz w:val="16"/>
                <w:szCs w:val="16"/>
                <w:lang w:eastAsia="ar-SA"/>
              </w:rPr>
            </w:pPr>
          </w:p>
        </w:tc>
        <w:tc>
          <w:tcPr>
            <w:tcW w:w="1422" w:type="dxa"/>
            <w:shd w:val="clear" w:color="auto" w:fill="auto"/>
          </w:tcPr>
          <w:p w:rsidR="00492B00" w:rsidRPr="006C0553" w:rsidRDefault="00492B00" w:rsidP="006D2B80">
            <w:pPr>
              <w:suppressAutoHyphens/>
              <w:spacing w:before="20" w:afterLines="20" w:after="48" w:line="240" w:lineRule="auto"/>
              <w:ind w:hanging="164"/>
              <w:jc w:val="right"/>
              <w:rPr>
                <w:rFonts w:ascii="Arial Narrow" w:eastAsia="Times New Roman" w:hAnsi="Arial Narrow" w:cs="Arial"/>
                <w:sz w:val="16"/>
                <w:szCs w:val="16"/>
                <w:lang w:eastAsia="ar-SA"/>
              </w:rPr>
            </w:pPr>
            <w:r w:rsidRPr="006C0553">
              <w:rPr>
                <w:rFonts w:ascii="Arial Narrow" w:eastAsia="Times New Roman" w:hAnsi="Arial Narrow" w:cs="Arial"/>
                <w:sz w:val="16"/>
                <w:szCs w:val="16"/>
                <w:lang w:eastAsia="ar-SA"/>
              </w:rPr>
              <w:t>93,679,140.89</w:t>
            </w:r>
          </w:p>
        </w:tc>
        <w:tc>
          <w:tcPr>
            <w:tcW w:w="270" w:type="dxa"/>
            <w:shd w:val="clear" w:color="auto" w:fill="auto"/>
          </w:tcPr>
          <w:p w:rsidR="00492B00" w:rsidRPr="006C0553" w:rsidRDefault="00492B00" w:rsidP="006D2B80">
            <w:pPr>
              <w:suppressAutoHyphens/>
              <w:spacing w:before="20" w:afterLines="20" w:after="48" w:line="240" w:lineRule="auto"/>
              <w:jc w:val="right"/>
              <w:rPr>
                <w:rFonts w:ascii="Arial Narrow" w:eastAsia="Times New Roman" w:hAnsi="Arial Narrow" w:cs="Arial"/>
                <w:sz w:val="16"/>
                <w:szCs w:val="16"/>
                <w:lang w:eastAsia="ar-SA"/>
              </w:rPr>
            </w:pPr>
          </w:p>
        </w:tc>
        <w:tc>
          <w:tcPr>
            <w:tcW w:w="1332" w:type="dxa"/>
            <w:shd w:val="clear" w:color="auto" w:fill="auto"/>
          </w:tcPr>
          <w:p w:rsidR="00492B00" w:rsidRPr="006C0553" w:rsidRDefault="00492B00" w:rsidP="006D2B80">
            <w:pPr>
              <w:suppressAutoHyphens/>
              <w:spacing w:before="20" w:afterLines="20" w:after="48" w:line="240" w:lineRule="auto"/>
              <w:jc w:val="right"/>
              <w:rPr>
                <w:rFonts w:ascii="Arial Narrow" w:eastAsia="Times New Roman" w:hAnsi="Arial Narrow" w:cs="Arial"/>
                <w:sz w:val="16"/>
                <w:szCs w:val="16"/>
                <w:lang w:eastAsia="ar-SA"/>
              </w:rPr>
            </w:pPr>
            <w:r w:rsidRPr="006C0553">
              <w:rPr>
                <w:rFonts w:ascii="Arial Narrow" w:eastAsia="Times New Roman" w:hAnsi="Arial Narrow" w:cs="Arial"/>
                <w:sz w:val="16"/>
                <w:szCs w:val="16"/>
                <w:lang w:eastAsia="ar-SA"/>
              </w:rPr>
              <w:t>82,526,740.91</w:t>
            </w:r>
          </w:p>
        </w:tc>
        <w:tc>
          <w:tcPr>
            <w:tcW w:w="270" w:type="dxa"/>
            <w:shd w:val="clear" w:color="auto" w:fill="auto"/>
          </w:tcPr>
          <w:p w:rsidR="00492B00" w:rsidRPr="006C0553" w:rsidRDefault="00492B00" w:rsidP="006D2B80">
            <w:pPr>
              <w:suppressAutoHyphens/>
              <w:spacing w:before="20" w:afterLines="20" w:after="48" w:line="240" w:lineRule="auto"/>
              <w:jc w:val="right"/>
              <w:rPr>
                <w:rFonts w:ascii="Arial Narrow" w:eastAsia="Times New Roman" w:hAnsi="Arial Narrow" w:cs="Arial"/>
                <w:sz w:val="16"/>
                <w:szCs w:val="16"/>
                <w:lang w:eastAsia="ar-SA"/>
              </w:rPr>
            </w:pPr>
          </w:p>
        </w:tc>
        <w:tc>
          <w:tcPr>
            <w:tcW w:w="1620" w:type="dxa"/>
            <w:shd w:val="clear" w:color="auto" w:fill="auto"/>
          </w:tcPr>
          <w:p w:rsidR="00492B00" w:rsidRPr="006C0553" w:rsidRDefault="00492B00" w:rsidP="006D2B80">
            <w:pPr>
              <w:suppressAutoHyphens/>
              <w:spacing w:before="20" w:afterLines="20" w:after="48" w:line="240" w:lineRule="auto"/>
              <w:ind w:right="-90" w:hanging="18"/>
              <w:jc w:val="right"/>
              <w:rPr>
                <w:rFonts w:ascii="Arial Narrow" w:eastAsia="Times New Roman" w:hAnsi="Arial Narrow" w:cs="Arial"/>
                <w:sz w:val="16"/>
                <w:szCs w:val="16"/>
                <w:lang w:eastAsia="ar-SA"/>
              </w:rPr>
            </w:pPr>
            <w:r w:rsidRPr="006C0553">
              <w:rPr>
                <w:rFonts w:ascii="Arial Narrow" w:eastAsia="Times New Roman" w:hAnsi="Arial Narrow" w:cs="Arial"/>
                <w:sz w:val="16"/>
                <w:szCs w:val="16"/>
                <w:lang w:eastAsia="ar-SA"/>
              </w:rPr>
              <w:t>11,152,399.98</w:t>
            </w:r>
          </w:p>
        </w:tc>
      </w:tr>
      <w:tr w:rsidR="0062212A" w:rsidRPr="0062212A" w:rsidTr="006C0553">
        <w:trPr>
          <w:trHeight w:val="199"/>
          <w:jc w:val="right"/>
        </w:trPr>
        <w:tc>
          <w:tcPr>
            <w:tcW w:w="2772" w:type="dxa"/>
            <w:shd w:val="clear" w:color="auto" w:fill="auto"/>
            <w:vAlign w:val="center"/>
          </w:tcPr>
          <w:p w:rsidR="00492B00" w:rsidRPr="006C0553" w:rsidRDefault="00492B00" w:rsidP="006D2B80">
            <w:pPr>
              <w:suppressAutoHyphens/>
              <w:spacing w:before="20" w:afterLines="20" w:after="48" w:line="240" w:lineRule="auto"/>
              <w:ind w:left="-36"/>
              <w:jc w:val="both"/>
              <w:rPr>
                <w:rFonts w:ascii="Arial Narrow" w:eastAsia="Times New Roman" w:hAnsi="Arial Narrow" w:cs="Arial"/>
                <w:sz w:val="16"/>
                <w:szCs w:val="16"/>
                <w:lang w:eastAsia="ar-SA"/>
              </w:rPr>
            </w:pPr>
            <w:r w:rsidRPr="006C0553">
              <w:rPr>
                <w:rFonts w:ascii="Arial Narrow" w:eastAsia="Times New Roman" w:hAnsi="Arial Narrow" w:cs="Arial"/>
                <w:sz w:val="16"/>
                <w:szCs w:val="16"/>
                <w:lang w:eastAsia="ar-SA"/>
              </w:rPr>
              <w:t>Furnitures and Fixtures</w:t>
            </w:r>
          </w:p>
        </w:tc>
        <w:tc>
          <w:tcPr>
            <w:tcW w:w="270" w:type="dxa"/>
            <w:shd w:val="clear" w:color="auto" w:fill="auto"/>
          </w:tcPr>
          <w:p w:rsidR="00492B00" w:rsidRPr="006C0553" w:rsidRDefault="00492B00" w:rsidP="006D2B80">
            <w:pPr>
              <w:suppressAutoHyphens/>
              <w:spacing w:before="20" w:afterLines="20" w:after="48" w:line="240" w:lineRule="auto"/>
              <w:jc w:val="right"/>
              <w:rPr>
                <w:rFonts w:ascii="Arial Narrow" w:eastAsia="Times New Roman" w:hAnsi="Arial Narrow" w:cs="Arial"/>
                <w:sz w:val="16"/>
                <w:szCs w:val="16"/>
                <w:lang w:eastAsia="ar-SA"/>
              </w:rPr>
            </w:pPr>
          </w:p>
        </w:tc>
        <w:tc>
          <w:tcPr>
            <w:tcW w:w="1422" w:type="dxa"/>
            <w:shd w:val="clear" w:color="auto" w:fill="auto"/>
          </w:tcPr>
          <w:p w:rsidR="00492B00" w:rsidRPr="006C0553" w:rsidRDefault="00492B00" w:rsidP="006D2B80">
            <w:pPr>
              <w:suppressAutoHyphens/>
              <w:spacing w:before="20" w:afterLines="20" w:after="48" w:line="240" w:lineRule="auto"/>
              <w:ind w:hanging="164"/>
              <w:jc w:val="right"/>
              <w:rPr>
                <w:rFonts w:ascii="Arial Narrow" w:eastAsia="Times New Roman" w:hAnsi="Arial Narrow" w:cs="Arial"/>
                <w:sz w:val="16"/>
                <w:szCs w:val="16"/>
                <w:lang w:eastAsia="ar-SA"/>
              </w:rPr>
            </w:pPr>
            <w:r w:rsidRPr="006C0553">
              <w:rPr>
                <w:rFonts w:ascii="Arial Narrow" w:eastAsia="Times New Roman" w:hAnsi="Arial Narrow" w:cs="Arial"/>
                <w:sz w:val="16"/>
                <w:szCs w:val="16"/>
                <w:lang w:eastAsia="ar-SA"/>
              </w:rPr>
              <w:t>6,082,800.19</w:t>
            </w:r>
          </w:p>
        </w:tc>
        <w:tc>
          <w:tcPr>
            <w:tcW w:w="270" w:type="dxa"/>
            <w:shd w:val="clear" w:color="auto" w:fill="auto"/>
          </w:tcPr>
          <w:p w:rsidR="00492B00" w:rsidRPr="006C0553" w:rsidRDefault="00492B00" w:rsidP="006D2B80">
            <w:pPr>
              <w:suppressAutoHyphens/>
              <w:spacing w:before="20" w:afterLines="20" w:after="48" w:line="240" w:lineRule="auto"/>
              <w:jc w:val="right"/>
              <w:rPr>
                <w:rFonts w:ascii="Arial Narrow" w:eastAsia="Times New Roman" w:hAnsi="Arial Narrow" w:cs="Arial"/>
                <w:sz w:val="16"/>
                <w:szCs w:val="16"/>
                <w:lang w:eastAsia="ar-SA"/>
              </w:rPr>
            </w:pPr>
          </w:p>
        </w:tc>
        <w:tc>
          <w:tcPr>
            <w:tcW w:w="1332" w:type="dxa"/>
            <w:shd w:val="clear" w:color="auto" w:fill="auto"/>
          </w:tcPr>
          <w:p w:rsidR="00492B00" w:rsidRPr="006C0553" w:rsidRDefault="00492B00" w:rsidP="006D2B80">
            <w:pPr>
              <w:suppressAutoHyphens/>
              <w:spacing w:before="20" w:afterLines="20" w:after="48" w:line="240" w:lineRule="auto"/>
              <w:jc w:val="right"/>
              <w:rPr>
                <w:rFonts w:ascii="Arial Narrow" w:eastAsia="Times New Roman" w:hAnsi="Arial Narrow" w:cs="Arial"/>
                <w:sz w:val="16"/>
                <w:szCs w:val="16"/>
                <w:lang w:eastAsia="ar-SA"/>
              </w:rPr>
            </w:pPr>
            <w:r w:rsidRPr="006C0553">
              <w:rPr>
                <w:rFonts w:ascii="Arial Narrow" w:eastAsia="Times New Roman" w:hAnsi="Arial Narrow" w:cs="Arial"/>
                <w:sz w:val="16"/>
                <w:szCs w:val="16"/>
                <w:lang w:eastAsia="ar-SA"/>
              </w:rPr>
              <w:t>1,954,024.00</w:t>
            </w:r>
          </w:p>
        </w:tc>
        <w:tc>
          <w:tcPr>
            <w:tcW w:w="270" w:type="dxa"/>
            <w:shd w:val="clear" w:color="auto" w:fill="auto"/>
          </w:tcPr>
          <w:p w:rsidR="00492B00" w:rsidRPr="006C0553" w:rsidRDefault="00492B00" w:rsidP="006D2B80">
            <w:pPr>
              <w:suppressAutoHyphens/>
              <w:spacing w:before="20" w:afterLines="20" w:after="48" w:line="240" w:lineRule="auto"/>
              <w:jc w:val="right"/>
              <w:rPr>
                <w:rFonts w:ascii="Arial Narrow" w:eastAsia="Times New Roman" w:hAnsi="Arial Narrow" w:cs="Arial"/>
                <w:sz w:val="16"/>
                <w:szCs w:val="16"/>
                <w:lang w:eastAsia="ar-SA"/>
              </w:rPr>
            </w:pPr>
          </w:p>
        </w:tc>
        <w:tc>
          <w:tcPr>
            <w:tcW w:w="1620" w:type="dxa"/>
            <w:shd w:val="clear" w:color="auto" w:fill="auto"/>
          </w:tcPr>
          <w:p w:rsidR="00492B00" w:rsidRPr="006C0553" w:rsidRDefault="00492B00" w:rsidP="006D2B80">
            <w:pPr>
              <w:suppressAutoHyphens/>
              <w:spacing w:before="20" w:afterLines="20" w:after="48" w:line="240" w:lineRule="auto"/>
              <w:ind w:right="-90" w:hanging="18"/>
              <w:jc w:val="right"/>
              <w:rPr>
                <w:rFonts w:ascii="Arial Narrow" w:eastAsia="Times New Roman" w:hAnsi="Arial Narrow" w:cs="Arial"/>
                <w:sz w:val="16"/>
                <w:szCs w:val="16"/>
                <w:lang w:eastAsia="ar-SA"/>
              </w:rPr>
            </w:pPr>
            <w:r w:rsidRPr="006C0553">
              <w:rPr>
                <w:rFonts w:ascii="Arial Narrow" w:eastAsia="Times New Roman" w:hAnsi="Arial Narrow" w:cs="Arial"/>
                <w:sz w:val="16"/>
                <w:szCs w:val="16"/>
                <w:lang w:eastAsia="ar-SA"/>
              </w:rPr>
              <w:t>4,128,776.19</w:t>
            </w:r>
          </w:p>
        </w:tc>
      </w:tr>
      <w:tr w:rsidR="0062212A" w:rsidRPr="0062212A" w:rsidTr="006C0553">
        <w:trPr>
          <w:trHeight w:val="145"/>
          <w:jc w:val="right"/>
        </w:trPr>
        <w:tc>
          <w:tcPr>
            <w:tcW w:w="2772" w:type="dxa"/>
            <w:shd w:val="clear" w:color="auto" w:fill="auto"/>
            <w:vAlign w:val="center"/>
          </w:tcPr>
          <w:p w:rsidR="00492B00" w:rsidRPr="006C0553" w:rsidRDefault="00492B00" w:rsidP="006D2B80">
            <w:pPr>
              <w:suppressAutoHyphens/>
              <w:spacing w:before="20" w:afterLines="20" w:after="48" w:line="240" w:lineRule="auto"/>
              <w:ind w:left="-36"/>
              <w:jc w:val="both"/>
              <w:rPr>
                <w:rFonts w:ascii="Arial Narrow" w:eastAsia="Times New Roman" w:hAnsi="Arial Narrow" w:cs="Arial"/>
                <w:sz w:val="16"/>
                <w:szCs w:val="16"/>
                <w:lang w:eastAsia="ar-SA"/>
              </w:rPr>
            </w:pPr>
            <w:r w:rsidRPr="006C0553">
              <w:rPr>
                <w:rFonts w:ascii="Arial Narrow" w:eastAsia="Times New Roman" w:hAnsi="Arial Narrow" w:cs="Arial"/>
                <w:sz w:val="16"/>
                <w:szCs w:val="16"/>
                <w:lang w:eastAsia="ar-SA"/>
              </w:rPr>
              <w:t>Books</w:t>
            </w:r>
          </w:p>
        </w:tc>
        <w:tc>
          <w:tcPr>
            <w:tcW w:w="270" w:type="dxa"/>
            <w:shd w:val="clear" w:color="auto" w:fill="auto"/>
          </w:tcPr>
          <w:p w:rsidR="00492B00" w:rsidRPr="006C0553" w:rsidRDefault="00492B00" w:rsidP="006D2B80">
            <w:pPr>
              <w:suppressAutoHyphens/>
              <w:spacing w:before="20" w:afterLines="20" w:after="48" w:line="240" w:lineRule="auto"/>
              <w:jc w:val="right"/>
              <w:rPr>
                <w:rFonts w:ascii="Arial Narrow" w:eastAsia="Times New Roman" w:hAnsi="Arial Narrow" w:cs="Arial"/>
                <w:sz w:val="16"/>
                <w:szCs w:val="16"/>
                <w:lang w:eastAsia="ar-SA"/>
              </w:rPr>
            </w:pPr>
          </w:p>
        </w:tc>
        <w:tc>
          <w:tcPr>
            <w:tcW w:w="1422" w:type="dxa"/>
            <w:shd w:val="clear" w:color="auto" w:fill="auto"/>
          </w:tcPr>
          <w:p w:rsidR="00492B00" w:rsidRPr="006C0553" w:rsidRDefault="00492B00" w:rsidP="006D2B80">
            <w:pPr>
              <w:suppressAutoHyphens/>
              <w:spacing w:before="20" w:afterLines="20" w:after="48" w:line="240" w:lineRule="auto"/>
              <w:ind w:hanging="164"/>
              <w:jc w:val="right"/>
              <w:rPr>
                <w:rFonts w:ascii="Arial Narrow" w:eastAsia="Times New Roman" w:hAnsi="Arial Narrow" w:cs="Arial"/>
                <w:sz w:val="16"/>
                <w:szCs w:val="16"/>
                <w:lang w:eastAsia="ar-SA"/>
              </w:rPr>
            </w:pPr>
            <w:r w:rsidRPr="006C0553">
              <w:rPr>
                <w:rFonts w:ascii="Arial Narrow" w:eastAsia="Times New Roman" w:hAnsi="Arial Narrow" w:cs="Arial"/>
                <w:sz w:val="16"/>
                <w:szCs w:val="16"/>
                <w:lang w:eastAsia="ar-SA"/>
              </w:rPr>
              <w:t>70,000.00</w:t>
            </w:r>
          </w:p>
        </w:tc>
        <w:tc>
          <w:tcPr>
            <w:tcW w:w="270" w:type="dxa"/>
            <w:shd w:val="clear" w:color="auto" w:fill="auto"/>
          </w:tcPr>
          <w:p w:rsidR="00492B00" w:rsidRPr="006C0553" w:rsidRDefault="00492B00" w:rsidP="006D2B80">
            <w:pPr>
              <w:suppressAutoHyphens/>
              <w:spacing w:before="20" w:afterLines="20" w:after="48" w:line="240" w:lineRule="auto"/>
              <w:jc w:val="right"/>
              <w:rPr>
                <w:rFonts w:ascii="Arial Narrow" w:eastAsia="Times New Roman" w:hAnsi="Arial Narrow" w:cs="Arial"/>
                <w:sz w:val="16"/>
                <w:szCs w:val="16"/>
                <w:lang w:eastAsia="ar-SA"/>
              </w:rPr>
            </w:pPr>
          </w:p>
        </w:tc>
        <w:tc>
          <w:tcPr>
            <w:tcW w:w="1332" w:type="dxa"/>
            <w:shd w:val="clear" w:color="auto" w:fill="auto"/>
          </w:tcPr>
          <w:p w:rsidR="00492B00" w:rsidRPr="006C0553" w:rsidRDefault="00492B00" w:rsidP="006D2B80">
            <w:pPr>
              <w:suppressAutoHyphens/>
              <w:spacing w:before="20" w:afterLines="20" w:after="48" w:line="240" w:lineRule="auto"/>
              <w:jc w:val="right"/>
              <w:rPr>
                <w:rFonts w:ascii="Arial Narrow" w:eastAsia="Times New Roman" w:hAnsi="Arial Narrow" w:cs="Arial"/>
                <w:sz w:val="16"/>
                <w:szCs w:val="16"/>
                <w:lang w:eastAsia="ar-SA"/>
              </w:rPr>
            </w:pPr>
            <w:r w:rsidRPr="006C0553">
              <w:rPr>
                <w:rFonts w:ascii="Arial Narrow" w:eastAsia="Times New Roman" w:hAnsi="Arial Narrow" w:cs="Arial"/>
                <w:sz w:val="16"/>
                <w:szCs w:val="16"/>
                <w:lang w:eastAsia="ar-SA"/>
              </w:rPr>
              <w:t>54,520.00</w:t>
            </w:r>
          </w:p>
        </w:tc>
        <w:tc>
          <w:tcPr>
            <w:tcW w:w="270" w:type="dxa"/>
            <w:shd w:val="clear" w:color="auto" w:fill="auto"/>
          </w:tcPr>
          <w:p w:rsidR="00492B00" w:rsidRPr="006C0553" w:rsidRDefault="00492B00" w:rsidP="006D2B80">
            <w:pPr>
              <w:suppressAutoHyphens/>
              <w:spacing w:before="20" w:afterLines="20" w:after="48" w:line="240" w:lineRule="auto"/>
              <w:jc w:val="right"/>
              <w:rPr>
                <w:rFonts w:ascii="Arial Narrow" w:eastAsia="Times New Roman" w:hAnsi="Arial Narrow" w:cs="Arial"/>
                <w:sz w:val="16"/>
                <w:szCs w:val="16"/>
                <w:lang w:eastAsia="ar-SA"/>
              </w:rPr>
            </w:pPr>
          </w:p>
        </w:tc>
        <w:tc>
          <w:tcPr>
            <w:tcW w:w="1620" w:type="dxa"/>
            <w:shd w:val="clear" w:color="auto" w:fill="auto"/>
          </w:tcPr>
          <w:p w:rsidR="00492B00" w:rsidRPr="006C0553" w:rsidRDefault="00492B00" w:rsidP="006D2B80">
            <w:pPr>
              <w:suppressAutoHyphens/>
              <w:spacing w:before="20" w:afterLines="20" w:after="48" w:line="240" w:lineRule="auto"/>
              <w:ind w:right="-90"/>
              <w:jc w:val="right"/>
              <w:rPr>
                <w:rFonts w:ascii="Arial Narrow" w:eastAsia="Times New Roman" w:hAnsi="Arial Narrow" w:cs="Arial"/>
                <w:sz w:val="16"/>
                <w:szCs w:val="16"/>
                <w:lang w:eastAsia="ar-SA"/>
              </w:rPr>
            </w:pPr>
            <w:r w:rsidRPr="006C0553">
              <w:rPr>
                <w:rFonts w:ascii="Arial Narrow" w:eastAsia="Times New Roman" w:hAnsi="Arial Narrow" w:cs="Arial"/>
                <w:sz w:val="16"/>
                <w:szCs w:val="16"/>
                <w:lang w:eastAsia="ar-SA"/>
              </w:rPr>
              <w:t>15,480.00</w:t>
            </w:r>
          </w:p>
        </w:tc>
      </w:tr>
      <w:tr w:rsidR="0062212A" w:rsidRPr="0062212A" w:rsidTr="006C0553">
        <w:trPr>
          <w:trHeight w:val="145"/>
          <w:jc w:val="right"/>
        </w:trPr>
        <w:tc>
          <w:tcPr>
            <w:tcW w:w="2772" w:type="dxa"/>
            <w:tcBorders>
              <w:bottom w:val="single" w:sz="4" w:space="0" w:color="auto"/>
            </w:tcBorders>
            <w:shd w:val="clear" w:color="auto" w:fill="auto"/>
            <w:vAlign w:val="center"/>
          </w:tcPr>
          <w:p w:rsidR="00492B00" w:rsidRPr="006C0553" w:rsidRDefault="00492B00" w:rsidP="006D2B80">
            <w:pPr>
              <w:suppressAutoHyphens/>
              <w:spacing w:before="20" w:afterLines="20" w:after="48" w:line="240" w:lineRule="auto"/>
              <w:ind w:left="-36"/>
              <w:jc w:val="both"/>
              <w:rPr>
                <w:rFonts w:ascii="Arial Narrow" w:eastAsia="Times New Roman" w:hAnsi="Arial Narrow" w:cs="Arial"/>
                <w:sz w:val="16"/>
                <w:szCs w:val="16"/>
                <w:lang w:eastAsia="ar-SA"/>
              </w:rPr>
            </w:pPr>
            <w:r w:rsidRPr="006C0553">
              <w:rPr>
                <w:rFonts w:ascii="Arial Narrow" w:eastAsia="Times New Roman" w:hAnsi="Arial Narrow" w:cs="Arial"/>
                <w:sz w:val="16"/>
                <w:szCs w:val="16"/>
                <w:lang w:eastAsia="ar-SA"/>
              </w:rPr>
              <w:t>Other Property, Plant and Equipment</w:t>
            </w:r>
          </w:p>
        </w:tc>
        <w:tc>
          <w:tcPr>
            <w:tcW w:w="270" w:type="dxa"/>
            <w:tcBorders>
              <w:bottom w:val="single" w:sz="4" w:space="0" w:color="auto"/>
            </w:tcBorders>
            <w:shd w:val="clear" w:color="auto" w:fill="auto"/>
          </w:tcPr>
          <w:p w:rsidR="00492B00" w:rsidRPr="006C0553" w:rsidRDefault="00492B00" w:rsidP="006D2B80">
            <w:pPr>
              <w:suppressAutoHyphens/>
              <w:spacing w:before="20" w:afterLines="20" w:after="48" w:line="240" w:lineRule="auto"/>
              <w:jc w:val="right"/>
              <w:rPr>
                <w:rFonts w:ascii="Arial Narrow" w:eastAsia="Times New Roman" w:hAnsi="Arial Narrow" w:cs="Arial"/>
                <w:sz w:val="16"/>
                <w:szCs w:val="16"/>
                <w:lang w:eastAsia="ar-SA"/>
              </w:rPr>
            </w:pPr>
          </w:p>
        </w:tc>
        <w:tc>
          <w:tcPr>
            <w:tcW w:w="1422" w:type="dxa"/>
            <w:tcBorders>
              <w:bottom w:val="single" w:sz="4" w:space="0" w:color="auto"/>
            </w:tcBorders>
            <w:shd w:val="clear" w:color="auto" w:fill="auto"/>
          </w:tcPr>
          <w:p w:rsidR="00492B00" w:rsidRPr="006C0553" w:rsidRDefault="00492B00" w:rsidP="006D2B80">
            <w:pPr>
              <w:suppressAutoHyphens/>
              <w:spacing w:before="20" w:afterLines="20" w:after="48" w:line="240" w:lineRule="auto"/>
              <w:ind w:hanging="164"/>
              <w:jc w:val="right"/>
              <w:rPr>
                <w:rFonts w:ascii="Arial Narrow" w:eastAsia="Times New Roman" w:hAnsi="Arial Narrow" w:cs="Arial"/>
                <w:sz w:val="16"/>
                <w:szCs w:val="16"/>
                <w:lang w:eastAsia="ar-SA"/>
              </w:rPr>
            </w:pPr>
            <w:r w:rsidRPr="006C0553">
              <w:rPr>
                <w:rFonts w:ascii="Arial Narrow" w:eastAsia="Times New Roman" w:hAnsi="Arial Narrow" w:cs="Arial"/>
                <w:sz w:val="16"/>
                <w:szCs w:val="16"/>
                <w:lang w:eastAsia="ar-SA"/>
              </w:rPr>
              <w:t>10,091,885.34</w:t>
            </w:r>
          </w:p>
        </w:tc>
        <w:tc>
          <w:tcPr>
            <w:tcW w:w="270" w:type="dxa"/>
            <w:tcBorders>
              <w:bottom w:val="single" w:sz="4" w:space="0" w:color="auto"/>
            </w:tcBorders>
            <w:shd w:val="clear" w:color="auto" w:fill="auto"/>
          </w:tcPr>
          <w:p w:rsidR="00492B00" w:rsidRPr="006C0553" w:rsidRDefault="00492B00" w:rsidP="006D2B80">
            <w:pPr>
              <w:suppressAutoHyphens/>
              <w:spacing w:before="20" w:afterLines="20" w:after="48" w:line="240" w:lineRule="auto"/>
              <w:jc w:val="right"/>
              <w:rPr>
                <w:rFonts w:ascii="Arial Narrow" w:eastAsia="Times New Roman" w:hAnsi="Arial Narrow" w:cs="Arial"/>
                <w:sz w:val="16"/>
                <w:szCs w:val="16"/>
                <w:lang w:eastAsia="ar-SA"/>
              </w:rPr>
            </w:pPr>
          </w:p>
        </w:tc>
        <w:tc>
          <w:tcPr>
            <w:tcW w:w="1332" w:type="dxa"/>
            <w:tcBorders>
              <w:bottom w:val="single" w:sz="4" w:space="0" w:color="auto"/>
            </w:tcBorders>
            <w:shd w:val="clear" w:color="auto" w:fill="auto"/>
          </w:tcPr>
          <w:p w:rsidR="00492B00" w:rsidRPr="006C0553" w:rsidRDefault="00492B00" w:rsidP="006D2B80">
            <w:pPr>
              <w:suppressAutoHyphens/>
              <w:spacing w:before="20" w:afterLines="20" w:after="48" w:line="240" w:lineRule="auto"/>
              <w:jc w:val="right"/>
              <w:rPr>
                <w:rFonts w:ascii="Arial Narrow" w:eastAsia="Times New Roman" w:hAnsi="Arial Narrow" w:cs="Arial"/>
                <w:sz w:val="16"/>
                <w:szCs w:val="16"/>
                <w:lang w:eastAsia="ar-SA"/>
              </w:rPr>
            </w:pPr>
            <w:r w:rsidRPr="006C0553">
              <w:rPr>
                <w:rFonts w:ascii="Arial Narrow" w:eastAsia="Times New Roman" w:hAnsi="Arial Narrow" w:cs="Arial"/>
                <w:sz w:val="16"/>
                <w:szCs w:val="16"/>
                <w:lang w:eastAsia="ar-SA"/>
              </w:rPr>
              <w:t>15,874,321.14</w:t>
            </w:r>
          </w:p>
        </w:tc>
        <w:tc>
          <w:tcPr>
            <w:tcW w:w="270" w:type="dxa"/>
            <w:tcBorders>
              <w:bottom w:val="single" w:sz="4" w:space="0" w:color="auto"/>
            </w:tcBorders>
            <w:shd w:val="clear" w:color="auto" w:fill="auto"/>
          </w:tcPr>
          <w:p w:rsidR="00492B00" w:rsidRPr="006C0553" w:rsidRDefault="00492B00" w:rsidP="006D2B80">
            <w:pPr>
              <w:suppressAutoHyphens/>
              <w:spacing w:before="20" w:afterLines="20" w:after="48" w:line="240" w:lineRule="auto"/>
              <w:jc w:val="right"/>
              <w:rPr>
                <w:rFonts w:ascii="Arial Narrow" w:eastAsia="Times New Roman" w:hAnsi="Arial Narrow" w:cs="Arial"/>
                <w:sz w:val="16"/>
                <w:szCs w:val="16"/>
                <w:lang w:eastAsia="ar-SA"/>
              </w:rPr>
            </w:pPr>
          </w:p>
        </w:tc>
        <w:tc>
          <w:tcPr>
            <w:tcW w:w="1620" w:type="dxa"/>
            <w:tcBorders>
              <w:bottom w:val="single" w:sz="4" w:space="0" w:color="auto"/>
            </w:tcBorders>
            <w:shd w:val="clear" w:color="auto" w:fill="auto"/>
          </w:tcPr>
          <w:p w:rsidR="00492B00" w:rsidRPr="006C0553" w:rsidRDefault="00492B00" w:rsidP="006D2B80">
            <w:pPr>
              <w:suppressAutoHyphens/>
              <w:spacing w:before="20" w:afterLines="20" w:after="48" w:line="240" w:lineRule="auto"/>
              <w:ind w:right="-90"/>
              <w:jc w:val="right"/>
              <w:rPr>
                <w:rFonts w:ascii="Arial Narrow" w:eastAsia="Times New Roman" w:hAnsi="Arial Narrow" w:cs="Arial"/>
                <w:sz w:val="16"/>
                <w:szCs w:val="16"/>
                <w:lang w:eastAsia="ar-SA"/>
              </w:rPr>
            </w:pPr>
            <w:r w:rsidRPr="006C0553">
              <w:rPr>
                <w:rFonts w:ascii="Arial Narrow" w:eastAsia="Times New Roman" w:hAnsi="Arial Narrow" w:cs="Arial"/>
                <w:sz w:val="16"/>
                <w:szCs w:val="16"/>
                <w:lang w:eastAsia="ar-SA"/>
              </w:rPr>
              <w:t>(5,782,435.80)</w:t>
            </w:r>
          </w:p>
        </w:tc>
      </w:tr>
      <w:tr w:rsidR="0062212A" w:rsidRPr="0062212A" w:rsidTr="006C0553">
        <w:trPr>
          <w:trHeight w:val="188"/>
          <w:jc w:val="right"/>
        </w:trPr>
        <w:tc>
          <w:tcPr>
            <w:tcW w:w="2772" w:type="dxa"/>
            <w:tcBorders>
              <w:top w:val="single" w:sz="4" w:space="0" w:color="auto"/>
              <w:bottom w:val="double" w:sz="4" w:space="0" w:color="auto"/>
            </w:tcBorders>
            <w:shd w:val="clear" w:color="auto" w:fill="auto"/>
            <w:vAlign w:val="center"/>
          </w:tcPr>
          <w:p w:rsidR="00492B00" w:rsidRPr="006C0553" w:rsidRDefault="00492B00" w:rsidP="006D2B80">
            <w:pPr>
              <w:suppressAutoHyphens/>
              <w:spacing w:before="20" w:afterLines="20" w:after="48" w:line="240" w:lineRule="auto"/>
              <w:rPr>
                <w:rFonts w:ascii="Arial Narrow" w:eastAsia="Times New Roman" w:hAnsi="Arial Narrow" w:cs="Arial"/>
                <w:b/>
                <w:bCs/>
                <w:sz w:val="16"/>
                <w:szCs w:val="16"/>
                <w:lang w:eastAsia="ar-SA"/>
              </w:rPr>
            </w:pPr>
            <w:r w:rsidRPr="006C0553">
              <w:rPr>
                <w:rFonts w:ascii="Arial Narrow" w:eastAsia="Times New Roman" w:hAnsi="Arial Narrow" w:cs="Arial"/>
                <w:b/>
                <w:bCs/>
                <w:sz w:val="16"/>
                <w:szCs w:val="16"/>
                <w:lang w:eastAsia="ar-SA"/>
              </w:rPr>
              <w:t>Total</w:t>
            </w:r>
          </w:p>
        </w:tc>
        <w:tc>
          <w:tcPr>
            <w:tcW w:w="270" w:type="dxa"/>
            <w:tcBorders>
              <w:top w:val="single" w:sz="4" w:space="0" w:color="auto"/>
              <w:bottom w:val="double" w:sz="4" w:space="0" w:color="auto"/>
            </w:tcBorders>
            <w:shd w:val="clear" w:color="auto" w:fill="auto"/>
          </w:tcPr>
          <w:p w:rsidR="00492B00" w:rsidRPr="006C0553" w:rsidRDefault="00492B00" w:rsidP="006D2B80">
            <w:pPr>
              <w:suppressAutoHyphens/>
              <w:spacing w:before="20" w:afterLines="20" w:after="48" w:line="240" w:lineRule="auto"/>
              <w:jc w:val="right"/>
              <w:rPr>
                <w:rFonts w:ascii="Arial Narrow" w:eastAsia="Times New Roman" w:hAnsi="Arial Narrow" w:cs="Arial"/>
                <w:b/>
                <w:bCs/>
                <w:sz w:val="16"/>
                <w:szCs w:val="16"/>
                <w:lang w:eastAsia="ar-SA"/>
              </w:rPr>
            </w:pPr>
            <w:r w:rsidRPr="006C0553">
              <w:rPr>
                <w:rFonts w:ascii="Arial Narrow" w:eastAsia="Times New Roman" w:hAnsi="Arial Narrow" w:cs="Arial"/>
                <w:b/>
                <w:bCs/>
                <w:sz w:val="16"/>
                <w:szCs w:val="16"/>
                <w:lang w:eastAsia="ar-SA"/>
              </w:rPr>
              <w:t>P</w:t>
            </w:r>
          </w:p>
        </w:tc>
        <w:tc>
          <w:tcPr>
            <w:tcW w:w="1422" w:type="dxa"/>
            <w:tcBorders>
              <w:top w:val="single" w:sz="4" w:space="0" w:color="auto"/>
              <w:bottom w:val="double" w:sz="4" w:space="0" w:color="auto"/>
            </w:tcBorders>
            <w:shd w:val="clear" w:color="auto" w:fill="auto"/>
            <w:vAlign w:val="center"/>
          </w:tcPr>
          <w:p w:rsidR="00492B00" w:rsidRPr="006C0553" w:rsidRDefault="00492B00" w:rsidP="006D2B80">
            <w:pPr>
              <w:suppressAutoHyphens/>
              <w:spacing w:before="20" w:afterLines="20" w:after="48" w:line="240" w:lineRule="auto"/>
              <w:ind w:hanging="164"/>
              <w:jc w:val="right"/>
              <w:rPr>
                <w:rFonts w:ascii="Arial Narrow" w:eastAsia="Times New Roman" w:hAnsi="Arial Narrow" w:cs="Arial"/>
                <w:b/>
                <w:bCs/>
                <w:sz w:val="16"/>
                <w:szCs w:val="16"/>
                <w:lang w:eastAsia="ar-SA"/>
              </w:rPr>
            </w:pPr>
            <w:r w:rsidRPr="006C0553">
              <w:rPr>
                <w:rFonts w:ascii="Arial Narrow" w:eastAsia="Times New Roman" w:hAnsi="Arial Narrow" w:cs="Arial"/>
                <w:b/>
                <w:bCs/>
                <w:sz w:val="16"/>
                <w:szCs w:val="16"/>
                <w:lang w:eastAsia="ar-SA"/>
              </w:rPr>
              <w:t>483,380,123.12</w:t>
            </w:r>
          </w:p>
        </w:tc>
        <w:tc>
          <w:tcPr>
            <w:tcW w:w="270" w:type="dxa"/>
            <w:tcBorders>
              <w:top w:val="single" w:sz="4" w:space="0" w:color="auto"/>
              <w:bottom w:val="double" w:sz="4" w:space="0" w:color="auto"/>
            </w:tcBorders>
            <w:shd w:val="clear" w:color="auto" w:fill="auto"/>
          </w:tcPr>
          <w:p w:rsidR="00492B00" w:rsidRPr="006C0553" w:rsidRDefault="00492B00" w:rsidP="006D2B80">
            <w:pPr>
              <w:suppressAutoHyphens/>
              <w:spacing w:before="20" w:afterLines="20" w:after="48" w:line="240" w:lineRule="auto"/>
              <w:jc w:val="right"/>
              <w:rPr>
                <w:rFonts w:ascii="Arial Narrow" w:eastAsia="Times New Roman" w:hAnsi="Arial Narrow" w:cs="Arial"/>
                <w:b/>
                <w:bCs/>
                <w:sz w:val="16"/>
                <w:szCs w:val="16"/>
                <w:lang w:eastAsia="ar-SA"/>
              </w:rPr>
            </w:pPr>
            <w:r w:rsidRPr="006C0553">
              <w:rPr>
                <w:rFonts w:ascii="Arial Narrow" w:eastAsia="Times New Roman" w:hAnsi="Arial Narrow" w:cs="Arial"/>
                <w:b/>
                <w:bCs/>
                <w:sz w:val="16"/>
                <w:szCs w:val="16"/>
                <w:lang w:eastAsia="ar-SA"/>
              </w:rPr>
              <w:t>P</w:t>
            </w:r>
          </w:p>
        </w:tc>
        <w:tc>
          <w:tcPr>
            <w:tcW w:w="1332" w:type="dxa"/>
            <w:tcBorders>
              <w:top w:val="single" w:sz="4" w:space="0" w:color="auto"/>
              <w:bottom w:val="double" w:sz="4" w:space="0" w:color="auto"/>
            </w:tcBorders>
            <w:shd w:val="clear" w:color="auto" w:fill="auto"/>
            <w:vAlign w:val="center"/>
          </w:tcPr>
          <w:p w:rsidR="00492B00" w:rsidRPr="006C0553" w:rsidRDefault="00492B00" w:rsidP="006D2B80">
            <w:pPr>
              <w:suppressAutoHyphens/>
              <w:spacing w:before="20" w:afterLines="20" w:after="48" w:line="240" w:lineRule="auto"/>
              <w:jc w:val="right"/>
              <w:rPr>
                <w:rFonts w:ascii="Arial Narrow" w:eastAsia="Times New Roman" w:hAnsi="Arial Narrow" w:cs="Arial"/>
                <w:b/>
                <w:bCs/>
                <w:sz w:val="16"/>
                <w:szCs w:val="16"/>
                <w:lang w:eastAsia="ar-SA"/>
              </w:rPr>
            </w:pPr>
            <w:r w:rsidRPr="006C0553">
              <w:rPr>
                <w:rFonts w:ascii="Arial Narrow" w:eastAsia="Times New Roman" w:hAnsi="Arial Narrow" w:cs="Arial"/>
                <w:b/>
                <w:bCs/>
                <w:sz w:val="16"/>
                <w:szCs w:val="16"/>
                <w:lang w:eastAsia="ar-SA"/>
              </w:rPr>
              <w:t>305,945,828.65</w:t>
            </w:r>
          </w:p>
        </w:tc>
        <w:tc>
          <w:tcPr>
            <w:tcW w:w="270" w:type="dxa"/>
            <w:tcBorders>
              <w:top w:val="single" w:sz="4" w:space="0" w:color="auto"/>
              <w:bottom w:val="double" w:sz="4" w:space="0" w:color="auto"/>
            </w:tcBorders>
            <w:shd w:val="clear" w:color="auto" w:fill="auto"/>
          </w:tcPr>
          <w:p w:rsidR="00492B00" w:rsidRPr="006C0553" w:rsidRDefault="00492B00" w:rsidP="006D2B80">
            <w:pPr>
              <w:suppressAutoHyphens/>
              <w:spacing w:before="20" w:afterLines="20" w:after="48" w:line="240" w:lineRule="auto"/>
              <w:jc w:val="right"/>
              <w:rPr>
                <w:rFonts w:ascii="Arial Narrow" w:eastAsia="Times New Roman" w:hAnsi="Arial Narrow" w:cs="Arial"/>
                <w:b/>
                <w:bCs/>
                <w:sz w:val="16"/>
                <w:szCs w:val="16"/>
                <w:lang w:eastAsia="ar-SA"/>
              </w:rPr>
            </w:pPr>
            <w:r w:rsidRPr="006C0553">
              <w:rPr>
                <w:rFonts w:ascii="Arial Narrow" w:eastAsia="Times New Roman" w:hAnsi="Arial Narrow" w:cs="Arial"/>
                <w:b/>
                <w:bCs/>
                <w:sz w:val="16"/>
                <w:szCs w:val="16"/>
                <w:lang w:eastAsia="ar-SA"/>
              </w:rPr>
              <w:t>P</w:t>
            </w:r>
          </w:p>
        </w:tc>
        <w:tc>
          <w:tcPr>
            <w:tcW w:w="1620" w:type="dxa"/>
            <w:tcBorders>
              <w:top w:val="single" w:sz="4" w:space="0" w:color="auto"/>
              <w:bottom w:val="double" w:sz="4" w:space="0" w:color="auto"/>
            </w:tcBorders>
            <w:shd w:val="clear" w:color="auto" w:fill="auto"/>
            <w:vAlign w:val="center"/>
          </w:tcPr>
          <w:p w:rsidR="00492B00" w:rsidRPr="006C0553" w:rsidRDefault="00492B00" w:rsidP="006D2B80">
            <w:pPr>
              <w:suppressAutoHyphens/>
              <w:spacing w:before="20" w:afterLines="20" w:after="48" w:line="240" w:lineRule="auto"/>
              <w:ind w:right="-90"/>
              <w:jc w:val="right"/>
              <w:rPr>
                <w:rFonts w:ascii="Arial Narrow" w:eastAsia="Times New Roman" w:hAnsi="Arial Narrow" w:cs="Arial"/>
                <w:b/>
                <w:bCs/>
                <w:sz w:val="16"/>
                <w:szCs w:val="16"/>
                <w:lang w:eastAsia="ar-SA"/>
              </w:rPr>
            </w:pPr>
            <w:r w:rsidRPr="006C0553">
              <w:rPr>
                <w:rFonts w:ascii="Arial Narrow" w:eastAsia="Times New Roman" w:hAnsi="Arial Narrow" w:cs="Arial"/>
                <w:b/>
                <w:bCs/>
                <w:sz w:val="16"/>
                <w:szCs w:val="16"/>
                <w:lang w:eastAsia="ar-SA"/>
              </w:rPr>
              <w:t>177,434,294.47</w:t>
            </w:r>
          </w:p>
        </w:tc>
      </w:tr>
    </w:tbl>
    <w:p w:rsidR="00CA00F2" w:rsidRDefault="00CA00F2" w:rsidP="00CA00F2">
      <w:pPr>
        <w:pStyle w:val="ListParagraph"/>
        <w:ind w:left="1440"/>
        <w:jc w:val="both"/>
        <w:rPr>
          <w:rFonts w:ascii="Arial" w:hAnsi="Arial" w:cs="Arial"/>
          <w:sz w:val="22"/>
          <w:szCs w:val="22"/>
        </w:rPr>
      </w:pPr>
    </w:p>
    <w:p w:rsidR="00492B00" w:rsidRPr="00EF4855" w:rsidRDefault="00492B00" w:rsidP="00DA78B4">
      <w:pPr>
        <w:pStyle w:val="ListParagraph"/>
        <w:numPr>
          <w:ilvl w:val="1"/>
          <w:numId w:val="24"/>
        </w:numPr>
        <w:ind w:left="1440" w:hanging="720"/>
        <w:jc w:val="both"/>
        <w:rPr>
          <w:rFonts w:ascii="Arial" w:hAnsi="Arial" w:cs="Arial"/>
          <w:sz w:val="22"/>
          <w:szCs w:val="22"/>
        </w:rPr>
      </w:pPr>
      <w:r w:rsidRPr="00EF4855">
        <w:rPr>
          <w:rFonts w:ascii="Arial" w:hAnsi="Arial" w:cs="Arial"/>
          <w:sz w:val="22"/>
          <w:szCs w:val="22"/>
        </w:rPr>
        <w:t>Physical stock-taking is an indispensable procedure not only to check the integrity of property custodianship but also to ascertain the reliability and propriety of the account balances. Hence, the physical inventory report must be reconciled with the accounting records. The existence of a material net discrepancy of P177.434 million between the results of the physical inventory and the corresponding balances per books casts doubt on the fairness of presentation of the balance of the PPE account in the financial statements as of December 31, 2018.</w:t>
      </w:r>
    </w:p>
    <w:p w:rsidR="00492B00" w:rsidRPr="00EF4855" w:rsidRDefault="00492B00" w:rsidP="00492B00">
      <w:pPr>
        <w:spacing w:after="0" w:line="240" w:lineRule="auto"/>
        <w:jc w:val="both"/>
        <w:rPr>
          <w:rFonts w:ascii="Arial" w:hAnsi="Arial" w:cs="Arial"/>
          <w:b/>
        </w:rPr>
      </w:pPr>
    </w:p>
    <w:p w:rsidR="00492B00" w:rsidRPr="00EF4855" w:rsidRDefault="00492B00" w:rsidP="00DA78B4">
      <w:pPr>
        <w:pStyle w:val="ListParagraph"/>
        <w:numPr>
          <w:ilvl w:val="1"/>
          <w:numId w:val="24"/>
        </w:numPr>
        <w:ind w:left="1440" w:hanging="720"/>
        <w:jc w:val="both"/>
        <w:rPr>
          <w:rFonts w:ascii="Arial" w:hAnsi="Arial" w:cs="Arial"/>
          <w:b/>
          <w:sz w:val="22"/>
          <w:szCs w:val="22"/>
        </w:rPr>
      </w:pPr>
      <w:r w:rsidRPr="00EF4855">
        <w:rPr>
          <w:rFonts w:ascii="Arial" w:hAnsi="Arial" w:cs="Arial"/>
          <w:b/>
          <w:sz w:val="22"/>
          <w:szCs w:val="22"/>
        </w:rPr>
        <w:t>We recommended that Management:</w:t>
      </w:r>
    </w:p>
    <w:p w:rsidR="00492B00" w:rsidRPr="00EF4855" w:rsidRDefault="00492B00" w:rsidP="00492B00">
      <w:pPr>
        <w:pStyle w:val="ListParagraph"/>
        <w:rPr>
          <w:rFonts w:ascii="Arial" w:hAnsi="Arial" w:cs="Arial"/>
          <w:b/>
          <w:sz w:val="22"/>
          <w:szCs w:val="22"/>
        </w:rPr>
      </w:pPr>
    </w:p>
    <w:p w:rsidR="00492B00" w:rsidRDefault="00492B00" w:rsidP="00DA78B4">
      <w:pPr>
        <w:pStyle w:val="ListParagraph"/>
        <w:numPr>
          <w:ilvl w:val="1"/>
          <w:numId w:val="8"/>
        </w:numPr>
        <w:ind w:left="1980" w:hanging="540"/>
        <w:contextualSpacing/>
        <w:jc w:val="both"/>
        <w:rPr>
          <w:rFonts w:ascii="Arial" w:hAnsi="Arial" w:cs="Arial"/>
          <w:b/>
          <w:sz w:val="22"/>
          <w:szCs w:val="22"/>
        </w:rPr>
      </w:pPr>
      <w:r w:rsidRPr="00EF4855">
        <w:rPr>
          <w:rFonts w:ascii="Arial" w:hAnsi="Arial" w:cs="Arial"/>
          <w:b/>
          <w:sz w:val="22"/>
          <w:szCs w:val="22"/>
        </w:rPr>
        <w:t>Direct the concerned accounting personnel to conduct an immediate reconciliation of the balances per books</w:t>
      </w:r>
      <w:r w:rsidR="00DF7170">
        <w:rPr>
          <w:rFonts w:ascii="Arial" w:hAnsi="Arial" w:cs="Arial"/>
          <w:b/>
          <w:sz w:val="22"/>
          <w:szCs w:val="22"/>
        </w:rPr>
        <w:t xml:space="preserve"> of the PPE account with the </w:t>
      </w:r>
      <w:r w:rsidRPr="00EF4855">
        <w:rPr>
          <w:rFonts w:ascii="Arial" w:hAnsi="Arial" w:cs="Arial"/>
          <w:b/>
          <w:sz w:val="22"/>
          <w:szCs w:val="22"/>
        </w:rPr>
        <w:t xml:space="preserve">corresponding </w:t>
      </w:r>
      <w:r w:rsidR="00DF7170">
        <w:rPr>
          <w:rFonts w:ascii="Arial" w:hAnsi="Arial" w:cs="Arial"/>
          <w:b/>
          <w:sz w:val="22"/>
          <w:szCs w:val="22"/>
        </w:rPr>
        <w:t xml:space="preserve">balances per </w:t>
      </w:r>
      <w:r w:rsidRPr="00EF4855">
        <w:rPr>
          <w:rFonts w:ascii="Arial" w:hAnsi="Arial" w:cs="Arial"/>
          <w:b/>
          <w:sz w:val="22"/>
          <w:szCs w:val="22"/>
        </w:rPr>
        <w:t xml:space="preserve">lapsing schedules to determine the cause/s </w:t>
      </w:r>
      <w:r w:rsidR="00DF7170">
        <w:rPr>
          <w:rFonts w:ascii="Arial" w:hAnsi="Arial" w:cs="Arial"/>
          <w:b/>
          <w:sz w:val="22"/>
          <w:szCs w:val="22"/>
        </w:rPr>
        <w:t xml:space="preserve">of the </w:t>
      </w:r>
      <w:r w:rsidRPr="00EF4855">
        <w:rPr>
          <w:rFonts w:ascii="Arial" w:hAnsi="Arial" w:cs="Arial"/>
          <w:b/>
          <w:sz w:val="22"/>
          <w:szCs w:val="22"/>
        </w:rPr>
        <w:t xml:space="preserve">net discrepancy </w:t>
      </w:r>
      <w:r w:rsidR="00DF7170">
        <w:rPr>
          <w:rFonts w:ascii="Arial" w:hAnsi="Arial" w:cs="Arial"/>
          <w:b/>
          <w:sz w:val="22"/>
          <w:szCs w:val="22"/>
        </w:rPr>
        <w:t xml:space="preserve">of </w:t>
      </w:r>
      <w:r w:rsidR="00D5668D">
        <w:rPr>
          <w:rFonts w:ascii="Arial" w:hAnsi="Arial" w:cs="Arial"/>
          <w:b/>
          <w:sz w:val="22"/>
          <w:szCs w:val="22"/>
        </w:rPr>
        <w:t>P109.983 million</w:t>
      </w:r>
      <w:r w:rsidR="00DF7170" w:rsidRPr="00EF4855">
        <w:rPr>
          <w:rFonts w:ascii="Arial" w:hAnsi="Arial" w:cs="Arial"/>
          <w:sz w:val="22"/>
          <w:szCs w:val="22"/>
        </w:rPr>
        <w:t xml:space="preserve"> </w:t>
      </w:r>
      <w:r w:rsidR="00810E53">
        <w:rPr>
          <w:rFonts w:ascii="Arial" w:hAnsi="Arial" w:cs="Arial"/>
          <w:b/>
          <w:sz w:val="22"/>
          <w:szCs w:val="22"/>
        </w:rPr>
        <w:t xml:space="preserve">as of December 31, 2018. </w:t>
      </w:r>
      <w:r w:rsidRPr="00EF4855">
        <w:rPr>
          <w:rFonts w:ascii="Arial" w:hAnsi="Arial" w:cs="Arial"/>
          <w:b/>
          <w:sz w:val="22"/>
          <w:szCs w:val="22"/>
        </w:rPr>
        <w:t>Thereafter, effect the necessary adjusting entries to correct the balances of the affected accounts so that the same shall be fairly presented in the financial statements;</w:t>
      </w:r>
    </w:p>
    <w:p w:rsidR="00DF7170" w:rsidRDefault="00DF7170" w:rsidP="00177209">
      <w:pPr>
        <w:pStyle w:val="ListParagraph"/>
        <w:ind w:left="1980" w:hanging="540"/>
        <w:contextualSpacing/>
        <w:jc w:val="both"/>
        <w:rPr>
          <w:rFonts w:ascii="Arial" w:hAnsi="Arial" w:cs="Arial"/>
          <w:b/>
          <w:sz w:val="22"/>
          <w:szCs w:val="22"/>
        </w:rPr>
      </w:pPr>
    </w:p>
    <w:p w:rsidR="00CA00F2" w:rsidRPr="00EF4855" w:rsidRDefault="00CA00F2" w:rsidP="00177209">
      <w:pPr>
        <w:pStyle w:val="ListParagraph"/>
        <w:ind w:left="1980" w:hanging="540"/>
        <w:contextualSpacing/>
        <w:jc w:val="both"/>
        <w:rPr>
          <w:rFonts w:ascii="Arial" w:hAnsi="Arial" w:cs="Arial"/>
          <w:b/>
          <w:sz w:val="22"/>
          <w:szCs w:val="22"/>
        </w:rPr>
      </w:pPr>
    </w:p>
    <w:p w:rsidR="00492B00" w:rsidRPr="00EF4855" w:rsidRDefault="00492B00" w:rsidP="00DA78B4">
      <w:pPr>
        <w:pStyle w:val="ListParagraph"/>
        <w:numPr>
          <w:ilvl w:val="1"/>
          <w:numId w:val="8"/>
        </w:numPr>
        <w:ind w:left="1980" w:hanging="540"/>
        <w:contextualSpacing/>
        <w:jc w:val="both"/>
        <w:rPr>
          <w:rFonts w:ascii="Arial" w:hAnsi="Arial" w:cs="Arial"/>
          <w:b/>
          <w:sz w:val="22"/>
          <w:szCs w:val="22"/>
        </w:rPr>
      </w:pPr>
      <w:r w:rsidRPr="00EF4855">
        <w:rPr>
          <w:rFonts w:ascii="Arial" w:hAnsi="Arial" w:cs="Arial"/>
          <w:b/>
          <w:sz w:val="22"/>
          <w:szCs w:val="22"/>
        </w:rPr>
        <w:lastRenderedPageBreak/>
        <w:t>Direct the concerned official of the ASMD to prepare and submit a consolidated inventory report for all the assets belonging to PCSO to check the integrity of property custodianship thereof as well as to determine if the balance of the PPE account reflected in the financial statements was fairly presented;</w:t>
      </w:r>
    </w:p>
    <w:p w:rsidR="00492B00" w:rsidRPr="00EF4855" w:rsidRDefault="00492B00" w:rsidP="00177209">
      <w:pPr>
        <w:pStyle w:val="ListParagraph"/>
        <w:ind w:left="1980" w:hanging="540"/>
        <w:rPr>
          <w:rFonts w:ascii="Arial" w:hAnsi="Arial" w:cs="Arial"/>
          <w:b/>
          <w:sz w:val="22"/>
          <w:szCs w:val="22"/>
        </w:rPr>
      </w:pPr>
    </w:p>
    <w:p w:rsidR="00492B00" w:rsidRPr="00EF4855" w:rsidRDefault="00492B00" w:rsidP="00DA78B4">
      <w:pPr>
        <w:pStyle w:val="ListParagraph"/>
        <w:numPr>
          <w:ilvl w:val="1"/>
          <w:numId w:val="8"/>
        </w:numPr>
        <w:ind w:left="1980" w:hanging="540"/>
        <w:contextualSpacing/>
        <w:jc w:val="both"/>
        <w:rPr>
          <w:rFonts w:ascii="Arial" w:hAnsi="Arial" w:cs="Arial"/>
          <w:b/>
          <w:sz w:val="22"/>
          <w:szCs w:val="22"/>
        </w:rPr>
      </w:pPr>
      <w:r w:rsidRPr="00EF4855">
        <w:rPr>
          <w:rFonts w:ascii="Arial" w:hAnsi="Arial" w:cs="Arial"/>
          <w:b/>
          <w:sz w:val="22"/>
          <w:szCs w:val="22"/>
        </w:rPr>
        <w:t xml:space="preserve">Direct the concerned officials and employees to conduct </w:t>
      </w:r>
      <w:r w:rsidR="00B75301">
        <w:rPr>
          <w:rFonts w:ascii="Arial" w:hAnsi="Arial" w:cs="Arial"/>
          <w:b/>
          <w:sz w:val="22"/>
          <w:szCs w:val="22"/>
        </w:rPr>
        <w:t xml:space="preserve">immediate reconciliation of </w:t>
      </w:r>
      <w:r w:rsidRPr="00EF4855">
        <w:rPr>
          <w:rFonts w:ascii="Arial" w:hAnsi="Arial" w:cs="Arial"/>
          <w:b/>
          <w:sz w:val="22"/>
          <w:szCs w:val="22"/>
        </w:rPr>
        <w:t xml:space="preserve">the </w:t>
      </w:r>
      <w:r w:rsidR="00B75301">
        <w:rPr>
          <w:rFonts w:ascii="Arial" w:hAnsi="Arial" w:cs="Arial"/>
          <w:b/>
          <w:sz w:val="22"/>
          <w:szCs w:val="22"/>
        </w:rPr>
        <w:t xml:space="preserve">balance per books of the PPE- Head Office account with the corresponding balances per inventory report as of December 31, 2018 </w:t>
      </w:r>
      <w:r w:rsidRPr="00EF4855">
        <w:rPr>
          <w:rFonts w:ascii="Arial" w:hAnsi="Arial" w:cs="Arial"/>
          <w:b/>
          <w:sz w:val="22"/>
          <w:szCs w:val="22"/>
        </w:rPr>
        <w:t>in order to determine the cause/s of the material net discrepancy of P177.434 million as of December 31, 2018.  Thereafter, necessary adjusting entries should be effected so that the balance of the PPE account shall be fairly presented in the financial statements; and</w:t>
      </w:r>
    </w:p>
    <w:p w:rsidR="00492B00" w:rsidRPr="00EF4855" w:rsidRDefault="00492B00" w:rsidP="00177209">
      <w:pPr>
        <w:pStyle w:val="ListParagraph"/>
        <w:ind w:left="1980" w:hanging="540"/>
        <w:rPr>
          <w:rFonts w:ascii="Arial" w:hAnsi="Arial" w:cs="Arial"/>
          <w:b/>
          <w:sz w:val="22"/>
          <w:szCs w:val="22"/>
        </w:rPr>
      </w:pPr>
    </w:p>
    <w:p w:rsidR="00492B00" w:rsidRPr="00EF4855" w:rsidRDefault="00492B00" w:rsidP="00DA78B4">
      <w:pPr>
        <w:pStyle w:val="ListParagraph"/>
        <w:numPr>
          <w:ilvl w:val="1"/>
          <w:numId w:val="8"/>
        </w:numPr>
        <w:ind w:left="1980" w:hanging="540"/>
        <w:contextualSpacing/>
        <w:jc w:val="both"/>
        <w:rPr>
          <w:rFonts w:ascii="Arial" w:hAnsi="Arial" w:cs="Arial"/>
          <w:b/>
          <w:sz w:val="22"/>
          <w:szCs w:val="22"/>
        </w:rPr>
      </w:pPr>
      <w:r w:rsidRPr="00EF4855">
        <w:rPr>
          <w:rFonts w:ascii="Arial" w:hAnsi="Arial" w:cs="Arial"/>
          <w:b/>
          <w:sz w:val="22"/>
          <w:szCs w:val="22"/>
        </w:rPr>
        <w:t>Considering that the balance per books was greater than the balance per physical count, which may indicate missing items of PPE, conduct deeper investigation thereon and undertake the appropriate legal and/or administrative actions under the circumstances.</w:t>
      </w:r>
    </w:p>
    <w:p w:rsidR="00492B00" w:rsidRPr="00EF4855" w:rsidRDefault="00492B00" w:rsidP="00492B00">
      <w:pPr>
        <w:spacing w:after="0" w:line="240" w:lineRule="auto"/>
        <w:jc w:val="both"/>
        <w:rPr>
          <w:rFonts w:ascii="Arial" w:hAnsi="Arial" w:cs="Arial"/>
        </w:rPr>
      </w:pPr>
    </w:p>
    <w:p w:rsidR="00492B00" w:rsidRPr="00EF4855" w:rsidRDefault="00492B00" w:rsidP="00DA78B4">
      <w:pPr>
        <w:pStyle w:val="ListParagraph"/>
        <w:numPr>
          <w:ilvl w:val="1"/>
          <w:numId w:val="24"/>
        </w:numPr>
        <w:ind w:left="1440" w:hanging="720"/>
        <w:jc w:val="both"/>
        <w:rPr>
          <w:rFonts w:ascii="Arial" w:hAnsi="Arial" w:cs="Arial"/>
          <w:sz w:val="22"/>
          <w:szCs w:val="22"/>
        </w:rPr>
      </w:pPr>
      <w:r w:rsidRPr="00EF4855">
        <w:rPr>
          <w:rFonts w:ascii="Arial" w:hAnsi="Arial" w:cs="Arial"/>
          <w:sz w:val="22"/>
          <w:szCs w:val="22"/>
        </w:rPr>
        <w:t>Ma</w:t>
      </w:r>
      <w:r w:rsidR="00BD35EA">
        <w:rPr>
          <w:rFonts w:ascii="Arial" w:hAnsi="Arial" w:cs="Arial"/>
          <w:sz w:val="22"/>
          <w:szCs w:val="22"/>
        </w:rPr>
        <w:t xml:space="preserve">nagement commented that the </w:t>
      </w:r>
      <w:r w:rsidRPr="00EF4855">
        <w:rPr>
          <w:rFonts w:ascii="Arial" w:hAnsi="Arial" w:cs="Arial"/>
          <w:sz w:val="22"/>
          <w:szCs w:val="22"/>
        </w:rPr>
        <w:t>concerned</w:t>
      </w:r>
      <w:r w:rsidR="00BD35EA">
        <w:rPr>
          <w:rFonts w:ascii="Arial" w:hAnsi="Arial" w:cs="Arial"/>
          <w:sz w:val="22"/>
          <w:szCs w:val="22"/>
        </w:rPr>
        <w:t xml:space="preserve"> accounting </w:t>
      </w:r>
      <w:r w:rsidRPr="00EF4855">
        <w:rPr>
          <w:rFonts w:ascii="Arial" w:hAnsi="Arial" w:cs="Arial"/>
          <w:sz w:val="22"/>
          <w:szCs w:val="22"/>
        </w:rPr>
        <w:t>personnel already took the necessary action in the reconciliation of balance per book</w:t>
      </w:r>
      <w:r w:rsidR="00A97701">
        <w:rPr>
          <w:rFonts w:ascii="Arial" w:hAnsi="Arial" w:cs="Arial"/>
          <w:sz w:val="22"/>
          <w:szCs w:val="22"/>
        </w:rPr>
        <w:t>s</w:t>
      </w:r>
      <w:r w:rsidRPr="00EF4855">
        <w:rPr>
          <w:rFonts w:ascii="Arial" w:hAnsi="Arial" w:cs="Arial"/>
          <w:sz w:val="22"/>
          <w:szCs w:val="22"/>
        </w:rPr>
        <w:t xml:space="preserve"> and lapsing schedule and that the ABD and ASMD are committed to a common goal of reconciling the balances per books and conduct fixed asset inventory annually and will cause the submission of a complete inventory report for the s</w:t>
      </w:r>
      <w:r w:rsidR="00BD35EA">
        <w:rPr>
          <w:rFonts w:ascii="Arial" w:hAnsi="Arial" w:cs="Arial"/>
          <w:sz w:val="22"/>
          <w:szCs w:val="22"/>
        </w:rPr>
        <w:t xml:space="preserve">ucceeding years. They also </w:t>
      </w:r>
      <w:r w:rsidRPr="00EF4855">
        <w:rPr>
          <w:rFonts w:ascii="Arial" w:hAnsi="Arial" w:cs="Arial"/>
          <w:sz w:val="22"/>
          <w:szCs w:val="22"/>
        </w:rPr>
        <w:t>informed the Audit Team that during turnover of documents no lapsing schedule was provided, therefore</w:t>
      </w:r>
      <w:r w:rsidR="00B75301">
        <w:rPr>
          <w:rFonts w:ascii="Arial" w:hAnsi="Arial" w:cs="Arial"/>
          <w:sz w:val="22"/>
          <w:szCs w:val="22"/>
        </w:rPr>
        <w:t>,</w:t>
      </w:r>
      <w:r w:rsidRPr="00EF4855">
        <w:rPr>
          <w:rFonts w:ascii="Arial" w:hAnsi="Arial" w:cs="Arial"/>
          <w:sz w:val="22"/>
          <w:szCs w:val="22"/>
        </w:rPr>
        <w:t xml:space="preserve"> the beginning balances </w:t>
      </w:r>
      <w:r w:rsidR="00A34956">
        <w:rPr>
          <w:rFonts w:ascii="Arial" w:hAnsi="Arial" w:cs="Arial"/>
          <w:sz w:val="22"/>
          <w:szCs w:val="22"/>
        </w:rPr>
        <w:t>were</w:t>
      </w:r>
      <w:r w:rsidRPr="00EF4855">
        <w:rPr>
          <w:rFonts w:ascii="Arial" w:hAnsi="Arial" w:cs="Arial"/>
          <w:sz w:val="22"/>
          <w:szCs w:val="22"/>
        </w:rPr>
        <w:t xml:space="preserve"> not accounted</w:t>
      </w:r>
      <w:r w:rsidR="00B75301">
        <w:rPr>
          <w:rFonts w:ascii="Arial" w:hAnsi="Arial" w:cs="Arial"/>
          <w:sz w:val="22"/>
          <w:szCs w:val="22"/>
        </w:rPr>
        <w:t xml:space="preserve"> for </w:t>
      </w:r>
      <w:r w:rsidRPr="00EF4855">
        <w:rPr>
          <w:rFonts w:ascii="Arial" w:hAnsi="Arial" w:cs="Arial"/>
          <w:sz w:val="22"/>
          <w:szCs w:val="22"/>
        </w:rPr>
        <w:t>and despite effort exerted no supporting documents can be found for the CY 2009 and below due to frequent transfers of PCSO office and</w:t>
      </w:r>
      <w:r w:rsidR="00A34956">
        <w:rPr>
          <w:rFonts w:ascii="Arial" w:hAnsi="Arial" w:cs="Arial"/>
          <w:sz w:val="22"/>
          <w:szCs w:val="22"/>
        </w:rPr>
        <w:t xml:space="preserve"> the </w:t>
      </w:r>
      <w:r w:rsidRPr="00EF4855">
        <w:rPr>
          <w:rFonts w:ascii="Arial" w:hAnsi="Arial" w:cs="Arial"/>
          <w:sz w:val="22"/>
          <w:szCs w:val="22"/>
        </w:rPr>
        <w:t>fire incidents that happened in 2007 and 2010</w:t>
      </w:r>
      <w:r w:rsidR="00A34956">
        <w:rPr>
          <w:rFonts w:ascii="Arial" w:hAnsi="Arial" w:cs="Arial"/>
          <w:sz w:val="22"/>
          <w:szCs w:val="22"/>
        </w:rPr>
        <w:t>.  H</w:t>
      </w:r>
      <w:r w:rsidRPr="00EF4855">
        <w:rPr>
          <w:rFonts w:ascii="Arial" w:hAnsi="Arial" w:cs="Arial"/>
          <w:sz w:val="22"/>
          <w:szCs w:val="22"/>
        </w:rPr>
        <w:t>ence, Management is requesting to allow them to record Impairment Loss to be charged to Retained Earnings as adjusting entries to correct the balances of the affected accounts so that the same shall be fairly presented in the financial statements.</w:t>
      </w:r>
    </w:p>
    <w:p w:rsidR="00492B00" w:rsidRPr="00EF4855" w:rsidRDefault="00492B00" w:rsidP="00492B00">
      <w:pPr>
        <w:spacing w:after="0" w:line="240" w:lineRule="auto"/>
        <w:ind w:left="360"/>
        <w:jc w:val="both"/>
        <w:rPr>
          <w:rFonts w:ascii="Arial" w:hAnsi="Arial" w:cs="Arial"/>
        </w:rPr>
      </w:pPr>
    </w:p>
    <w:p w:rsidR="00492B00" w:rsidRPr="00254AAB" w:rsidRDefault="00422BF8" w:rsidP="00DA78B4">
      <w:pPr>
        <w:pStyle w:val="ListParagraph"/>
        <w:numPr>
          <w:ilvl w:val="1"/>
          <w:numId w:val="24"/>
        </w:numPr>
        <w:ind w:left="1440" w:hanging="720"/>
        <w:jc w:val="both"/>
        <w:rPr>
          <w:rFonts w:ascii="Arial" w:hAnsi="Arial" w:cs="Arial"/>
          <w:sz w:val="22"/>
          <w:szCs w:val="22"/>
        </w:rPr>
      </w:pPr>
      <w:r>
        <w:rPr>
          <w:rFonts w:ascii="Arial" w:hAnsi="Arial" w:cs="Arial"/>
          <w:sz w:val="22"/>
          <w:szCs w:val="22"/>
        </w:rPr>
        <w:t xml:space="preserve">As a rejoinder, the Audit </w:t>
      </w:r>
      <w:r w:rsidR="00492B00" w:rsidRPr="00EF4855">
        <w:rPr>
          <w:rFonts w:ascii="Arial" w:hAnsi="Arial" w:cs="Arial"/>
          <w:sz w:val="22"/>
          <w:szCs w:val="22"/>
        </w:rPr>
        <w:t xml:space="preserve">Team </w:t>
      </w:r>
      <w:r w:rsidR="00A34956">
        <w:rPr>
          <w:rFonts w:ascii="Arial" w:hAnsi="Arial" w:cs="Arial"/>
          <w:sz w:val="22"/>
          <w:szCs w:val="22"/>
        </w:rPr>
        <w:t>appreciates the initial action</w:t>
      </w:r>
      <w:r w:rsidR="00810E53">
        <w:rPr>
          <w:rFonts w:ascii="Arial" w:hAnsi="Arial" w:cs="Arial"/>
          <w:sz w:val="22"/>
          <w:szCs w:val="22"/>
        </w:rPr>
        <w:t>s</w:t>
      </w:r>
      <w:r w:rsidR="00A34956">
        <w:rPr>
          <w:rFonts w:ascii="Arial" w:hAnsi="Arial" w:cs="Arial"/>
          <w:sz w:val="22"/>
          <w:szCs w:val="22"/>
        </w:rPr>
        <w:t xml:space="preserve"> taken by Management</w:t>
      </w:r>
      <w:r w:rsidR="00810E53">
        <w:rPr>
          <w:rFonts w:ascii="Arial" w:hAnsi="Arial" w:cs="Arial"/>
          <w:sz w:val="22"/>
          <w:szCs w:val="22"/>
        </w:rPr>
        <w:t xml:space="preserve"> on our recommendations.  H</w:t>
      </w:r>
      <w:r w:rsidR="00793262">
        <w:rPr>
          <w:rFonts w:ascii="Arial" w:hAnsi="Arial" w:cs="Arial"/>
          <w:sz w:val="22"/>
          <w:szCs w:val="22"/>
        </w:rPr>
        <w:t>owever</w:t>
      </w:r>
      <w:r w:rsidR="00810E53">
        <w:rPr>
          <w:rFonts w:ascii="Arial" w:hAnsi="Arial" w:cs="Arial"/>
          <w:sz w:val="22"/>
          <w:szCs w:val="22"/>
        </w:rPr>
        <w:t xml:space="preserve">, on the request to charge to the Retained Earnings account the impairment loss mentioned above, </w:t>
      </w:r>
      <w:r w:rsidR="00793262">
        <w:rPr>
          <w:rFonts w:ascii="Arial" w:hAnsi="Arial" w:cs="Arial"/>
          <w:sz w:val="22"/>
          <w:szCs w:val="22"/>
        </w:rPr>
        <w:t xml:space="preserve">we </w:t>
      </w:r>
      <w:r w:rsidR="00492B00" w:rsidRPr="00EF4855">
        <w:rPr>
          <w:rFonts w:ascii="Arial" w:hAnsi="Arial" w:cs="Arial"/>
          <w:sz w:val="22"/>
          <w:szCs w:val="22"/>
        </w:rPr>
        <w:t xml:space="preserve">would like to </w:t>
      </w:r>
      <w:r w:rsidR="00793262">
        <w:rPr>
          <w:rFonts w:ascii="Arial" w:hAnsi="Arial" w:cs="Arial"/>
          <w:sz w:val="22"/>
          <w:szCs w:val="22"/>
        </w:rPr>
        <w:t xml:space="preserve">emphasize </w:t>
      </w:r>
      <w:r w:rsidR="00810E53">
        <w:rPr>
          <w:rFonts w:ascii="Arial" w:hAnsi="Arial" w:cs="Arial"/>
          <w:sz w:val="22"/>
          <w:szCs w:val="22"/>
        </w:rPr>
        <w:t xml:space="preserve">that </w:t>
      </w:r>
      <w:r w:rsidR="00492B00" w:rsidRPr="00254AAB">
        <w:rPr>
          <w:rFonts w:ascii="Arial" w:hAnsi="Arial" w:cs="Arial"/>
          <w:sz w:val="22"/>
          <w:szCs w:val="22"/>
        </w:rPr>
        <w:t>Section 73 of PD</w:t>
      </w:r>
      <w:r w:rsidR="00A97701">
        <w:rPr>
          <w:rFonts w:ascii="Arial" w:hAnsi="Arial" w:cs="Arial"/>
          <w:sz w:val="22"/>
          <w:szCs w:val="22"/>
        </w:rPr>
        <w:t xml:space="preserve"> No.</w:t>
      </w:r>
      <w:r w:rsidR="00492B00" w:rsidRPr="00254AAB">
        <w:rPr>
          <w:rFonts w:ascii="Arial" w:hAnsi="Arial" w:cs="Arial"/>
          <w:sz w:val="22"/>
          <w:szCs w:val="22"/>
        </w:rPr>
        <w:t xml:space="preserve"> 1445 provides </w:t>
      </w:r>
      <w:r w:rsidR="00793262" w:rsidRPr="00254AAB">
        <w:rPr>
          <w:rFonts w:ascii="Arial" w:hAnsi="Arial" w:cs="Arial"/>
          <w:sz w:val="22"/>
          <w:szCs w:val="22"/>
        </w:rPr>
        <w:t>the</w:t>
      </w:r>
      <w:r w:rsidR="00492B00" w:rsidRPr="00254AAB">
        <w:rPr>
          <w:rFonts w:ascii="Arial" w:hAnsi="Arial" w:cs="Arial"/>
          <w:sz w:val="22"/>
          <w:szCs w:val="22"/>
        </w:rPr>
        <w:t xml:space="preserve"> remedy in case of loss occurring in tran</w:t>
      </w:r>
      <w:r w:rsidR="00254AAB">
        <w:rPr>
          <w:rFonts w:ascii="Arial" w:hAnsi="Arial" w:cs="Arial"/>
          <w:sz w:val="22"/>
          <w:szCs w:val="22"/>
        </w:rPr>
        <w:t>sit or due to casualty or force</w:t>
      </w:r>
      <w:r w:rsidR="00492B00" w:rsidRPr="00254AAB">
        <w:rPr>
          <w:rFonts w:ascii="Arial" w:hAnsi="Arial" w:cs="Arial"/>
          <w:sz w:val="22"/>
          <w:szCs w:val="22"/>
        </w:rPr>
        <w:t xml:space="preserve"> majeure. It </w:t>
      </w:r>
      <w:r w:rsidR="00254AAB">
        <w:rPr>
          <w:rFonts w:ascii="Arial" w:hAnsi="Arial" w:cs="Arial"/>
          <w:sz w:val="22"/>
          <w:szCs w:val="22"/>
        </w:rPr>
        <w:t xml:space="preserve">was provided therein that </w:t>
      </w:r>
      <w:r w:rsidR="00492B00" w:rsidRPr="00254AAB">
        <w:rPr>
          <w:rFonts w:ascii="Arial" w:hAnsi="Arial" w:cs="Arial"/>
          <w:sz w:val="22"/>
          <w:szCs w:val="22"/>
        </w:rPr>
        <w:t>application for relief from accountability should be accompanied by “available supporting evidence” and that credit for the loss contemplated therein shall be allowed only “whenever warranted by the evidence”, and that non-compliance with such requirement is a bar to the gran</w:t>
      </w:r>
      <w:r w:rsidR="00254AAB">
        <w:rPr>
          <w:rFonts w:ascii="Arial" w:hAnsi="Arial" w:cs="Arial"/>
          <w:sz w:val="22"/>
          <w:szCs w:val="22"/>
        </w:rPr>
        <w:t>t of the relief applied for.</w:t>
      </w:r>
    </w:p>
    <w:p w:rsidR="000A6FB0" w:rsidRDefault="000A6FB0" w:rsidP="002C7DBD">
      <w:pPr>
        <w:pStyle w:val="ListParagraph"/>
        <w:ind w:left="360"/>
        <w:jc w:val="both"/>
        <w:rPr>
          <w:rFonts w:ascii="Arial" w:hAnsi="Arial" w:cs="Arial"/>
          <w:b/>
          <w:sz w:val="22"/>
          <w:szCs w:val="22"/>
        </w:rPr>
      </w:pPr>
    </w:p>
    <w:p w:rsidR="00254AAB" w:rsidRPr="0062212A" w:rsidRDefault="00254AAB" w:rsidP="002C7DBD">
      <w:pPr>
        <w:pStyle w:val="ListParagraph"/>
        <w:ind w:left="360"/>
        <w:jc w:val="both"/>
        <w:rPr>
          <w:rFonts w:ascii="Arial" w:hAnsi="Arial" w:cs="Arial"/>
          <w:b/>
          <w:sz w:val="22"/>
          <w:szCs w:val="22"/>
        </w:rPr>
      </w:pPr>
    </w:p>
    <w:p w:rsidR="002C7DBD" w:rsidRPr="00CA00F2" w:rsidRDefault="00CA00F2" w:rsidP="00CA00F2">
      <w:pPr>
        <w:spacing w:after="0" w:line="240" w:lineRule="auto"/>
        <w:ind w:left="720" w:hanging="720"/>
        <w:jc w:val="both"/>
        <w:rPr>
          <w:rFonts w:ascii="Arial" w:hAnsi="Arial" w:cs="Arial"/>
          <w:b/>
        </w:rPr>
      </w:pPr>
      <w:r w:rsidRPr="00CA00F2">
        <w:rPr>
          <w:rFonts w:ascii="Arial" w:hAnsi="Arial" w:cs="Arial"/>
          <w:b/>
        </w:rPr>
        <w:lastRenderedPageBreak/>
        <w:t>10.</w:t>
      </w:r>
      <w:r>
        <w:rPr>
          <w:rFonts w:ascii="Arial" w:hAnsi="Arial" w:cs="Arial"/>
          <w:b/>
        </w:rPr>
        <w:t xml:space="preserve"> </w:t>
      </w:r>
      <w:r>
        <w:rPr>
          <w:rFonts w:ascii="Arial" w:hAnsi="Arial" w:cs="Arial"/>
          <w:b/>
        </w:rPr>
        <w:tab/>
      </w:r>
      <w:r w:rsidR="002C7DBD" w:rsidRPr="00CA00F2">
        <w:rPr>
          <w:rFonts w:ascii="Arial" w:hAnsi="Arial" w:cs="Arial"/>
          <w:b/>
        </w:rPr>
        <w:t>The</w:t>
      </w:r>
      <w:r w:rsidR="00254AAB" w:rsidRPr="00CA00F2">
        <w:rPr>
          <w:rFonts w:ascii="Arial" w:hAnsi="Arial" w:cs="Arial"/>
          <w:b/>
        </w:rPr>
        <w:t xml:space="preserve"> fairness of presentation in the financial statements of the </w:t>
      </w:r>
      <w:r w:rsidR="002C7DBD" w:rsidRPr="00CA00F2">
        <w:rPr>
          <w:rFonts w:ascii="Arial" w:hAnsi="Arial" w:cs="Arial"/>
          <w:b/>
        </w:rPr>
        <w:t xml:space="preserve">balances of </w:t>
      </w:r>
      <w:r w:rsidR="00254AAB" w:rsidRPr="00CA00F2">
        <w:rPr>
          <w:rFonts w:ascii="Arial" w:hAnsi="Arial" w:cs="Arial"/>
          <w:b/>
        </w:rPr>
        <w:t xml:space="preserve">the </w:t>
      </w:r>
      <w:r w:rsidR="002C7DBD" w:rsidRPr="00CA00F2">
        <w:rPr>
          <w:rFonts w:ascii="Arial" w:hAnsi="Arial" w:cs="Arial"/>
          <w:b/>
        </w:rPr>
        <w:t>Other Assets-Other Deposits (POSC/PGMC) ac</w:t>
      </w:r>
      <w:r w:rsidR="00254AAB" w:rsidRPr="00CA00F2">
        <w:rPr>
          <w:rFonts w:ascii="Arial" w:hAnsi="Arial" w:cs="Arial"/>
          <w:b/>
        </w:rPr>
        <w:t>counts in the total amount of</w:t>
      </w:r>
      <w:r w:rsidR="002C7DBD" w:rsidRPr="00CA00F2">
        <w:rPr>
          <w:rFonts w:ascii="Arial" w:hAnsi="Arial" w:cs="Arial"/>
          <w:b/>
        </w:rPr>
        <w:t xml:space="preserve"> P6</w:t>
      </w:r>
      <w:r w:rsidR="006A1FCE" w:rsidRPr="00CA00F2">
        <w:rPr>
          <w:rFonts w:ascii="Arial" w:hAnsi="Arial" w:cs="Arial"/>
          <w:b/>
        </w:rPr>
        <w:t>.</w:t>
      </w:r>
      <w:r w:rsidR="002C7DBD" w:rsidRPr="00CA00F2">
        <w:rPr>
          <w:rFonts w:ascii="Arial" w:hAnsi="Arial" w:cs="Arial"/>
          <w:b/>
        </w:rPr>
        <w:t>643</w:t>
      </w:r>
      <w:r w:rsidR="006A1FCE" w:rsidRPr="00CA00F2">
        <w:rPr>
          <w:rFonts w:ascii="Arial" w:hAnsi="Arial" w:cs="Arial"/>
          <w:b/>
        </w:rPr>
        <w:t xml:space="preserve"> million</w:t>
      </w:r>
      <w:r w:rsidR="002C7DBD" w:rsidRPr="00CA00F2">
        <w:rPr>
          <w:rFonts w:ascii="Arial" w:hAnsi="Arial" w:cs="Arial"/>
          <w:b/>
        </w:rPr>
        <w:t xml:space="preserve"> as of December 31, 2018 </w:t>
      </w:r>
      <w:r w:rsidR="00972BD6" w:rsidRPr="00CA00F2">
        <w:rPr>
          <w:rFonts w:ascii="Arial" w:hAnsi="Arial" w:cs="Arial"/>
          <w:b/>
        </w:rPr>
        <w:t>was</w:t>
      </w:r>
      <w:r w:rsidR="002C7DBD" w:rsidRPr="00CA00F2">
        <w:rPr>
          <w:rFonts w:ascii="Arial" w:hAnsi="Arial" w:cs="Arial"/>
          <w:b/>
        </w:rPr>
        <w:t xml:space="preserve"> doubtful due to</w:t>
      </w:r>
      <w:r w:rsidR="00A97701" w:rsidRPr="00CA00F2">
        <w:rPr>
          <w:rFonts w:ascii="Arial" w:hAnsi="Arial" w:cs="Arial"/>
          <w:b/>
        </w:rPr>
        <w:t xml:space="preserve">:      </w:t>
      </w:r>
      <w:r w:rsidR="002C7DBD" w:rsidRPr="00CA00F2">
        <w:rPr>
          <w:rFonts w:ascii="Arial" w:hAnsi="Arial" w:cs="Arial"/>
          <w:b/>
        </w:rPr>
        <w:t xml:space="preserve"> (a) variance of P2</w:t>
      </w:r>
      <w:r w:rsidR="006A1FCE" w:rsidRPr="00CA00F2">
        <w:rPr>
          <w:rFonts w:ascii="Arial" w:hAnsi="Arial" w:cs="Arial"/>
          <w:b/>
        </w:rPr>
        <w:t>.</w:t>
      </w:r>
      <w:r w:rsidR="002C7DBD" w:rsidRPr="00CA00F2">
        <w:rPr>
          <w:rFonts w:ascii="Arial" w:hAnsi="Arial" w:cs="Arial"/>
          <w:b/>
        </w:rPr>
        <w:t>531</w:t>
      </w:r>
      <w:r w:rsidR="006A1FCE" w:rsidRPr="00CA00F2">
        <w:rPr>
          <w:rFonts w:ascii="Arial" w:hAnsi="Arial" w:cs="Arial"/>
          <w:b/>
        </w:rPr>
        <w:t xml:space="preserve"> million</w:t>
      </w:r>
      <w:r w:rsidR="002C7DBD" w:rsidRPr="00CA00F2">
        <w:rPr>
          <w:rFonts w:ascii="Arial" w:hAnsi="Arial" w:cs="Arial"/>
          <w:b/>
        </w:rPr>
        <w:t xml:space="preserve"> between the balances confirmed by </w:t>
      </w:r>
      <w:r w:rsidR="00254AAB" w:rsidRPr="00CA00F2">
        <w:rPr>
          <w:rFonts w:ascii="Arial" w:hAnsi="Arial" w:cs="Arial"/>
          <w:b/>
        </w:rPr>
        <w:t xml:space="preserve">the </w:t>
      </w:r>
      <w:r w:rsidR="002C7DBD" w:rsidRPr="00CA00F2">
        <w:rPr>
          <w:rFonts w:ascii="Arial" w:hAnsi="Arial" w:cs="Arial"/>
          <w:b/>
        </w:rPr>
        <w:t xml:space="preserve">PNB and </w:t>
      </w:r>
      <w:r w:rsidR="00254AAB" w:rsidRPr="00CA00F2">
        <w:rPr>
          <w:rFonts w:ascii="Arial" w:hAnsi="Arial" w:cs="Arial"/>
          <w:b/>
        </w:rPr>
        <w:t>the balances per books of the said accounts;</w:t>
      </w:r>
      <w:r w:rsidR="002C7DBD" w:rsidRPr="00CA00F2">
        <w:rPr>
          <w:rFonts w:ascii="Arial" w:hAnsi="Arial" w:cs="Arial"/>
          <w:b/>
        </w:rPr>
        <w:t xml:space="preserve"> and (b) non-preparation of the Bank Reconciliation Statemen</w:t>
      </w:r>
      <w:r w:rsidR="00254AAB" w:rsidRPr="00CA00F2">
        <w:rPr>
          <w:rFonts w:ascii="Arial" w:hAnsi="Arial" w:cs="Arial"/>
          <w:b/>
        </w:rPr>
        <w:t xml:space="preserve">ts (BRSs) for the subject </w:t>
      </w:r>
      <w:r w:rsidR="002C7DBD" w:rsidRPr="00CA00F2">
        <w:rPr>
          <w:rFonts w:ascii="Arial" w:hAnsi="Arial" w:cs="Arial"/>
          <w:b/>
        </w:rPr>
        <w:t>bank accounts.</w:t>
      </w:r>
    </w:p>
    <w:p w:rsidR="002C7DBD" w:rsidRPr="0062212A" w:rsidRDefault="002C7DBD" w:rsidP="002C7DBD">
      <w:pPr>
        <w:pStyle w:val="ListParagraph"/>
        <w:ind w:left="732"/>
        <w:rPr>
          <w:rFonts w:ascii="Arial" w:hAnsi="Arial" w:cs="Arial"/>
          <w:sz w:val="22"/>
          <w:szCs w:val="22"/>
        </w:rPr>
      </w:pPr>
    </w:p>
    <w:p w:rsidR="00B75301" w:rsidRPr="00B75301" w:rsidRDefault="00B75301" w:rsidP="00DA78B4">
      <w:pPr>
        <w:pStyle w:val="ListParagraph"/>
        <w:numPr>
          <w:ilvl w:val="0"/>
          <w:numId w:val="1"/>
        </w:numPr>
        <w:jc w:val="both"/>
        <w:rPr>
          <w:rFonts w:ascii="Arial" w:hAnsi="Arial" w:cs="Arial"/>
          <w:vanish/>
          <w:sz w:val="22"/>
          <w:szCs w:val="22"/>
        </w:rPr>
      </w:pPr>
    </w:p>
    <w:p w:rsidR="002C7DBD" w:rsidRPr="00CA00F2" w:rsidRDefault="002C7DBD" w:rsidP="00DA78B4">
      <w:pPr>
        <w:pStyle w:val="ListParagraph"/>
        <w:numPr>
          <w:ilvl w:val="1"/>
          <w:numId w:val="25"/>
        </w:numPr>
        <w:tabs>
          <w:tab w:val="left" w:pos="1440"/>
        </w:tabs>
        <w:ind w:left="1440" w:hanging="720"/>
        <w:jc w:val="both"/>
        <w:rPr>
          <w:rFonts w:ascii="Arial" w:hAnsi="Arial" w:cs="Arial"/>
          <w:sz w:val="22"/>
          <w:szCs w:val="22"/>
        </w:rPr>
      </w:pPr>
      <w:r w:rsidRPr="00CA00F2">
        <w:rPr>
          <w:rFonts w:ascii="Arial" w:hAnsi="Arial" w:cs="Arial"/>
          <w:sz w:val="22"/>
          <w:szCs w:val="22"/>
        </w:rPr>
        <w:t>Verification disclosed that a Memorandum of Agreement (MOA) was entered into by PCSO with the Pacific Online System Corporation (POSC) and Philippine Gaming Management Corporation (PGMC) in 2009, whereby PCSO agreed to grant to POSC and PGMC the right to sell and distribute instant game tickets nationwide for seven (7) years, subject to the conditions provided in the said MOA. In line with the implementation of the MOA, both POSC and PGMC remitted to PCSO the amount of P5 Million each as Seed Prize Fund.</w:t>
      </w:r>
    </w:p>
    <w:p w:rsidR="002C7DBD" w:rsidRPr="00EF4855" w:rsidRDefault="002C7DBD" w:rsidP="002C7DBD">
      <w:pPr>
        <w:pStyle w:val="NoSpacing"/>
        <w:ind w:left="1080" w:right="-138"/>
        <w:jc w:val="both"/>
        <w:rPr>
          <w:rFonts w:ascii="Arial" w:hAnsi="Arial" w:cs="Arial"/>
        </w:rPr>
      </w:pPr>
    </w:p>
    <w:p w:rsidR="002C7DBD" w:rsidRPr="00EF4855" w:rsidRDefault="002C7DBD" w:rsidP="00DA78B4">
      <w:pPr>
        <w:pStyle w:val="ListParagraph"/>
        <w:numPr>
          <w:ilvl w:val="1"/>
          <w:numId w:val="25"/>
        </w:numPr>
        <w:ind w:left="1440" w:hanging="720"/>
        <w:jc w:val="both"/>
        <w:rPr>
          <w:rFonts w:ascii="Arial" w:hAnsi="Arial" w:cs="Arial"/>
          <w:sz w:val="22"/>
          <w:szCs w:val="22"/>
        </w:rPr>
      </w:pPr>
      <w:r w:rsidRPr="00EF4855">
        <w:rPr>
          <w:rFonts w:ascii="Arial" w:hAnsi="Arial" w:cs="Arial"/>
          <w:sz w:val="22"/>
          <w:szCs w:val="22"/>
        </w:rPr>
        <w:t>Accordingly, PCSO opened and maintained Seed Prize Fund (SPF) account under PNB checking account nos. 374428800013 and 374441700012 for POSC a</w:t>
      </w:r>
      <w:r w:rsidR="00E23E95">
        <w:rPr>
          <w:rFonts w:ascii="Arial" w:hAnsi="Arial" w:cs="Arial"/>
          <w:sz w:val="22"/>
          <w:szCs w:val="22"/>
        </w:rPr>
        <w:t>nd PGMC, respectively, which were</w:t>
      </w:r>
      <w:r w:rsidRPr="00EF4855">
        <w:rPr>
          <w:rFonts w:ascii="Arial" w:hAnsi="Arial" w:cs="Arial"/>
          <w:sz w:val="22"/>
          <w:szCs w:val="22"/>
        </w:rPr>
        <w:t xml:space="preserve"> managed by the Treasury Department of the PCSO.  Said bank accounts were reflected in the PCSO’s books under Other Assets (OA) – Other Deposits – POSC and Other Assets – Other Deposits – PGMC accounts. High prize payments were charged to this account and were subsequently replenished by POSC/PGMC. </w:t>
      </w:r>
    </w:p>
    <w:p w:rsidR="002C7DBD" w:rsidRPr="00EF4855" w:rsidRDefault="002C7DBD" w:rsidP="002C7DBD">
      <w:pPr>
        <w:pStyle w:val="NoSpacing"/>
        <w:tabs>
          <w:tab w:val="left" w:pos="2424"/>
        </w:tabs>
        <w:ind w:left="1080" w:right="-138" w:firstLine="1350"/>
        <w:jc w:val="both"/>
        <w:rPr>
          <w:rFonts w:ascii="Arial" w:hAnsi="Arial" w:cs="Arial"/>
        </w:rPr>
      </w:pPr>
    </w:p>
    <w:p w:rsidR="002C7DBD" w:rsidRPr="00EF4855" w:rsidRDefault="002C7DBD" w:rsidP="00DA78B4">
      <w:pPr>
        <w:pStyle w:val="ListParagraph"/>
        <w:numPr>
          <w:ilvl w:val="1"/>
          <w:numId w:val="25"/>
        </w:numPr>
        <w:ind w:left="1440" w:hanging="720"/>
        <w:jc w:val="both"/>
        <w:rPr>
          <w:rFonts w:ascii="Arial" w:eastAsia="Calibri" w:hAnsi="Arial" w:cs="Arial"/>
          <w:sz w:val="22"/>
          <w:szCs w:val="22"/>
          <w:lang w:val="en-PH"/>
        </w:rPr>
      </w:pPr>
      <w:r w:rsidRPr="00D208BF">
        <w:rPr>
          <w:rFonts w:ascii="Arial" w:hAnsi="Arial" w:cs="Arial"/>
          <w:sz w:val="22"/>
          <w:szCs w:val="22"/>
        </w:rPr>
        <w:t>Results</w:t>
      </w:r>
      <w:r w:rsidRPr="00EF4855">
        <w:rPr>
          <w:rFonts w:ascii="Arial" w:hAnsi="Arial" w:cs="Arial"/>
          <w:sz w:val="22"/>
          <w:szCs w:val="22"/>
          <w:lang w:val="en-PH"/>
        </w:rPr>
        <w:t xml:space="preserve"> of bank confirmation of the balances of </w:t>
      </w:r>
      <w:r w:rsidRPr="00EF4855">
        <w:rPr>
          <w:rFonts w:ascii="Arial" w:hAnsi="Arial" w:cs="Arial"/>
          <w:sz w:val="22"/>
          <w:szCs w:val="22"/>
        </w:rPr>
        <w:t>PNB checking account nos. 374428800013 and 374441700012 as of December 31, 2018, recorded under the Other Asset-Other Deposits-POSC and Other Asset-Other Deposits-PGMC accounts, respectively, di</w:t>
      </w:r>
      <w:r w:rsidR="006A1FCE" w:rsidRPr="00EF4855">
        <w:rPr>
          <w:rFonts w:ascii="Arial" w:hAnsi="Arial" w:cs="Arial"/>
          <w:sz w:val="22"/>
          <w:szCs w:val="22"/>
        </w:rPr>
        <w:t>sclosed a net discrepancy of P2.</w:t>
      </w:r>
      <w:r w:rsidRPr="00EF4855">
        <w:rPr>
          <w:rFonts w:ascii="Arial" w:hAnsi="Arial" w:cs="Arial"/>
          <w:sz w:val="22"/>
          <w:szCs w:val="22"/>
        </w:rPr>
        <w:t>531</w:t>
      </w:r>
      <w:r w:rsidR="006A1FCE" w:rsidRPr="00EF4855">
        <w:rPr>
          <w:rFonts w:ascii="Arial" w:hAnsi="Arial" w:cs="Arial"/>
          <w:sz w:val="22"/>
          <w:szCs w:val="22"/>
        </w:rPr>
        <w:t xml:space="preserve"> million</w:t>
      </w:r>
      <w:r w:rsidRPr="00EF4855">
        <w:rPr>
          <w:rFonts w:ascii="Arial" w:hAnsi="Arial" w:cs="Arial"/>
          <w:sz w:val="22"/>
          <w:szCs w:val="22"/>
        </w:rPr>
        <w:t xml:space="preserve"> when compared with the balances per books of the said accounts as of the same date, as presented </w:t>
      </w:r>
      <w:r w:rsidR="00A97701">
        <w:rPr>
          <w:rFonts w:ascii="Arial" w:hAnsi="Arial" w:cs="Arial"/>
          <w:sz w:val="22"/>
          <w:szCs w:val="22"/>
        </w:rPr>
        <w:t xml:space="preserve">                 </w:t>
      </w:r>
      <w:r w:rsidRPr="00EF4855">
        <w:rPr>
          <w:rFonts w:ascii="Arial" w:hAnsi="Arial" w:cs="Arial"/>
          <w:sz w:val="22"/>
          <w:szCs w:val="22"/>
        </w:rPr>
        <w:t xml:space="preserve">in Table </w:t>
      </w:r>
      <w:r w:rsidR="00867479">
        <w:rPr>
          <w:rFonts w:ascii="Arial" w:hAnsi="Arial" w:cs="Arial"/>
          <w:sz w:val="22"/>
          <w:szCs w:val="22"/>
        </w:rPr>
        <w:t>1</w:t>
      </w:r>
      <w:r w:rsidR="00CA00F2">
        <w:rPr>
          <w:rFonts w:ascii="Arial" w:hAnsi="Arial" w:cs="Arial"/>
          <w:sz w:val="22"/>
          <w:szCs w:val="22"/>
        </w:rPr>
        <w:t>0</w:t>
      </w:r>
      <w:r w:rsidR="00A97701">
        <w:rPr>
          <w:rFonts w:ascii="Arial" w:hAnsi="Arial" w:cs="Arial"/>
          <w:sz w:val="22"/>
          <w:szCs w:val="22"/>
        </w:rPr>
        <w:t>.</w:t>
      </w:r>
    </w:p>
    <w:p w:rsidR="002C7DBD" w:rsidRDefault="002C7DBD" w:rsidP="002C7DBD">
      <w:pPr>
        <w:pStyle w:val="Subtitle"/>
        <w:ind w:left="1080" w:right="-138"/>
        <w:jc w:val="both"/>
        <w:rPr>
          <w:rFonts w:ascii="Arial" w:eastAsia="Calibri" w:hAnsi="Arial" w:cs="Arial"/>
          <w:b w:val="0"/>
          <w:sz w:val="20"/>
          <w:lang w:val="en-PH" w:eastAsia="en-US"/>
        </w:rPr>
      </w:pPr>
    </w:p>
    <w:p w:rsidR="00432DA9" w:rsidRDefault="002C7DBD" w:rsidP="002C7DBD">
      <w:pPr>
        <w:pStyle w:val="NoSpacing"/>
        <w:ind w:left="1350" w:right="-138"/>
        <w:jc w:val="center"/>
        <w:rPr>
          <w:rFonts w:ascii="Arial" w:hAnsi="Arial" w:cs="Arial"/>
          <w:b/>
          <w:sz w:val="20"/>
          <w:szCs w:val="20"/>
        </w:rPr>
      </w:pPr>
      <w:r w:rsidRPr="00E23E95">
        <w:rPr>
          <w:rFonts w:ascii="Arial" w:hAnsi="Arial" w:cs="Arial"/>
          <w:b/>
          <w:sz w:val="20"/>
          <w:szCs w:val="20"/>
        </w:rPr>
        <w:t xml:space="preserve">Table </w:t>
      </w:r>
      <w:r w:rsidR="00867479" w:rsidRPr="00E23E95">
        <w:rPr>
          <w:rFonts w:ascii="Arial" w:hAnsi="Arial" w:cs="Arial"/>
          <w:b/>
          <w:sz w:val="20"/>
          <w:szCs w:val="20"/>
        </w:rPr>
        <w:t>1</w:t>
      </w:r>
      <w:r w:rsidR="00CA00F2">
        <w:rPr>
          <w:rFonts w:ascii="Arial" w:hAnsi="Arial" w:cs="Arial"/>
          <w:b/>
          <w:sz w:val="20"/>
          <w:szCs w:val="20"/>
        </w:rPr>
        <w:t>0</w:t>
      </w:r>
      <w:r w:rsidR="00867479" w:rsidRPr="00E23E95">
        <w:rPr>
          <w:rFonts w:ascii="Arial" w:hAnsi="Arial" w:cs="Arial"/>
          <w:b/>
          <w:sz w:val="20"/>
          <w:szCs w:val="20"/>
        </w:rPr>
        <w:t xml:space="preserve"> </w:t>
      </w:r>
      <w:r w:rsidRPr="00E23E95">
        <w:rPr>
          <w:rFonts w:ascii="Arial" w:hAnsi="Arial" w:cs="Arial"/>
          <w:b/>
          <w:sz w:val="20"/>
          <w:szCs w:val="20"/>
        </w:rPr>
        <w:t>- Comparison of book and confirmed bank balances</w:t>
      </w:r>
      <w:r w:rsidR="00A31860" w:rsidRPr="00E23E95">
        <w:rPr>
          <w:rFonts w:ascii="Arial" w:hAnsi="Arial" w:cs="Arial"/>
          <w:b/>
          <w:sz w:val="20"/>
          <w:szCs w:val="20"/>
        </w:rPr>
        <w:t xml:space="preserve"> </w:t>
      </w:r>
    </w:p>
    <w:p w:rsidR="002C7DBD" w:rsidRPr="00E23E95" w:rsidRDefault="00A31860" w:rsidP="002C7DBD">
      <w:pPr>
        <w:pStyle w:val="NoSpacing"/>
        <w:ind w:left="1350" w:right="-138"/>
        <w:jc w:val="center"/>
        <w:rPr>
          <w:rFonts w:ascii="Arial" w:hAnsi="Arial" w:cs="Arial"/>
          <w:b/>
          <w:sz w:val="20"/>
          <w:szCs w:val="20"/>
        </w:rPr>
      </w:pPr>
      <w:r w:rsidRPr="00E23E95">
        <w:rPr>
          <w:rFonts w:ascii="Arial" w:hAnsi="Arial" w:cs="Arial"/>
          <w:b/>
          <w:sz w:val="20"/>
          <w:szCs w:val="20"/>
        </w:rPr>
        <w:t>as of December 31, 2018</w:t>
      </w:r>
    </w:p>
    <w:p w:rsidR="002C7DBD" w:rsidRPr="00E23E95" w:rsidRDefault="002C7DBD" w:rsidP="002C7DBD">
      <w:pPr>
        <w:pStyle w:val="NoSpacing"/>
        <w:ind w:left="1350" w:right="-138"/>
        <w:jc w:val="center"/>
        <w:rPr>
          <w:rFonts w:ascii="Arial" w:hAnsi="Arial" w:cs="Arial"/>
          <w:sz w:val="20"/>
          <w:szCs w:val="20"/>
        </w:rPr>
      </w:pPr>
    </w:p>
    <w:tbl>
      <w:tblPr>
        <w:tblStyle w:val="TableGrid"/>
        <w:tblW w:w="0" w:type="auto"/>
        <w:tblInd w:w="13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6"/>
        <w:gridCol w:w="1698"/>
        <w:gridCol w:w="1698"/>
        <w:gridCol w:w="1698"/>
      </w:tblGrid>
      <w:tr w:rsidR="002C7DBD" w:rsidRPr="00E23E95" w:rsidTr="00651F30">
        <w:tc>
          <w:tcPr>
            <w:tcW w:w="2186" w:type="dxa"/>
            <w:tcBorders>
              <w:top w:val="single" w:sz="4" w:space="0" w:color="auto"/>
              <w:bottom w:val="single" w:sz="4" w:space="0" w:color="auto"/>
            </w:tcBorders>
          </w:tcPr>
          <w:p w:rsidR="002C7DBD" w:rsidRPr="00A97701" w:rsidRDefault="002C7DBD" w:rsidP="00A97701">
            <w:pPr>
              <w:pStyle w:val="NoSpacing"/>
              <w:ind w:right="-138" w:hanging="90"/>
              <w:rPr>
                <w:rFonts w:ascii="Arial Narrow" w:hAnsi="Arial Narrow" w:cs="Arial"/>
                <w:b/>
                <w:sz w:val="20"/>
                <w:szCs w:val="20"/>
              </w:rPr>
            </w:pPr>
            <w:r w:rsidRPr="00A97701">
              <w:rPr>
                <w:rFonts w:ascii="Arial Narrow" w:hAnsi="Arial Narrow" w:cs="Arial"/>
                <w:b/>
                <w:sz w:val="20"/>
                <w:szCs w:val="20"/>
              </w:rPr>
              <w:t>Particulars</w:t>
            </w:r>
          </w:p>
        </w:tc>
        <w:tc>
          <w:tcPr>
            <w:tcW w:w="1698" w:type="dxa"/>
            <w:tcBorders>
              <w:top w:val="single" w:sz="4" w:space="0" w:color="auto"/>
              <w:bottom w:val="single" w:sz="4" w:space="0" w:color="auto"/>
            </w:tcBorders>
          </w:tcPr>
          <w:p w:rsidR="002C7DBD" w:rsidRPr="00A97701" w:rsidRDefault="002C7DBD" w:rsidP="00651F30">
            <w:pPr>
              <w:pStyle w:val="NoSpacing"/>
              <w:ind w:right="-138"/>
              <w:jc w:val="center"/>
              <w:rPr>
                <w:rFonts w:ascii="Arial Narrow" w:hAnsi="Arial Narrow" w:cs="Arial"/>
                <w:b/>
                <w:sz w:val="20"/>
                <w:szCs w:val="20"/>
              </w:rPr>
            </w:pPr>
            <w:r w:rsidRPr="00A97701">
              <w:rPr>
                <w:rFonts w:ascii="Arial Narrow" w:hAnsi="Arial Narrow" w:cs="Arial"/>
                <w:b/>
                <w:sz w:val="20"/>
                <w:szCs w:val="20"/>
              </w:rPr>
              <w:t>OA-OD–POSC</w:t>
            </w:r>
          </w:p>
        </w:tc>
        <w:tc>
          <w:tcPr>
            <w:tcW w:w="1698" w:type="dxa"/>
            <w:tcBorders>
              <w:top w:val="single" w:sz="4" w:space="0" w:color="auto"/>
              <w:bottom w:val="single" w:sz="4" w:space="0" w:color="auto"/>
            </w:tcBorders>
          </w:tcPr>
          <w:p w:rsidR="002C7DBD" w:rsidRPr="00A97701" w:rsidRDefault="002C7DBD" w:rsidP="00651F30">
            <w:pPr>
              <w:pStyle w:val="NoSpacing"/>
              <w:ind w:right="-138"/>
              <w:jc w:val="center"/>
              <w:rPr>
                <w:rFonts w:ascii="Arial Narrow" w:hAnsi="Arial Narrow" w:cs="Arial"/>
                <w:b/>
                <w:sz w:val="20"/>
                <w:szCs w:val="20"/>
              </w:rPr>
            </w:pPr>
            <w:r w:rsidRPr="00A97701">
              <w:rPr>
                <w:rFonts w:ascii="Arial Narrow" w:hAnsi="Arial Narrow" w:cs="Arial"/>
                <w:b/>
                <w:sz w:val="20"/>
                <w:szCs w:val="20"/>
              </w:rPr>
              <w:t>OA-OD–POSC</w:t>
            </w:r>
          </w:p>
        </w:tc>
        <w:tc>
          <w:tcPr>
            <w:tcW w:w="1698" w:type="dxa"/>
            <w:tcBorders>
              <w:top w:val="single" w:sz="4" w:space="0" w:color="auto"/>
              <w:bottom w:val="single" w:sz="4" w:space="0" w:color="auto"/>
            </w:tcBorders>
          </w:tcPr>
          <w:p w:rsidR="002C7DBD" w:rsidRPr="00A97701" w:rsidRDefault="00A97701" w:rsidP="00A97701">
            <w:pPr>
              <w:pStyle w:val="NoSpacing"/>
              <w:ind w:right="-46"/>
              <w:jc w:val="right"/>
              <w:rPr>
                <w:rFonts w:ascii="Arial Narrow" w:hAnsi="Arial Narrow" w:cs="Arial"/>
                <w:b/>
                <w:sz w:val="20"/>
                <w:szCs w:val="20"/>
              </w:rPr>
            </w:pPr>
            <w:r>
              <w:rPr>
                <w:rFonts w:ascii="Arial Narrow" w:hAnsi="Arial Narrow" w:cs="Arial"/>
                <w:b/>
                <w:sz w:val="20"/>
                <w:szCs w:val="20"/>
              </w:rPr>
              <w:t>Total</w:t>
            </w:r>
          </w:p>
        </w:tc>
      </w:tr>
      <w:tr w:rsidR="002C7DBD" w:rsidRPr="00E23E95" w:rsidTr="00651F30">
        <w:tc>
          <w:tcPr>
            <w:tcW w:w="2186" w:type="dxa"/>
            <w:tcBorders>
              <w:top w:val="single" w:sz="4" w:space="0" w:color="auto"/>
            </w:tcBorders>
          </w:tcPr>
          <w:p w:rsidR="002C7DBD" w:rsidRPr="00A97701" w:rsidRDefault="002C7DBD" w:rsidP="00A97701">
            <w:pPr>
              <w:pStyle w:val="NoSpacing"/>
              <w:ind w:right="-138" w:hanging="90"/>
              <w:rPr>
                <w:rFonts w:ascii="Arial Narrow" w:hAnsi="Arial Narrow" w:cs="Arial"/>
                <w:sz w:val="20"/>
                <w:szCs w:val="20"/>
              </w:rPr>
            </w:pPr>
            <w:r w:rsidRPr="00A97701">
              <w:rPr>
                <w:rFonts w:ascii="Arial Narrow" w:hAnsi="Arial Narrow" w:cs="Arial"/>
                <w:sz w:val="20"/>
                <w:szCs w:val="20"/>
              </w:rPr>
              <w:t xml:space="preserve">Balance per book, </w:t>
            </w:r>
          </w:p>
        </w:tc>
        <w:tc>
          <w:tcPr>
            <w:tcW w:w="1698" w:type="dxa"/>
            <w:tcBorders>
              <w:top w:val="single" w:sz="4" w:space="0" w:color="auto"/>
            </w:tcBorders>
          </w:tcPr>
          <w:p w:rsidR="002C7DBD" w:rsidRPr="00A97701" w:rsidRDefault="002C7DBD" w:rsidP="00651F30">
            <w:pPr>
              <w:pStyle w:val="NoSpacing"/>
              <w:ind w:right="-138"/>
              <w:jc w:val="center"/>
              <w:rPr>
                <w:rFonts w:ascii="Arial Narrow" w:hAnsi="Arial Narrow" w:cs="Arial"/>
                <w:sz w:val="20"/>
                <w:szCs w:val="20"/>
              </w:rPr>
            </w:pPr>
            <w:r w:rsidRPr="00A97701">
              <w:rPr>
                <w:rFonts w:ascii="Arial Narrow" w:hAnsi="Arial Narrow" w:cs="Arial"/>
                <w:sz w:val="20"/>
                <w:szCs w:val="20"/>
              </w:rPr>
              <w:t xml:space="preserve">P6,556,384.60         </w:t>
            </w:r>
          </w:p>
        </w:tc>
        <w:tc>
          <w:tcPr>
            <w:tcW w:w="1698" w:type="dxa"/>
            <w:tcBorders>
              <w:top w:val="single" w:sz="4" w:space="0" w:color="auto"/>
            </w:tcBorders>
          </w:tcPr>
          <w:p w:rsidR="002C7DBD" w:rsidRPr="00A97701" w:rsidRDefault="002C7DBD" w:rsidP="00651F30">
            <w:pPr>
              <w:pStyle w:val="NoSpacing"/>
              <w:ind w:right="-138"/>
              <w:jc w:val="center"/>
              <w:rPr>
                <w:rFonts w:ascii="Arial Narrow" w:hAnsi="Arial Narrow" w:cs="Arial"/>
                <w:sz w:val="20"/>
                <w:szCs w:val="20"/>
              </w:rPr>
            </w:pPr>
            <w:r w:rsidRPr="00A97701">
              <w:rPr>
                <w:rFonts w:ascii="Arial Narrow" w:hAnsi="Arial Narrow" w:cs="Arial"/>
                <w:sz w:val="20"/>
                <w:szCs w:val="20"/>
              </w:rPr>
              <w:t xml:space="preserve">P      87,190.00    </w:t>
            </w:r>
          </w:p>
        </w:tc>
        <w:tc>
          <w:tcPr>
            <w:tcW w:w="1698" w:type="dxa"/>
            <w:tcBorders>
              <w:top w:val="single" w:sz="4" w:space="0" w:color="auto"/>
            </w:tcBorders>
          </w:tcPr>
          <w:p w:rsidR="002C7DBD" w:rsidRPr="00A97701" w:rsidRDefault="002C7DBD" w:rsidP="00A97701">
            <w:pPr>
              <w:pStyle w:val="NoSpacing"/>
              <w:ind w:right="-46"/>
              <w:jc w:val="right"/>
              <w:rPr>
                <w:rFonts w:ascii="Arial Narrow" w:hAnsi="Arial Narrow" w:cs="Arial"/>
                <w:sz w:val="20"/>
                <w:szCs w:val="20"/>
              </w:rPr>
            </w:pPr>
            <w:r w:rsidRPr="00A97701">
              <w:rPr>
                <w:rFonts w:ascii="Arial Narrow" w:hAnsi="Arial Narrow" w:cs="Arial"/>
                <w:sz w:val="20"/>
                <w:szCs w:val="20"/>
              </w:rPr>
              <w:t>P6,643,574.60</w:t>
            </w:r>
          </w:p>
        </w:tc>
      </w:tr>
      <w:tr w:rsidR="002C7DBD" w:rsidRPr="00E23E95" w:rsidTr="00651F30">
        <w:tc>
          <w:tcPr>
            <w:tcW w:w="2186" w:type="dxa"/>
            <w:tcBorders>
              <w:bottom w:val="single" w:sz="4" w:space="0" w:color="auto"/>
            </w:tcBorders>
          </w:tcPr>
          <w:p w:rsidR="002C7DBD" w:rsidRPr="00A97701" w:rsidRDefault="002C7DBD" w:rsidP="00A97701">
            <w:pPr>
              <w:pStyle w:val="NoSpacing"/>
              <w:ind w:right="-138" w:hanging="90"/>
              <w:rPr>
                <w:rFonts w:ascii="Arial Narrow" w:hAnsi="Arial Narrow" w:cs="Arial"/>
                <w:sz w:val="20"/>
                <w:szCs w:val="20"/>
              </w:rPr>
            </w:pPr>
            <w:r w:rsidRPr="00A97701">
              <w:rPr>
                <w:rFonts w:ascii="Arial Narrow" w:hAnsi="Arial Narrow" w:cs="Arial"/>
                <w:sz w:val="20"/>
                <w:szCs w:val="20"/>
              </w:rPr>
              <w:t>Balance per bank</w:t>
            </w:r>
          </w:p>
        </w:tc>
        <w:tc>
          <w:tcPr>
            <w:tcW w:w="1698" w:type="dxa"/>
            <w:tcBorders>
              <w:bottom w:val="single" w:sz="4" w:space="0" w:color="auto"/>
            </w:tcBorders>
          </w:tcPr>
          <w:p w:rsidR="002C7DBD" w:rsidRPr="00A97701" w:rsidRDefault="002C7DBD" w:rsidP="00651F30">
            <w:pPr>
              <w:pStyle w:val="NoSpacing"/>
              <w:ind w:right="-138"/>
              <w:jc w:val="center"/>
              <w:rPr>
                <w:rFonts w:ascii="Arial Narrow" w:hAnsi="Arial Narrow" w:cs="Arial"/>
                <w:sz w:val="20"/>
                <w:szCs w:val="20"/>
              </w:rPr>
            </w:pPr>
            <w:r w:rsidRPr="00A97701">
              <w:rPr>
                <w:rFonts w:ascii="Arial Narrow" w:hAnsi="Arial Narrow" w:cs="Arial"/>
                <w:sz w:val="20"/>
                <w:szCs w:val="20"/>
              </w:rPr>
              <w:t xml:space="preserve">2,227,999.94             </w:t>
            </w:r>
          </w:p>
        </w:tc>
        <w:tc>
          <w:tcPr>
            <w:tcW w:w="1698" w:type="dxa"/>
            <w:tcBorders>
              <w:bottom w:val="single" w:sz="4" w:space="0" w:color="auto"/>
            </w:tcBorders>
          </w:tcPr>
          <w:p w:rsidR="002C7DBD" w:rsidRPr="00A97701" w:rsidRDefault="002C7DBD" w:rsidP="00651F30">
            <w:pPr>
              <w:pStyle w:val="NoSpacing"/>
              <w:ind w:right="-138"/>
              <w:jc w:val="center"/>
              <w:rPr>
                <w:rFonts w:ascii="Arial Narrow" w:hAnsi="Arial Narrow" w:cs="Arial"/>
                <w:sz w:val="20"/>
                <w:szCs w:val="20"/>
              </w:rPr>
            </w:pPr>
            <w:r w:rsidRPr="00A97701">
              <w:rPr>
                <w:rFonts w:ascii="Arial Narrow" w:hAnsi="Arial Narrow" w:cs="Arial"/>
                <w:sz w:val="20"/>
                <w:szCs w:val="20"/>
              </w:rPr>
              <w:t xml:space="preserve">1,884,420.00    </w:t>
            </w:r>
          </w:p>
        </w:tc>
        <w:tc>
          <w:tcPr>
            <w:tcW w:w="1698" w:type="dxa"/>
            <w:tcBorders>
              <w:bottom w:val="single" w:sz="4" w:space="0" w:color="auto"/>
            </w:tcBorders>
          </w:tcPr>
          <w:p w:rsidR="002C7DBD" w:rsidRPr="00A97701" w:rsidRDefault="002C7DBD" w:rsidP="00A97701">
            <w:pPr>
              <w:pStyle w:val="NoSpacing"/>
              <w:ind w:right="-46"/>
              <w:jc w:val="right"/>
              <w:rPr>
                <w:rFonts w:ascii="Arial Narrow" w:hAnsi="Arial Narrow" w:cs="Arial"/>
                <w:sz w:val="20"/>
                <w:szCs w:val="20"/>
              </w:rPr>
            </w:pPr>
            <w:r w:rsidRPr="00A97701">
              <w:rPr>
                <w:rFonts w:ascii="Arial Narrow" w:hAnsi="Arial Narrow" w:cs="Arial"/>
                <w:sz w:val="20"/>
                <w:szCs w:val="20"/>
              </w:rPr>
              <w:t>4,112,419.94</w:t>
            </w:r>
          </w:p>
        </w:tc>
      </w:tr>
      <w:tr w:rsidR="002C7DBD" w:rsidRPr="00E23E95" w:rsidTr="00651F30">
        <w:tc>
          <w:tcPr>
            <w:tcW w:w="2186" w:type="dxa"/>
            <w:tcBorders>
              <w:top w:val="single" w:sz="4" w:space="0" w:color="auto"/>
              <w:bottom w:val="double" w:sz="4" w:space="0" w:color="auto"/>
            </w:tcBorders>
          </w:tcPr>
          <w:p w:rsidR="002C7DBD" w:rsidRPr="00A97701" w:rsidRDefault="00A97701" w:rsidP="00A97701">
            <w:pPr>
              <w:pStyle w:val="NoSpacing"/>
              <w:ind w:right="-138" w:hanging="90"/>
              <w:rPr>
                <w:rFonts w:ascii="Arial Narrow" w:hAnsi="Arial Narrow" w:cs="Arial"/>
                <w:b/>
                <w:sz w:val="20"/>
                <w:szCs w:val="20"/>
              </w:rPr>
            </w:pPr>
            <w:r>
              <w:rPr>
                <w:rFonts w:ascii="Arial Narrow" w:hAnsi="Arial Narrow" w:cs="Arial"/>
                <w:b/>
                <w:sz w:val="20"/>
                <w:szCs w:val="20"/>
              </w:rPr>
              <w:t>Difference</w:t>
            </w:r>
          </w:p>
        </w:tc>
        <w:tc>
          <w:tcPr>
            <w:tcW w:w="1698" w:type="dxa"/>
            <w:tcBorders>
              <w:top w:val="single" w:sz="4" w:space="0" w:color="auto"/>
              <w:bottom w:val="double" w:sz="4" w:space="0" w:color="auto"/>
            </w:tcBorders>
          </w:tcPr>
          <w:p w:rsidR="002C7DBD" w:rsidRPr="00A97701" w:rsidRDefault="002C7DBD" w:rsidP="00651F30">
            <w:pPr>
              <w:pStyle w:val="NoSpacing"/>
              <w:ind w:right="-138"/>
              <w:jc w:val="center"/>
              <w:rPr>
                <w:rFonts w:ascii="Arial Narrow" w:hAnsi="Arial Narrow" w:cs="Arial"/>
                <w:b/>
                <w:sz w:val="20"/>
                <w:szCs w:val="20"/>
              </w:rPr>
            </w:pPr>
            <w:r w:rsidRPr="00A97701">
              <w:rPr>
                <w:rFonts w:ascii="Arial Narrow" w:hAnsi="Arial Narrow" w:cs="Arial"/>
                <w:b/>
                <w:sz w:val="20"/>
                <w:szCs w:val="20"/>
              </w:rPr>
              <w:t xml:space="preserve">P4,328,384.66         </w:t>
            </w:r>
          </w:p>
        </w:tc>
        <w:tc>
          <w:tcPr>
            <w:tcW w:w="1698" w:type="dxa"/>
            <w:tcBorders>
              <w:top w:val="single" w:sz="4" w:space="0" w:color="auto"/>
              <w:bottom w:val="double" w:sz="4" w:space="0" w:color="auto"/>
            </w:tcBorders>
          </w:tcPr>
          <w:p w:rsidR="002C7DBD" w:rsidRPr="00A97701" w:rsidRDefault="002C7DBD" w:rsidP="00651F30">
            <w:pPr>
              <w:pStyle w:val="NoSpacing"/>
              <w:ind w:right="-138"/>
              <w:jc w:val="center"/>
              <w:rPr>
                <w:rFonts w:ascii="Arial Narrow" w:hAnsi="Arial Narrow" w:cs="Arial"/>
                <w:b/>
                <w:sz w:val="20"/>
                <w:szCs w:val="20"/>
              </w:rPr>
            </w:pPr>
            <w:r w:rsidRPr="00A97701">
              <w:rPr>
                <w:rFonts w:ascii="Arial Narrow" w:hAnsi="Arial Narrow" w:cs="Arial"/>
                <w:b/>
                <w:sz w:val="20"/>
                <w:szCs w:val="20"/>
              </w:rPr>
              <w:t xml:space="preserve">P(1,797,230.00)   </w:t>
            </w:r>
          </w:p>
        </w:tc>
        <w:tc>
          <w:tcPr>
            <w:tcW w:w="1698" w:type="dxa"/>
            <w:tcBorders>
              <w:top w:val="single" w:sz="4" w:space="0" w:color="auto"/>
              <w:bottom w:val="double" w:sz="4" w:space="0" w:color="auto"/>
            </w:tcBorders>
          </w:tcPr>
          <w:p w:rsidR="002C7DBD" w:rsidRPr="00A97701" w:rsidRDefault="002C7DBD" w:rsidP="00A97701">
            <w:pPr>
              <w:pStyle w:val="NoSpacing"/>
              <w:ind w:right="-46"/>
              <w:jc w:val="right"/>
              <w:rPr>
                <w:rFonts w:ascii="Arial Narrow" w:hAnsi="Arial Narrow" w:cs="Arial"/>
                <w:b/>
                <w:sz w:val="20"/>
                <w:szCs w:val="20"/>
              </w:rPr>
            </w:pPr>
            <w:r w:rsidRPr="00A97701">
              <w:rPr>
                <w:rFonts w:ascii="Arial Narrow" w:hAnsi="Arial Narrow" w:cs="Arial"/>
                <w:b/>
                <w:sz w:val="20"/>
                <w:szCs w:val="20"/>
              </w:rPr>
              <w:t>P2,531,154.66</w:t>
            </w:r>
          </w:p>
        </w:tc>
      </w:tr>
    </w:tbl>
    <w:p w:rsidR="002C7DBD" w:rsidRPr="00EF4855" w:rsidRDefault="002C7DBD" w:rsidP="002C7DBD">
      <w:pPr>
        <w:pStyle w:val="NoSpacing"/>
        <w:ind w:right="-138"/>
        <w:rPr>
          <w:rFonts w:ascii="Arial" w:hAnsi="Arial" w:cs="Arial"/>
        </w:rPr>
      </w:pPr>
    </w:p>
    <w:p w:rsidR="002C7DBD" w:rsidRPr="00EF4855" w:rsidRDefault="005F7D6A" w:rsidP="00DA78B4">
      <w:pPr>
        <w:pStyle w:val="ListParagraph"/>
        <w:numPr>
          <w:ilvl w:val="1"/>
          <w:numId w:val="25"/>
        </w:numPr>
        <w:ind w:left="1440" w:hanging="720"/>
        <w:jc w:val="both"/>
        <w:rPr>
          <w:rFonts w:ascii="Arial" w:hAnsi="Arial" w:cs="Arial"/>
          <w:sz w:val="22"/>
          <w:szCs w:val="22"/>
        </w:rPr>
      </w:pPr>
      <w:r>
        <w:rPr>
          <w:rFonts w:ascii="Arial" w:hAnsi="Arial" w:cs="Arial"/>
          <w:sz w:val="22"/>
          <w:szCs w:val="22"/>
        </w:rPr>
        <w:t>I</w:t>
      </w:r>
      <w:r w:rsidR="002C7DBD" w:rsidRPr="00EF4855">
        <w:rPr>
          <w:rFonts w:ascii="Arial" w:hAnsi="Arial" w:cs="Arial"/>
          <w:sz w:val="22"/>
          <w:szCs w:val="22"/>
        </w:rPr>
        <w:t>nquiry disclosed that no bank reconciliation statements (BRSs) for CY 2018 were prepared for the subject accounts</w:t>
      </w:r>
      <w:r w:rsidR="00A97701">
        <w:rPr>
          <w:rFonts w:ascii="Arial" w:hAnsi="Arial" w:cs="Arial"/>
          <w:sz w:val="22"/>
          <w:szCs w:val="22"/>
        </w:rPr>
        <w:t>;</w:t>
      </w:r>
      <w:r w:rsidR="002C7DBD" w:rsidRPr="00EF4855">
        <w:rPr>
          <w:rFonts w:ascii="Arial" w:hAnsi="Arial" w:cs="Arial"/>
          <w:sz w:val="22"/>
          <w:szCs w:val="22"/>
        </w:rPr>
        <w:t xml:space="preserve"> hence, the causes of the discrepancies present</w:t>
      </w:r>
      <w:r w:rsidR="00E23E95">
        <w:rPr>
          <w:rFonts w:ascii="Arial" w:hAnsi="Arial" w:cs="Arial"/>
          <w:sz w:val="22"/>
          <w:szCs w:val="22"/>
        </w:rPr>
        <w:t xml:space="preserve">ed above cannot be determined. </w:t>
      </w:r>
      <w:r w:rsidR="002C7DBD" w:rsidRPr="00EF4855">
        <w:rPr>
          <w:rFonts w:ascii="Arial" w:hAnsi="Arial" w:cs="Arial"/>
          <w:sz w:val="22"/>
          <w:szCs w:val="22"/>
        </w:rPr>
        <w:t xml:space="preserve">The concerned accounting personnel informed that the BRSs cannot be prepared for both accounts during CY 2018 due to the absence of bank statements. </w:t>
      </w:r>
    </w:p>
    <w:p w:rsidR="002C7DBD" w:rsidRPr="00EF4855" w:rsidRDefault="002C7DBD" w:rsidP="00A97701">
      <w:pPr>
        <w:pStyle w:val="ListParagraph"/>
        <w:ind w:left="1440" w:hanging="720"/>
        <w:jc w:val="both"/>
        <w:rPr>
          <w:rFonts w:ascii="Arial" w:hAnsi="Arial" w:cs="Arial"/>
          <w:sz w:val="22"/>
          <w:szCs w:val="22"/>
        </w:rPr>
      </w:pPr>
    </w:p>
    <w:p w:rsidR="002C7DBD" w:rsidRPr="00A97701" w:rsidRDefault="002C7DBD" w:rsidP="00DA78B4">
      <w:pPr>
        <w:pStyle w:val="ListParagraph"/>
        <w:numPr>
          <w:ilvl w:val="1"/>
          <w:numId w:val="25"/>
        </w:numPr>
        <w:ind w:left="1440" w:hanging="720"/>
        <w:jc w:val="both"/>
        <w:rPr>
          <w:rFonts w:ascii="Arial" w:hAnsi="Arial" w:cs="Arial"/>
          <w:sz w:val="22"/>
          <w:szCs w:val="22"/>
        </w:rPr>
      </w:pPr>
      <w:r w:rsidRPr="00A97701">
        <w:rPr>
          <w:rFonts w:ascii="Arial" w:hAnsi="Arial" w:cs="Arial"/>
          <w:sz w:val="22"/>
          <w:szCs w:val="22"/>
        </w:rPr>
        <w:t xml:space="preserve">Considering the </w:t>
      </w:r>
      <w:r w:rsidR="006A1FCE" w:rsidRPr="00A97701">
        <w:rPr>
          <w:rFonts w:ascii="Arial" w:hAnsi="Arial" w:cs="Arial"/>
          <w:sz w:val="22"/>
          <w:szCs w:val="22"/>
        </w:rPr>
        <w:t>net discrepancy of P2.</w:t>
      </w:r>
      <w:r w:rsidRPr="00A97701">
        <w:rPr>
          <w:rFonts w:ascii="Arial" w:hAnsi="Arial" w:cs="Arial"/>
          <w:sz w:val="22"/>
          <w:szCs w:val="22"/>
        </w:rPr>
        <w:t>531</w:t>
      </w:r>
      <w:r w:rsidR="006A1FCE" w:rsidRPr="00A97701">
        <w:rPr>
          <w:rFonts w:ascii="Arial" w:hAnsi="Arial" w:cs="Arial"/>
          <w:sz w:val="22"/>
          <w:szCs w:val="22"/>
        </w:rPr>
        <w:t xml:space="preserve"> million</w:t>
      </w:r>
      <w:r w:rsidRPr="00A97701">
        <w:rPr>
          <w:rFonts w:ascii="Arial" w:hAnsi="Arial" w:cs="Arial"/>
          <w:sz w:val="22"/>
          <w:szCs w:val="22"/>
        </w:rPr>
        <w:t xml:space="preserve"> between the balances confirmed by PNB with the balances per books of the OA-OD-POSC and OA-OD-PGMC accounts as of December 31, 2018, coupled with the non-</w:t>
      </w:r>
      <w:r w:rsidRPr="00A97701">
        <w:rPr>
          <w:rFonts w:ascii="Arial" w:hAnsi="Arial" w:cs="Arial"/>
          <w:sz w:val="22"/>
          <w:szCs w:val="22"/>
        </w:rPr>
        <w:lastRenderedPageBreak/>
        <w:t xml:space="preserve">preparation of the BRSs for the corresponding bank accounts, </w:t>
      </w:r>
      <w:r w:rsidR="00F80A66" w:rsidRPr="00A97701">
        <w:rPr>
          <w:rFonts w:ascii="Arial" w:hAnsi="Arial" w:cs="Arial"/>
          <w:sz w:val="22"/>
          <w:szCs w:val="22"/>
        </w:rPr>
        <w:t xml:space="preserve">the fairness of presentation of </w:t>
      </w:r>
      <w:r w:rsidRPr="00A97701">
        <w:rPr>
          <w:rFonts w:ascii="Arial" w:hAnsi="Arial" w:cs="Arial"/>
          <w:sz w:val="22"/>
          <w:szCs w:val="22"/>
        </w:rPr>
        <w:t xml:space="preserve">balances of the subject accounts as of December 31, 2018 </w:t>
      </w:r>
      <w:r w:rsidR="00400BB2" w:rsidRPr="00A97701">
        <w:rPr>
          <w:rFonts w:ascii="Arial" w:hAnsi="Arial" w:cs="Arial"/>
          <w:sz w:val="22"/>
          <w:szCs w:val="22"/>
        </w:rPr>
        <w:t>was</w:t>
      </w:r>
      <w:r w:rsidRPr="00A97701">
        <w:rPr>
          <w:rFonts w:ascii="Arial" w:hAnsi="Arial" w:cs="Arial"/>
          <w:sz w:val="22"/>
          <w:szCs w:val="22"/>
        </w:rPr>
        <w:t xml:space="preserve"> doubtful.</w:t>
      </w:r>
    </w:p>
    <w:p w:rsidR="002C7DBD" w:rsidRPr="00EF4855" w:rsidRDefault="002C7DBD" w:rsidP="002C7DBD">
      <w:pPr>
        <w:pStyle w:val="NoSpacing"/>
        <w:ind w:left="360"/>
        <w:jc w:val="both"/>
        <w:rPr>
          <w:rFonts w:ascii="Arial" w:eastAsia="Times New Roman" w:hAnsi="Arial" w:cs="Arial"/>
        </w:rPr>
      </w:pPr>
    </w:p>
    <w:p w:rsidR="002C7DBD" w:rsidRPr="00EF4855" w:rsidRDefault="002C7DBD" w:rsidP="00DA78B4">
      <w:pPr>
        <w:pStyle w:val="ListParagraph"/>
        <w:numPr>
          <w:ilvl w:val="1"/>
          <w:numId w:val="25"/>
        </w:numPr>
        <w:ind w:left="1440" w:hanging="720"/>
        <w:jc w:val="both"/>
        <w:rPr>
          <w:rFonts w:ascii="Arial" w:hAnsi="Arial" w:cs="Arial"/>
          <w:b/>
          <w:sz w:val="22"/>
          <w:szCs w:val="22"/>
        </w:rPr>
      </w:pPr>
      <w:r w:rsidRPr="00EF4855">
        <w:rPr>
          <w:rFonts w:ascii="Arial" w:hAnsi="Arial" w:cs="Arial"/>
          <w:b/>
          <w:sz w:val="22"/>
          <w:szCs w:val="22"/>
        </w:rPr>
        <w:t>We recommended and Management agreed to direct the concerned accounting personnel to immediately prepare the required bank reconciliation statements for PNB account nos. 374428800013 and 374441700012 for POSC and PGMC, respectively, in order to determine the cause/s of the discrepancies presented above. Thereafter, effect the necessary adjusting entries to ensure the fairness of presentation of the balances of the OA-OD-POSC and OA-OD-PGMC accounts in the financial statements.</w:t>
      </w:r>
    </w:p>
    <w:p w:rsidR="00943886" w:rsidRPr="00EF4855" w:rsidRDefault="00943886" w:rsidP="004C39E3">
      <w:pPr>
        <w:pStyle w:val="ListParagraph"/>
        <w:ind w:left="360"/>
        <w:rPr>
          <w:rFonts w:ascii="Arial" w:hAnsi="Arial" w:cs="Arial"/>
          <w:sz w:val="22"/>
          <w:szCs w:val="22"/>
        </w:rPr>
      </w:pPr>
    </w:p>
    <w:p w:rsidR="00B45E5E" w:rsidRPr="00171A32" w:rsidRDefault="004573F8" w:rsidP="00DA78B4">
      <w:pPr>
        <w:pStyle w:val="ListParagraph"/>
        <w:numPr>
          <w:ilvl w:val="0"/>
          <w:numId w:val="2"/>
        </w:numPr>
        <w:ind w:hanging="720"/>
        <w:rPr>
          <w:rFonts w:ascii="Arial" w:hAnsi="Arial" w:cs="Arial"/>
          <w:b/>
          <w:color w:val="000000"/>
          <w:u w:val="single"/>
          <w:lang w:eastAsia="en-PH"/>
        </w:rPr>
      </w:pPr>
      <w:r w:rsidRPr="00171A32">
        <w:rPr>
          <w:rFonts w:ascii="Arial" w:hAnsi="Arial" w:cs="Arial"/>
          <w:b/>
          <w:color w:val="000000"/>
          <w:u w:val="single"/>
          <w:lang w:eastAsia="en-PH"/>
        </w:rPr>
        <w:br w:type="page"/>
      </w:r>
      <w:r w:rsidR="00B45E5E" w:rsidRPr="00171A32">
        <w:rPr>
          <w:rFonts w:ascii="Arial" w:hAnsi="Arial" w:cs="Arial"/>
          <w:b/>
          <w:color w:val="000000"/>
          <w:u w:val="single"/>
          <w:lang w:eastAsia="en-PH"/>
        </w:rPr>
        <w:lastRenderedPageBreak/>
        <w:t>COMPLIANCE</w:t>
      </w:r>
    </w:p>
    <w:p w:rsidR="00FB6077" w:rsidRPr="00EF4855" w:rsidRDefault="00FB6077" w:rsidP="004F6C55">
      <w:pPr>
        <w:pStyle w:val="ListParagraph"/>
        <w:ind w:left="540"/>
        <w:contextualSpacing/>
        <w:jc w:val="both"/>
        <w:rPr>
          <w:rFonts w:ascii="Arial" w:hAnsi="Arial" w:cs="Arial"/>
          <w:b/>
          <w:color w:val="000000"/>
          <w:sz w:val="22"/>
          <w:szCs w:val="22"/>
          <w:u w:val="single"/>
          <w:lang w:eastAsia="en-PH"/>
        </w:rPr>
      </w:pPr>
    </w:p>
    <w:p w:rsidR="00DB54C7" w:rsidRPr="00CA00F2" w:rsidRDefault="00DB54C7" w:rsidP="00DA78B4">
      <w:pPr>
        <w:pStyle w:val="ListParagraph"/>
        <w:numPr>
          <w:ilvl w:val="0"/>
          <w:numId w:val="21"/>
        </w:numPr>
        <w:ind w:left="720" w:hanging="720"/>
        <w:jc w:val="both"/>
        <w:rPr>
          <w:rFonts w:ascii="Arial" w:eastAsia="Calibri" w:hAnsi="Arial" w:cs="Arial"/>
          <w:b/>
          <w:sz w:val="22"/>
          <w:szCs w:val="22"/>
        </w:rPr>
      </w:pPr>
      <w:r w:rsidRPr="00CA00F2">
        <w:rPr>
          <w:rFonts w:ascii="Arial" w:eastAsia="Calibri" w:hAnsi="Arial" w:cs="Arial"/>
          <w:b/>
          <w:sz w:val="22"/>
          <w:szCs w:val="22"/>
        </w:rPr>
        <w:t>PCSO has not declared and remitted dividends to the National Government (NG) for dividend years (DYs) 1994 to 2016 in the total amount of P8.426 billion, contrary to the provision under Section 3 of Republic Act (RA) 7656</w:t>
      </w:r>
      <w:r w:rsidR="00D82874" w:rsidRPr="00CA00F2">
        <w:rPr>
          <w:rFonts w:ascii="Arial" w:eastAsia="Calibri" w:hAnsi="Arial" w:cs="Arial"/>
          <w:b/>
          <w:sz w:val="22"/>
          <w:szCs w:val="22"/>
        </w:rPr>
        <w:t>.</w:t>
      </w:r>
    </w:p>
    <w:p w:rsidR="00DB54C7" w:rsidRPr="00EF4855" w:rsidRDefault="00DB54C7" w:rsidP="00DB54C7">
      <w:pPr>
        <w:spacing w:after="0" w:line="240" w:lineRule="auto"/>
        <w:contextualSpacing/>
        <w:jc w:val="both"/>
        <w:rPr>
          <w:rFonts w:ascii="Arial" w:eastAsia="Calibri" w:hAnsi="Arial" w:cs="Arial"/>
          <w:lang w:val="en-US"/>
        </w:rPr>
      </w:pPr>
    </w:p>
    <w:p w:rsidR="00FB6077" w:rsidRPr="00FB6077" w:rsidRDefault="00FB6077" w:rsidP="00DA78B4">
      <w:pPr>
        <w:pStyle w:val="ListParagraph"/>
        <w:numPr>
          <w:ilvl w:val="0"/>
          <w:numId w:val="21"/>
        </w:numPr>
        <w:contextualSpacing/>
        <w:jc w:val="both"/>
        <w:rPr>
          <w:rFonts w:ascii="Arial" w:eastAsia="Calibri" w:hAnsi="Arial" w:cs="Arial"/>
          <w:vanish/>
          <w:sz w:val="22"/>
          <w:szCs w:val="22"/>
        </w:rPr>
      </w:pPr>
    </w:p>
    <w:p w:rsidR="00DB54C7" w:rsidRPr="00061DD0" w:rsidRDefault="00DB54C7" w:rsidP="00DA78B4">
      <w:pPr>
        <w:pStyle w:val="ListParagraph"/>
        <w:numPr>
          <w:ilvl w:val="1"/>
          <w:numId w:val="1"/>
        </w:numPr>
        <w:ind w:hanging="810"/>
        <w:contextualSpacing/>
        <w:jc w:val="both"/>
        <w:rPr>
          <w:rFonts w:ascii="Arial" w:eastAsia="Calibri" w:hAnsi="Arial" w:cs="Arial"/>
          <w:sz w:val="22"/>
          <w:szCs w:val="22"/>
        </w:rPr>
      </w:pPr>
      <w:r w:rsidRPr="00061DD0">
        <w:rPr>
          <w:rFonts w:ascii="Arial" w:eastAsia="Calibri" w:hAnsi="Arial" w:cs="Arial"/>
          <w:sz w:val="22"/>
          <w:szCs w:val="22"/>
        </w:rPr>
        <w:t xml:space="preserve">Section 3 of RA </w:t>
      </w:r>
      <w:r w:rsidR="00BF24AE" w:rsidRPr="00061DD0">
        <w:rPr>
          <w:rFonts w:ascii="Arial" w:eastAsia="Calibri" w:hAnsi="Arial" w:cs="Arial"/>
          <w:sz w:val="22"/>
          <w:szCs w:val="22"/>
        </w:rPr>
        <w:t xml:space="preserve">No. </w:t>
      </w:r>
      <w:r w:rsidRPr="00061DD0">
        <w:rPr>
          <w:rFonts w:ascii="Arial" w:eastAsia="Calibri" w:hAnsi="Arial" w:cs="Arial"/>
          <w:sz w:val="22"/>
          <w:szCs w:val="22"/>
        </w:rPr>
        <w:t xml:space="preserve">7656 provides that, </w:t>
      </w:r>
      <w:r w:rsidRPr="00061DD0">
        <w:rPr>
          <w:rFonts w:ascii="Arial" w:eastAsia="Calibri" w:hAnsi="Arial" w:cs="Arial"/>
          <w:i/>
          <w:sz w:val="22"/>
          <w:szCs w:val="22"/>
        </w:rPr>
        <w:t>“all government-owned or controlled corporations (GOCCs) shall declare and remit at least fifty per cent (50%) of their annual net earnings as cash, stock or property dividends to the National Government...”</w:t>
      </w:r>
      <w:r w:rsidRPr="00061DD0">
        <w:rPr>
          <w:rFonts w:ascii="Arial" w:eastAsia="Calibri" w:hAnsi="Arial" w:cs="Arial"/>
          <w:sz w:val="22"/>
          <w:szCs w:val="22"/>
        </w:rPr>
        <w:t xml:space="preserve"> </w:t>
      </w:r>
    </w:p>
    <w:p w:rsidR="00DB54C7" w:rsidRPr="00EF4855" w:rsidRDefault="00DB54C7" w:rsidP="00DB54C7">
      <w:pPr>
        <w:spacing w:after="0" w:line="240" w:lineRule="auto"/>
        <w:ind w:left="1080"/>
        <w:contextualSpacing/>
        <w:jc w:val="both"/>
        <w:rPr>
          <w:rFonts w:ascii="Arial" w:eastAsia="Calibri" w:hAnsi="Arial" w:cs="Arial"/>
          <w:lang w:val="en-US"/>
        </w:rPr>
      </w:pPr>
    </w:p>
    <w:p w:rsidR="00DB54C7" w:rsidRPr="00EF4855" w:rsidRDefault="00DB54C7" w:rsidP="00DA78B4">
      <w:pPr>
        <w:pStyle w:val="ListParagraph"/>
        <w:numPr>
          <w:ilvl w:val="1"/>
          <w:numId w:val="1"/>
        </w:numPr>
        <w:ind w:left="1440"/>
        <w:contextualSpacing/>
        <w:jc w:val="both"/>
        <w:rPr>
          <w:rFonts w:ascii="Arial" w:eastAsia="Calibri" w:hAnsi="Arial" w:cs="Arial"/>
          <w:sz w:val="22"/>
          <w:szCs w:val="22"/>
        </w:rPr>
      </w:pPr>
      <w:r w:rsidRPr="00EF4855">
        <w:rPr>
          <w:rFonts w:ascii="Arial" w:eastAsia="Calibri" w:hAnsi="Arial" w:cs="Arial"/>
          <w:sz w:val="22"/>
          <w:szCs w:val="22"/>
        </w:rPr>
        <w:t>Moreover, Section 5(a)(i) of the Revised Implementing Rules and Regulation</w:t>
      </w:r>
      <w:r w:rsidR="00BF24AE">
        <w:rPr>
          <w:rFonts w:ascii="Arial" w:eastAsia="Calibri" w:hAnsi="Arial" w:cs="Arial"/>
          <w:sz w:val="22"/>
          <w:szCs w:val="22"/>
        </w:rPr>
        <w:t>s</w:t>
      </w:r>
      <w:r w:rsidRPr="00EF4855">
        <w:rPr>
          <w:rFonts w:ascii="Arial" w:eastAsia="Calibri" w:hAnsi="Arial" w:cs="Arial"/>
          <w:sz w:val="22"/>
          <w:szCs w:val="22"/>
        </w:rPr>
        <w:t xml:space="preserve"> (IRR) to RA </w:t>
      </w:r>
      <w:r w:rsidR="00BF24AE">
        <w:rPr>
          <w:rFonts w:ascii="Arial" w:eastAsia="Calibri" w:hAnsi="Arial" w:cs="Arial"/>
          <w:sz w:val="22"/>
          <w:szCs w:val="22"/>
        </w:rPr>
        <w:t xml:space="preserve">No. </w:t>
      </w:r>
      <w:r w:rsidRPr="00EF4855">
        <w:rPr>
          <w:rFonts w:ascii="Arial" w:eastAsia="Calibri" w:hAnsi="Arial" w:cs="Arial"/>
          <w:sz w:val="22"/>
          <w:szCs w:val="22"/>
        </w:rPr>
        <w:t>7656 states that all GOCCs shall annually declare and remit dividends directly to the NG in the name of the Treasurer of the Philippines on or before May 15 of each year.</w:t>
      </w:r>
    </w:p>
    <w:p w:rsidR="00DB54C7" w:rsidRPr="00EF4855" w:rsidRDefault="00DB54C7" w:rsidP="00DB54C7">
      <w:pPr>
        <w:spacing w:after="0" w:line="240" w:lineRule="auto"/>
        <w:ind w:left="1080"/>
        <w:contextualSpacing/>
        <w:jc w:val="both"/>
        <w:rPr>
          <w:rFonts w:ascii="Arial" w:eastAsia="Calibri" w:hAnsi="Arial" w:cs="Arial"/>
          <w:lang w:val="en-US"/>
        </w:rPr>
      </w:pPr>
    </w:p>
    <w:p w:rsidR="00DB54C7" w:rsidRPr="00EF4855" w:rsidRDefault="00DB54C7" w:rsidP="00DA78B4">
      <w:pPr>
        <w:pStyle w:val="ListParagraph"/>
        <w:numPr>
          <w:ilvl w:val="1"/>
          <w:numId w:val="1"/>
        </w:numPr>
        <w:ind w:left="1440"/>
        <w:contextualSpacing/>
        <w:jc w:val="both"/>
        <w:rPr>
          <w:rFonts w:ascii="Arial" w:eastAsia="Calibri" w:hAnsi="Arial" w:cs="Arial"/>
          <w:sz w:val="22"/>
          <w:szCs w:val="22"/>
        </w:rPr>
      </w:pPr>
      <w:r w:rsidRPr="00EF4855">
        <w:rPr>
          <w:rFonts w:ascii="Arial" w:eastAsia="Calibri" w:hAnsi="Arial" w:cs="Arial"/>
          <w:sz w:val="22"/>
          <w:szCs w:val="22"/>
        </w:rPr>
        <w:t xml:space="preserve">This is a reiteration of the audit observations </w:t>
      </w:r>
      <w:r w:rsidR="00061DD0">
        <w:rPr>
          <w:rFonts w:ascii="Arial" w:eastAsia="Calibri" w:hAnsi="Arial" w:cs="Arial"/>
          <w:sz w:val="22"/>
          <w:szCs w:val="22"/>
        </w:rPr>
        <w:t>as Management has not complied yet with recommendation to remit dividends due the NG</w:t>
      </w:r>
      <w:r w:rsidRPr="00EF4855">
        <w:rPr>
          <w:rFonts w:ascii="Arial" w:eastAsia="Calibri" w:hAnsi="Arial" w:cs="Arial"/>
          <w:sz w:val="22"/>
          <w:szCs w:val="22"/>
        </w:rPr>
        <w:t>.</w:t>
      </w:r>
    </w:p>
    <w:p w:rsidR="00DB54C7" w:rsidRPr="00EF4855" w:rsidRDefault="00DB54C7" w:rsidP="00DB54C7">
      <w:pPr>
        <w:spacing w:after="0" w:line="240" w:lineRule="auto"/>
        <w:ind w:left="360"/>
        <w:contextualSpacing/>
        <w:jc w:val="both"/>
        <w:rPr>
          <w:rFonts w:ascii="Arial" w:eastAsia="Calibri" w:hAnsi="Arial" w:cs="Arial"/>
          <w:lang w:val="en-US"/>
        </w:rPr>
      </w:pPr>
    </w:p>
    <w:p w:rsidR="00DB54C7" w:rsidRPr="00EF4855" w:rsidRDefault="00DB54C7" w:rsidP="00DA78B4">
      <w:pPr>
        <w:pStyle w:val="ListParagraph"/>
        <w:numPr>
          <w:ilvl w:val="1"/>
          <w:numId w:val="1"/>
        </w:numPr>
        <w:ind w:left="1440"/>
        <w:contextualSpacing/>
        <w:jc w:val="both"/>
        <w:rPr>
          <w:rFonts w:ascii="Arial" w:eastAsia="Calibri" w:hAnsi="Arial" w:cs="Arial"/>
          <w:sz w:val="22"/>
          <w:szCs w:val="22"/>
        </w:rPr>
      </w:pPr>
      <w:r w:rsidRPr="00EF4855">
        <w:rPr>
          <w:rFonts w:ascii="Arial" w:eastAsia="Calibri" w:hAnsi="Arial" w:cs="Arial"/>
          <w:sz w:val="22"/>
          <w:szCs w:val="22"/>
        </w:rPr>
        <w:t>Review of the financial statements of the PCSO for CYs 1994 to 2017 revealed that it had total net earnings of P16.852 billion during those years.  Thus, total dividends due to the NG amounted to P8.426 billion</w:t>
      </w:r>
      <w:r w:rsidR="00BF24AE">
        <w:rPr>
          <w:rFonts w:ascii="Arial" w:eastAsia="Calibri" w:hAnsi="Arial" w:cs="Arial"/>
          <w:sz w:val="22"/>
          <w:szCs w:val="22"/>
        </w:rPr>
        <w:t>,</w:t>
      </w:r>
      <w:r w:rsidRPr="00EF4855">
        <w:rPr>
          <w:rFonts w:ascii="Arial" w:eastAsia="Calibri" w:hAnsi="Arial" w:cs="Arial"/>
          <w:sz w:val="22"/>
          <w:szCs w:val="22"/>
        </w:rPr>
        <w:t xml:space="preserve"> as shown in Table </w:t>
      </w:r>
      <w:r w:rsidR="00061DD0">
        <w:rPr>
          <w:rFonts w:ascii="Arial" w:eastAsia="Calibri" w:hAnsi="Arial" w:cs="Arial"/>
          <w:sz w:val="22"/>
          <w:szCs w:val="22"/>
        </w:rPr>
        <w:t>11</w:t>
      </w:r>
      <w:r w:rsidR="00970998">
        <w:rPr>
          <w:rFonts w:ascii="Arial" w:eastAsia="Calibri" w:hAnsi="Arial" w:cs="Arial"/>
          <w:sz w:val="22"/>
          <w:szCs w:val="22"/>
        </w:rPr>
        <w:t>.</w:t>
      </w:r>
    </w:p>
    <w:p w:rsidR="00DB54C7" w:rsidRDefault="00DB54C7" w:rsidP="00DB54C7">
      <w:pPr>
        <w:spacing w:after="0" w:line="240" w:lineRule="auto"/>
        <w:jc w:val="both"/>
        <w:rPr>
          <w:rFonts w:ascii="Arial" w:eastAsia="Calibri" w:hAnsi="Arial" w:cs="Arial"/>
          <w:lang w:val="en-US"/>
        </w:rPr>
      </w:pPr>
    </w:p>
    <w:p w:rsidR="00FB4C4F" w:rsidRPr="00B15F6B" w:rsidRDefault="00FB4C4F" w:rsidP="00FB4C4F">
      <w:pPr>
        <w:spacing w:after="0" w:line="240" w:lineRule="auto"/>
        <w:ind w:left="720"/>
        <w:jc w:val="center"/>
        <w:rPr>
          <w:rFonts w:ascii="Arial" w:eastAsia="Calibri" w:hAnsi="Arial" w:cs="Arial"/>
          <w:b/>
          <w:sz w:val="20"/>
          <w:szCs w:val="20"/>
          <w:lang w:val="en-US"/>
        </w:rPr>
      </w:pPr>
      <w:r w:rsidRPr="00B15F6B">
        <w:rPr>
          <w:rFonts w:ascii="Arial" w:eastAsia="Calibri" w:hAnsi="Arial" w:cs="Arial"/>
          <w:b/>
          <w:sz w:val="20"/>
          <w:szCs w:val="20"/>
          <w:lang w:val="en-US"/>
        </w:rPr>
        <w:t xml:space="preserve">Table </w:t>
      </w:r>
      <w:r w:rsidR="00061DD0">
        <w:rPr>
          <w:rFonts w:ascii="Arial" w:eastAsia="Calibri" w:hAnsi="Arial" w:cs="Arial"/>
          <w:b/>
          <w:sz w:val="20"/>
          <w:szCs w:val="20"/>
          <w:lang w:val="en-US"/>
        </w:rPr>
        <w:t>11</w:t>
      </w:r>
      <w:r w:rsidRPr="00B15F6B">
        <w:rPr>
          <w:rFonts w:ascii="Arial" w:eastAsia="Calibri" w:hAnsi="Arial" w:cs="Arial"/>
          <w:b/>
          <w:sz w:val="20"/>
          <w:szCs w:val="20"/>
          <w:lang w:val="en-US"/>
        </w:rPr>
        <w:t xml:space="preserve"> - Dividends Due to National Government</w:t>
      </w:r>
    </w:p>
    <w:p w:rsidR="00FB4C4F" w:rsidRPr="00B15F6B" w:rsidRDefault="00FB4C4F" w:rsidP="00FB4C4F">
      <w:pPr>
        <w:spacing w:after="0" w:line="240" w:lineRule="auto"/>
        <w:ind w:left="720"/>
        <w:jc w:val="center"/>
        <w:rPr>
          <w:rFonts w:ascii="Arial" w:eastAsia="Calibri" w:hAnsi="Arial" w:cs="Arial"/>
          <w:b/>
          <w:sz w:val="20"/>
          <w:szCs w:val="20"/>
          <w:lang w:val="en-US"/>
        </w:rPr>
      </w:pPr>
      <w:r w:rsidRPr="00B15F6B">
        <w:rPr>
          <w:rFonts w:ascii="Arial" w:eastAsia="Calibri" w:hAnsi="Arial" w:cs="Arial"/>
          <w:b/>
          <w:sz w:val="20"/>
          <w:szCs w:val="20"/>
          <w:lang w:val="en-US"/>
        </w:rPr>
        <w:t>Based on the CYs 1994 to 2016 Net Earnings of the PCSO</w:t>
      </w:r>
    </w:p>
    <w:p w:rsidR="00FB4C4F" w:rsidRPr="004F6C55" w:rsidRDefault="00FB4C4F" w:rsidP="00FB4C4F">
      <w:pPr>
        <w:spacing w:after="0" w:line="240" w:lineRule="auto"/>
        <w:ind w:firstLine="720"/>
        <w:jc w:val="both"/>
        <w:rPr>
          <w:rFonts w:ascii="Arial" w:eastAsia="Calibri" w:hAnsi="Arial" w:cs="Arial"/>
          <w:sz w:val="20"/>
          <w:szCs w:val="20"/>
          <w:lang w:val="en-US"/>
        </w:rPr>
      </w:pPr>
    </w:p>
    <w:tbl>
      <w:tblPr>
        <w:tblW w:w="7327" w:type="dxa"/>
        <w:jc w:val="right"/>
        <w:tblLook w:val="04A0" w:firstRow="1" w:lastRow="0" w:firstColumn="1" w:lastColumn="0" w:noHBand="0" w:noVBand="1"/>
      </w:tblPr>
      <w:tblGrid>
        <w:gridCol w:w="1772"/>
        <w:gridCol w:w="487"/>
        <w:gridCol w:w="2238"/>
        <w:gridCol w:w="487"/>
        <w:gridCol w:w="2343"/>
      </w:tblGrid>
      <w:tr w:rsidR="00FB4C4F" w:rsidRPr="00076F22" w:rsidTr="00A705FF">
        <w:trPr>
          <w:trHeight w:val="368"/>
          <w:tblHeader/>
          <w:jc w:val="right"/>
        </w:trPr>
        <w:tc>
          <w:tcPr>
            <w:tcW w:w="1772" w:type="dxa"/>
            <w:tcBorders>
              <w:top w:val="single" w:sz="4" w:space="0" w:color="auto"/>
              <w:bottom w:val="single" w:sz="4" w:space="0" w:color="auto"/>
            </w:tcBorders>
            <w:vAlign w:val="center"/>
          </w:tcPr>
          <w:p w:rsidR="00FB4C4F" w:rsidRPr="00076F22" w:rsidRDefault="00FB4C4F" w:rsidP="00A705FF">
            <w:pPr>
              <w:spacing w:after="0" w:line="240" w:lineRule="auto"/>
              <w:jc w:val="center"/>
              <w:rPr>
                <w:rFonts w:ascii="Arial Narrow" w:eastAsia="Calibri" w:hAnsi="Arial Narrow" w:cs="Arial"/>
                <w:b/>
                <w:sz w:val="17"/>
                <w:szCs w:val="17"/>
                <w:lang w:val="en-US"/>
              </w:rPr>
            </w:pPr>
            <w:r w:rsidRPr="00076F22">
              <w:rPr>
                <w:rFonts w:ascii="Arial Narrow" w:eastAsia="Calibri" w:hAnsi="Arial Narrow" w:cs="Arial"/>
                <w:b/>
                <w:sz w:val="17"/>
                <w:szCs w:val="17"/>
                <w:lang w:val="en-US"/>
              </w:rPr>
              <w:t>Dividend Year</w:t>
            </w:r>
          </w:p>
        </w:tc>
        <w:tc>
          <w:tcPr>
            <w:tcW w:w="2725" w:type="dxa"/>
            <w:gridSpan w:val="2"/>
            <w:tcBorders>
              <w:top w:val="single" w:sz="4" w:space="0" w:color="auto"/>
              <w:bottom w:val="single" w:sz="4" w:space="0" w:color="auto"/>
            </w:tcBorders>
            <w:vAlign w:val="center"/>
          </w:tcPr>
          <w:p w:rsidR="00FB4C4F" w:rsidRPr="00076F22" w:rsidRDefault="00FB4C4F" w:rsidP="00A705FF">
            <w:pPr>
              <w:spacing w:after="0" w:line="240" w:lineRule="auto"/>
              <w:jc w:val="center"/>
              <w:rPr>
                <w:rFonts w:ascii="Arial Narrow" w:eastAsia="Calibri" w:hAnsi="Arial Narrow" w:cs="Arial"/>
                <w:b/>
                <w:sz w:val="17"/>
                <w:szCs w:val="17"/>
                <w:lang w:val="en-US"/>
              </w:rPr>
            </w:pPr>
            <w:r w:rsidRPr="00076F22">
              <w:rPr>
                <w:rFonts w:ascii="Arial Narrow" w:eastAsia="Calibri" w:hAnsi="Arial Narrow" w:cs="Arial"/>
                <w:b/>
                <w:sz w:val="17"/>
                <w:szCs w:val="17"/>
                <w:lang w:val="en-US"/>
              </w:rPr>
              <w:t>Net Earnings</w:t>
            </w:r>
          </w:p>
        </w:tc>
        <w:tc>
          <w:tcPr>
            <w:tcW w:w="2830" w:type="dxa"/>
            <w:gridSpan w:val="2"/>
            <w:tcBorders>
              <w:top w:val="single" w:sz="4" w:space="0" w:color="auto"/>
              <w:bottom w:val="single" w:sz="4" w:space="0" w:color="auto"/>
            </w:tcBorders>
            <w:vAlign w:val="center"/>
          </w:tcPr>
          <w:p w:rsidR="00FB4C4F" w:rsidRPr="00076F22" w:rsidRDefault="00FB4C4F" w:rsidP="00A705FF">
            <w:pPr>
              <w:spacing w:after="0" w:line="240" w:lineRule="auto"/>
              <w:jc w:val="center"/>
              <w:rPr>
                <w:rFonts w:ascii="Arial Narrow" w:eastAsia="Calibri" w:hAnsi="Arial Narrow" w:cs="Arial"/>
                <w:b/>
                <w:sz w:val="17"/>
                <w:szCs w:val="17"/>
                <w:lang w:val="en-US"/>
              </w:rPr>
            </w:pPr>
            <w:r w:rsidRPr="00076F22">
              <w:rPr>
                <w:rFonts w:ascii="Arial Narrow" w:eastAsia="Calibri" w:hAnsi="Arial Narrow" w:cs="Arial"/>
                <w:b/>
                <w:sz w:val="17"/>
                <w:szCs w:val="17"/>
                <w:lang w:val="en-US"/>
              </w:rPr>
              <w:t>Dividend Due to NG</w:t>
            </w:r>
          </w:p>
          <w:p w:rsidR="00FB4C4F" w:rsidRPr="00076F22" w:rsidRDefault="00FB4C4F" w:rsidP="00A705FF">
            <w:pPr>
              <w:spacing w:after="0" w:line="240" w:lineRule="auto"/>
              <w:jc w:val="center"/>
              <w:rPr>
                <w:rFonts w:ascii="Arial Narrow" w:eastAsia="Calibri" w:hAnsi="Arial Narrow" w:cs="Arial"/>
                <w:b/>
                <w:sz w:val="17"/>
                <w:szCs w:val="17"/>
                <w:lang w:val="en-US"/>
              </w:rPr>
            </w:pPr>
            <w:r w:rsidRPr="00076F22">
              <w:rPr>
                <w:rFonts w:ascii="Arial Narrow" w:eastAsia="Calibri" w:hAnsi="Arial Narrow" w:cs="Arial"/>
                <w:b/>
                <w:sz w:val="17"/>
                <w:szCs w:val="17"/>
                <w:lang w:val="en-US"/>
              </w:rPr>
              <w:t>(50% of Net Earnings)</w:t>
            </w:r>
          </w:p>
        </w:tc>
      </w:tr>
      <w:tr w:rsidR="00FB4C4F" w:rsidRPr="00076F22" w:rsidTr="00A705FF">
        <w:trPr>
          <w:trHeight w:val="224"/>
          <w:jc w:val="right"/>
        </w:trPr>
        <w:tc>
          <w:tcPr>
            <w:tcW w:w="1772" w:type="dxa"/>
            <w:tcBorders>
              <w:top w:val="single" w:sz="4" w:space="0" w:color="auto"/>
            </w:tcBorders>
          </w:tcPr>
          <w:p w:rsidR="00FB4C4F" w:rsidRPr="00076F22" w:rsidRDefault="00FB4C4F" w:rsidP="00A705FF">
            <w:pPr>
              <w:spacing w:after="0" w:line="240" w:lineRule="auto"/>
              <w:jc w:val="center"/>
              <w:rPr>
                <w:rFonts w:ascii="Arial Narrow" w:eastAsia="Calibri" w:hAnsi="Arial Narrow" w:cs="Arial"/>
                <w:sz w:val="17"/>
                <w:szCs w:val="17"/>
                <w:lang w:val="en-US"/>
              </w:rPr>
            </w:pPr>
            <w:r w:rsidRPr="00076F22">
              <w:rPr>
                <w:rFonts w:ascii="Arial Narrow" w:eastAsia="Calibri" w:hAnsi="Arial Narrow" w:cs="Arial"/>
                <w:sz w:val="17"/>
                <w:szCs w:val="17"/>
                <w:lang w:val="en-US"/>
              </w:rPr>
              <w:t>1994</w:t>
            </w:r>
          </w:p>
        </w:tc>
        <w:tc>
          <w:tcPr>
            <w:tcW w:w="487" w:type="dxa"/>
            <w:tcBorders>
              <w:top w:val="single" w:sz="4" w:space="0" w:color="auto"/>
            </w:tcBorders>
          </w:tcPr>
          <w:p w:rsidR="00FB4C4F" w:rsidRPr="00076F22" w:rsidRDefault="00FB4C4F" w:rsidP="00A705FF">
            <w:pPr>
              <w:spacing w:after="0" w:line="240" w:lineRule="auto"/>
              <w:jc w:val="both"/>
              <w:rPr>
                <w:rFonts w:ascii="Arial Narrow" w:eastAsia="Calibri" w:hAnsi="Arial Narrow" w:cs="Arial"/>
                <w:sz w:val="17"/>
                <w:szCs w:val="17"/>
                <w:lang w:val="en-US"/>
              </w:rPr>
            </w:pPr>
            <w:r w:rsidRPr="00076F22">
              <w:rPr>
                <w:rFonts w:ascii="Arial Narrow" w:eastAsia="Calibri" w:hAnsi="Arial Narrow" w:cs="Arial"/>
                <w:sz w:val="17"/>
                <w:szCs w:val="17"/>
                <w:lang w:val="en-US"/>
              </w:rPr>
              <w:t>P</w:t>
            </w:r>
          </w:p>
        </w:tc>
        <w:tc>
          <w:tcPr>
            <w:tcW w:w="2237" w:type="dxa"/>
            <w:tcBorders>
              <w:top w:val="single" w:sz="4" w:space="0" w:color="auto"/>
            </w:tcBorders>
            <w:vAlign w:val="bottom"/>
          </w:tcPr>
          <w:p w:rsidR="00FB4C4F" w:rsidRPr="00076F22" w:rsidRDefault="00FB4C4F" w:rsidP="00A705FF">
            <w:pPr>
              <w:spacing w:after="0" w:line="240" w:lineRule="auto"/>
              <w:jc w:val="right"/>
              <w:rPr>
                <w:rFonts w:ascii="Arial Narrow" w:eastAsia="Calibri" w:hAnsi="Arial Narrow" w:cs="Arial"/>
                <w:sz w:val="17"/>
                <w:szCs w:val="17"/>
                <w:lang w:val="en-US"/>
              </w:rPr>
            </w:pPr>
            <w:r w:rsidRPr="00076F22">
              <w:rPr>
                <w:rFonts w:ascii="Arial Narrow" w:eastAsia="Calibri" w:hAnsi="Arial Narrow" w:cs="Arial"/>
                <w:color w:val="000000"/>
                <w:sz w:val="17"/>
                <w:szCs w:val="17"/>
                <w:lang w:val="en-US"/>
              </w:rPr>
              <w:t xml:space="preserve">34,298,829.00 </w:t>
            </w:r>
          </w:p>
        </w:tc>
        <w:tc>
          <w:tcPr>
            <w:tcW w:w="487" w:type="dxa"/>
            <w:tcBorders>
              <w:top w:val="single" w:sz="4" w:space="0" w:color="auto"/>
            </w:tcBorders>
          </w:tcPr>
          <w:p w:rsidR="00FB4C4F" w:rsidRPr="00076F22" w:rsidRDefault="00FB4C4F" w:rsidP="00A705FF">
            <w:pPr>
              <w:spacing w:after="0" w:line="240" w:lineRule="auto"/>
              <w:jc w:val="both"/>
              <w:rPr>
                <w:rFonts w:ascii="Arial Narrow" w:eastAsia="Calibri" w:hAnsi="Arial Narrow" w:cs="Arial"/>
                <w:sz w:val="17"/>
                <w:szCs w:val="17"/>
                <w:lang w:val="en-US"/>
              </w:rPr>
            </w:pPr>
            <w:r w:rsidRPr="00076F22">
              <w:rPr>
                <w:rFonts w:ascii="Arial Narrow" w:eastAsia="Calibri" w:hAnsi="Arial Narrow" w:cs="Arial"/>
                <w:sz w:val="17"/>
                <w:szCs w:val="17"/>
                <w:lang w:val="en-US"/>
              </w:rPr>
              <w:t>P</w:t>
            </w:r>
          </w:p>
        </w:tc>
        <w:tc>
          <w:tcPr>
            <w:tcW w:w="2342" w:type="dxa"/>
            <w:tcBorders>
              <w:top w:val="single" w:sz="4" w:space="0" w:color="auto"/>
            </w:tcBorders>
            <w:vAlign w:val="bottom"/>
          </w:tcPr>
          <w:p w:rsidR="00FB4C4F" w:rsidRPr="00076F22" w:rsidRDefault="00FB4C4F" w:rsidP="00A705FF">
            <w:pPr>
              <w:tabs>
                <w:tab w:val="left" w:pos="1528"/>
              </w:tabs>
              <w:spacing w:after="0" w:line="240" w:lineRule="auto"/>
              <w:jc w:val="right"/>
              <w:rPr>
                <w:rFonts w:ascii="Arial Narrow" w:eastAsia="Calibri" w:hAnsi="Arial Narrow" w:cs="Arial"/>
                <w:sz w:val="17"/>
                <w:szCs w:val="17"/>
                <w:lang w:val="en-US"/>
              </w:rPr>
            </w:pPr>
            <w:r w:rsidRPr="00076F22">
              <w:rPr>
                <w:rFonts w:ascii="Arial Narrow" w:eastAsia="Calibri" w:hAnsi="Arial Narrow" w:cs="Arial"/>
                <w:color w:val="000000"/>
                <w:sz w:val="17"/>
                <w:szCs w:val="17"/>
                <w:lang w:val="en-US"/>
              </w:rPr>
              <w:t xml:space="preserve">17,149,414.50 </w:t>
            </w:r>
          </w:p>
        </w:tc>
      </w:tr>
      <w:tr w:rsidR="00FB4C4F" w:rsidRPr="00076F22" w:rsidTr="00A705FF">
        <w:trPr>
          <w:trHeight w:val="126"/>
          <w:jc w:val="right"/>
        </w:trPr>
        <w:tc>
          <w:tcPr>
            <w:tcW w:w="1772" w:type="dxa"/>
          </w:tcPr>
          <w:p w:rsidR="00FB4C4F" w:rsidRPr="00076F22" w:rsidRDefault="00FB4C4F" w:rsidP="00A705FF">
            <w:pPr>
              <w:spacing w:after="0" w:line="240" w:lineRule="auto"/>
              <w:jc w:val="center"/>
              <w:rPr>
                <w:rFonts w:ascii="Arial Narrow" w:eastAsia="Calibri" w:hAnsi="Arial Narrow" w:cs="Arial"/>
                <w:sz w:val="17"/>
                <w:szCs w:val="17"/>
                <w:lang w:val="en-US"/>
              </w:rPr>
            </w:pPr>
            <w:r w:rsidRPr="00076F22">
              <w:rPr>
                <w:rFonts w:ascii="Arial Narrow" w:eastAsia="Calibri" w:hAnsi="Arial Narrow" w:cs="Arial"/>
                <w:sz w:val="17"/>
                <w:szCs w:val="17"/>
                <w:lang w:val="en-US"/>
              </w:rPr>
              <w:t>1995</w:t>
            </w:r>
          </w:p>
        </w:tc>
        <w:tc>
          <w:tcPr>
            <w:tcW w:w="487" w:type="dxa"/>
          </w:tcPr>
          <w:p w:rsidR="00FB4C4F" w:rsidRPr="00076F22" w:rsidRDefault="00FB4C4F" w:rsidP="00A705FF">
            <w:pPr>
              <w:spacing w:after="0" w:line="240" w:lineRule="auto"/>
              <w:jc w:val="both"/>
              <w:rPr>
                <w:rFonts w:ascii="Arial Narrow" w:eastAsia="Calibri" w:hAnsi="Arial Narrow" w:cs="Arial"/>
                <w:sz w:val="17"/>
                <w:szCs w:val="17"/>
                <w:lang w:val="en-US"/>
              </w:rPr>
            </w:pPr>
          </w:p>
        </w:tc>
        <w:tc>
          <w:tcPr>
            <w:tcW w:w="2237" w:type="dxa"/>
            <w:vAlign w:val="bottom"/>
          </w:tcPr>
          <w:p w:rsidR="00FB4C4F" w:rsidRPr="00076F22" w:rsidRDefault="00FB4C4F" w:rsidP="00A705FF">
            <w:pPr>
              <w:spacing w:after="0" w:line="240" w:lineRule="auto"/>
              <w:jc w:val="right"/>
              <w:rPr>
                <w:rFonts w:ascii="Arial Narrow" w:eastAsia="Calibri" w:hAnsi="Arial Narrow" w:cs="Arial"/>
                <w:sz w:val="17"/>
                <w:szCs w:val="17"/>
                <w:lang w:val="en-US"/>
              </w:rPr>
            </w:pPr>
            <w:r w:rsidRPr="00076F22">
              <w:rPr>
                <w:rFonts w:ascii="Arial Narrow" w:eastAsia="Calibri" w:hAnsi="Arial Narrow" w:cs="Arial"/>
                <w:color w:val="000000"/>
                <w:sz w:val="17"/>
                <w:szCs w:val="17"/>
                <w:lang w:val="en-US"/>
              </w:rPr>
              <w:t xml:space="preserve">152,114,094.00 </w:t>
            </w:r>
          </w:p>
        </w:tc>
        <w:tc>
          <w:tcPr>
            <w:tcW w:w="487" w:type="dxa"/>
          </w:tcPr>
          <w:p w:rsidR="00FB4C4F" w:rsidRPr="00076F22" w:rsidRDefault="00FB4C4F" w:rsidP="00A705FF">
            <w:pPr>
              <w:spacing w:after="0" w:line="240" w:lineRule="auto"/>
              <w:jc w:val="both"/>
              <w:rPr>
                <w:rFonts w:ascii="Arial Narrow" w:eastAsia="Calibri" w:hAnsi="Arial Narrow" w:cs="Arial"/>
                <w:sz w:val="17"/>
                <w:szCs w:val="17"/>
                <w:lang w:val="en-US"/>
              </w:rPr>
            </w:pPr>
          </w:p>
        </w:tc>
        <w:tc>
          <w:tcPr>
            <w:tcW w:w="2342" w:type="dxa"/>
            <w:vAlign w:val="bottom"/>
          </w:tcPr>
          <w:p w:rsidR="00FB4C4F" w:rsidRPr="00076F22" w:rsidRDefault="00FB4C4F" w:rsidP="00A705FF">
            <w:pPr>
              <w:tabs>
                <w:tab w:val="left" w:pos="1528"/>
              </w:tabs>
              <w:spacing w:after="0" w:line="240" w:lineRule="auto"/>
              <w:jc w:val="right"/>
              <w:rPr>
                <w:rFonts w:ascii="Arial Narrow" w:eastAsia="Calibri" w:hAnsi="Arial Narrow" w:cs="Arial"/>
                <w:sz w:val="17"/>
                <w:szCs w:val="17"/>
                <w:lang w:val="en-US"/>
              </w:rPr>
            </w:pPr>
            <w:r w:rsidRPr="00076F22">
              <w:rPr>
                <w:rFonts w:ascii="Arial Narrow" w:eastAsia="Calibri" w:hAnsi="Arial Narrow" w:cs="Arial"/>
                <w:color w:val="000000"/>
                <w:sz w:val="17"/>
                <w:szCs w:val="17"/>
                <w:lang w:val="en-US"/>
              </w:rPr>
              <w:t xml:space="preserve">76,057,047.00 </w:t>
            </w:r>
          </w:p>
        </w:tc>
      </w:tr>
      <w:tr w:rsidR="00FB4C4F" w:rsidRPr="00076F22" w:rsidTr="00A705FF">
        <w:trPr>
          <w:trHeight w:val="99"/>
          <w:jc w:val="right"/>
        </w:trPr>
        <w:tc>
          <w:tcPr>
            <w:tcW w:w="1772" w:type="dxa"/>
          </w:tcPr>
          <w:p w:rsidR="00FB4C4F" w:rsidRPr="00076F22" w:rsidRDefault="00FB4C4F" w:rsidP="00A705FF">
            <w:pPr>
              <w:spacing w:after="0" w:line="240" w:lineRule="auto"/>
              <w:jc w:val="center"/>
              <w:rPr>
                <w:rFonts w:ascii="Arial Narrow" w:eastAsia="Calibri" w:hAnsi="Arial Narrow" w:cs="Arial"/>
                <w:sz w:val="17"/>
                <w:szCs w:val="17"/>
                <w:lang w:val="en-US"/>
              </w:rPr>
            </w:pPr>
            <w:r w:rsidRPr="00076F22">
              <w:rPr>
                <w:rFonts w:ascii="Arial Narrow" w:eastAsia="Calibri" w:hAnsi="Arial Narrow" w:cs="Arial"/>
                <w:sz w:val="17"/>
                <w:szCs w:val="17"/>
                <w:lang w:val="en-US"/>
              </w:rPr>
              <w:t>1996</w:t>
            </w:r>
          </w:p>
        </w:tc>
        <w:tc>
          <w:tcPr>
            <w:tcW w:w="487" w:type="dxa"/>
          </w:tcPr>
          <w:p w:rsidR="00FB4C4F" w:rsidRPr="00076F22" w:rsidRDefault="00FB4C4F" w:rsidP="00A705FF">
            <w:pPr>
              <w:spacing w:after="0" w:line="240" w:lineRule="auto"/>
              <w:jc w:val="both"/>
              <w:rPr>
                <w:rFonts w:ascii="Arial Narrow" w:eastAsia="Calibri" w:hAnsi="Arial Narrow" w:cs="Arial"/>
                <w:sz w:val="17"/>
                <w:szCs w:val="17"/>
                <w:lang w:val="en-US"/>
              </w:rPr>
            </w:pPr>
          </w:p>
        </w:tc>
        <w:tc>
          <w:tcPr>
            <w:tcW w:w="2237" w:type="dxa"/>
            <w:vAlign w:val="bottom"/>
          </w:tcPr>
          <w:p w:rsidR="00FB4C4F" w:rsidRPr="00076F22" w:rsidRDefault="00FB4C4F" w:rsidP="00A705FF">
            <w:pPr>
              <w:spacing w:after="0" w:line="240" w:lineRule="auto"/>
              <w:jc w:val="right"/>
              <w:rPr>
                <w:rFonts w:ascii="Arial Narrow" w:eastAsia="Calibri" w:hAnsi="Arial Narrow" w:cs="Arial"/>
                <w:sz w:val="17"/>
                <w:szCs w:val="17"/>
                <w:lang w:val="en-US"/>
              </w:rPr>
            </w:pPr>
            <w:r w:rsidRPr="00076F22">
              <w:rPr>
                <w:rFonts w:ascii="Arial Narrow" w:eastAsia="Calibri" w:hAnsi="Arial Narrow" w:cs="Arial"/>
                <w:color w:val="000000"/>
                <w:sz w:val="17"/>
                <w:szCs w:val="17"/>
                <w:lang w:val="en-US"/>
              </w:rPr>
              <w:t xml:space="preserve">121,965,720.00 </w:t>
            </w:r>
          </w:p>
        </w:tc>
        <w:tc>
          <w:tcPr>
            <w:tcW w:w="487" w:type="dxa"/>
          </w:tcPr>
          <w:p w:rsidR="00FB4C4F" w:rsidRPr="00076F22" w:rsidRDefault="00FB4C4F" w:rsidP="00A705FF">
            <w:pPr>
              <w:spacing w:after="0" w:line="240" w:lineRule="auto"/>
              <w:jc w:val="both"/>
              <w:rPr>
                <w:rFonts w:ascii="Arial Narrow" w:eastAsia="Calibri" w:hAnsi="Arial Narrow" w:cs="Arial"/>
                <w:sz w:val="17"/>
                <w:szCs w:val="17"/>
                <w:lang w:val="en-US"/>
              </w:rPr>
            </w:pPr>
          </w:p>
        </w:tc>
        <w:tc>
          <w:tcPr>
            <w:tcW w:w="2342" w:type="dxa"/>
            <w:vAlign w:val="bottom"/>
          </w:tcPr>
          <w:p w:rsidR="00FB4C4F" w:rsidRPr="00076F22" w:rsidRDefault="00FB4C4F" w:rsidP="00A705FF">
            <w:pPr>
              <w:tabs>
                <w:tab w:val="left" w:pos="1528"/>
              </w:tabs>
              <w:spacing w:after="0" w:line="240" w:lineRule="auto"/>
              <w:jc w:val="right"/>
              <w:rPr>
                <w:rFonts w:ascii="Arial Narrow" w:eastAsia="Calibri" w:hAnsi="Arial Narrow" w:cs="Arial"/>
                <w:sz w:val="17"/>
                <w:szCs w:val="17"/>
                <w:lang w:val="en-US"/>
              </w:rPr>
            </w:pPr>
            <w:r w:rsidRPr="00076F22">
              <w:rPr>
                <w:rFonts w:ascii="Arial Narrow" w:eastAsia="Calibri" w:hAnsi="Arial Narrow" w:cs="Arial"/>
                <w:color w:val="000000"/>
                <w:sz w:val="17"/>
                <w:szCs w:val="17"/>
                <w:lang w:val="en-US"/>
              </w:rPr>
              <w:t xml:space="preserve">60,982,860.00 </w:t>
            </w:r>
          </w:p>
        </w:tc>
      </w:tr>
      <w:tr w:rsidR="00FB4C4F" w:rsidRPr="00076F22" w:rsidTr="00A705FF">
        <w:trPr>
          <w:trHeight w:val="171"/>
          <w:jc w:val="right"/>
        </w:trPr>
        <w:tc>
          <w:tcPr>
            <w:tcW w:w="1772" w:type="dxa"/>
          </w:tcPr>
          <w:p w:rsidR="00FB4C4F" w:rsidRPr="00076F22" w:rsidRDefault="00FB4C4F" w:rsidP="00A705FF">
            <w:pPr>
              <w:spacing w:after="0" w:line="240" w:lineRule="auto"/>
              <w:jc w:val="center"/>
              <w:rPr>
                <w:rFonts w:ascii="Arial Narrow" w:eastAsia="Calibri" w:hAnsi="Arial Narrow" w:cs="Arial"/>
                <w:sz w:val="17"/>
                <w:szCs w:val="17"/>
                <w:lang w:val="en-US"/>
              </w:rPr>
            </w:pPr>
            <w:r w:rsidRPr="00076F22">
              <w:rPr>
                <w:rFonts w:ascii="Arial Narrow" w:eastAsia="Calibri" w:hAnsi="Arial Narrow" w:cs="Arial"/>
                <w:sz w:val="17"/>
                <w:szCs w:val="17"/>
                <w:lang w:val="en-US"/>
              </w:rPr>
              <w:t>1997</w:t>
            </w:r>
          </w:p>
        </w:tc>
        <w:tc>
          <w:tcPr>
            <w:tcW w:w="487" w:type="dxa"/>
          </w:tcPr>
          <w:p w:rsidR="00FB4C4F" w:rsidRPr="00076F22" w:rsidRDefault="00FB4C4F" w:rsidP="00A705FF">
            <w:pPr>
              <w:spacing w:after="0" w:line="240" w:lineRule="auto"/>
              <w:jc w:val="both"/>
              <w:rPr>
                <w:rFonts w:ascii="Arial Narrow" w:eastAsia="Calibri" w:hAnsi="Arial Narrow" w:cs="Arial"/>
                <w:sz w:val="17"/>
                <w:szCs w:val="17"/>
                <w:lang w:val="en-US"/>
              </w:rPr>
            </w:pPr>
          </w:p>
        </w:tc>
        <w:tc>
          <w:tcPr>
            <w:tcW w:w="2237" w:type="dxa"/>
            <w:vAlign w:val="bottom"/>
          </w:tcPr>
          <w:p w:rsidR="00FB4C4F" w:rsidRPr="00076F22" w:rsidRDefault="00FB4C4F" w:rsidP="00A705FF">
            <w:pPr>
              <w:spacing w:after="0" w:line="240" w:lineRule="auto"/>
              <w:jc w:val="right"/>
              <w:rPr>
                <w:rFonts w:ascii="Arial Narrow" w:eastAsia="Calibri" w:hAnsi="Arial Narrow" w:cs="Arial"/>
                <w:sz w:val="17"/>
                <w:szCs w:val="17"/>
                <w:lang w:val="en-US"/>
              </w:rPr>
            </w:pPr>
            <w:r w:rsidRPr="00076F22">
              <w:rPr>
                <w:rFonts w:ascii="Arial Narrow" w:eastAsia="Calibri" w:hAnsi="Arial Narrow" w:cs="Arial"/>
                <w:color w:val="000000"/>
                <w:sz w:val="17"/>
                <w:szCs w:val="17"/>
                <w:lang w:val="en-US"/>
              </w:rPr>
              <w:t xml:space="preserve">251,862,591.00 </w:t>
            </w:r>
          </w:p>
        </w:tc>
        <w:tc>
          <w:tcPr>
            <w:tcW w:w="487" w:type="dxa"/>
          </w:tcPr>
          <w:p w:rsidR="00FB4C4F" w:rsidRPr="00076F22" w:rsidRDefault="00FB4C4F" w:rsidP="00A705FF">
            <w:pPr>
              <w:spacing w:after="0" w:line="240" w:lineRule="auto"/>
              <w:jc w:val="both"/>
              <w:rPr>
                <w:rFonts w:ascii="Arial Narrow" w:eastAsia="Calibri" w:hAnsi="Arial Narrow" w:cs="Arial"/>
                <w:sz w:val="17"/>
                <w:szCs w:val="17"/>
                <w:lang w:val="en-US"/>
              </w:rPr>
            </w:pPr>
          </w:p>
        </w:tc>
        <w:tc>
          <w:tcPr>
            <w:tcW w:w="2342" w:type="dxa"/>
            <w:vAlign w:val="bottom"/>
          </w:tcPr>
          <w:p w:rsidR="00FB4C4F" w:rsidRPr="00076F22" w:rsidRDefault="00FB4C4F" w:rsidP="00A705FF">
            <w:pPr>
              <w:tabs>
                <w:tab w:val="left" w:pos="1528"/>
              </w:tabs>
              <w:spacing w:after="0" w:line="240" w:lineRule="auto"/>
              <w:jc w:val="right"/>
              <w:rPr>
                <w:rFonts w:ascii="Arial Narrow" w:eastAsia="Calibri" w:hAnsi="Arial Narrow" w:cs="Arial"/>
                <w:sz w:val="17"/>
                <w:szCs w:val="17"/>
                <w:lang w:val="en-US"/>
              </w:rPr>
            </w:pPr>
            <w:r w:rsidRPr="00076F22">
              <w:rPr>
                <w:rFonts w:ascii="Arial Narrow" w:eastAsia="Calibri" w:hAnsi="Arial Narrow" w:cs="Arial"/>
                <w:color w:val="000000"/>
                <w:sz w:val="17"/>
                <w:szCs w:val="17"/>
                <w:lang w:val="en-US"/>
              </w:rPr>
              <w:t xml:space="preserve">125,931,295.50 </w:t>
            </w:r>
          </w:p>
        </w:tc>
      </w:tr>
      <w:tr w:rsidR="00FB4C4F" w:rsidRPr="00076F22" w:rsidTr="00A705FF">
        <w:trPr>
          <w:trHeight w:val="144"/>
          <w:jc w:val="right"/>
        </w:trPr>
        <w:tc>
          <w:tcPr>
            <w:tcW w:w="1772" w:type="dxa"/>
          </w:tcPr>
          <w:p w:rsidR="00FB4C4F" w:rsidRPr="00076F22" w:rsidRDefault="00FB4C4F" w:rsidP="00A705FF">
            <w:pPr>
              <w:spacing w:after="0" w:line="240" w:lineRule="auto"/>
              <w:jc w:val="center"/>
              <w:rPr>
                <w:rFonts w:ascii="Arial Narrow" w:eastAsia="Calibri" w:hAnsi="Arial Narrow" w:cs="Arial"/>
                <w:sz w:val="17"/>
                <w:szCs w:val="17"/>
                <w:lang w:val="en-US"/>
              </w:rPr>
            </w:pPr>
            <w:r w:rsidRPr="00076F22">
              <w:rPr>
                <w:rFonts w:ascii="Arial Narrow" w:eastAsia="Calibri" w:hAnsi="Arial Narrow" w:cs="Arial"/>
                <w:sz w:val="17"/>
                <w:szCs w:val="17"/>
                <w:lang w:val="en-US"/>
              </w:rPr>
              <w:t>1999</w:t>
            </w:r>
          </w:p>
        </w:tc>
        <w:tc>
          <w:tcPr>
            <w:tcW w:w="487" w:type="dxa"/>
          </w:tcPr>
          <w:p w:rsidR="00FB4C4F" w:rsidRPr="00076F22" w:rsidRDefault="00FB4C4F" w:rsidP="00A705FF">
            <w:pPr>
              <w:spacing w:after="0" w:line="240" w:lineRule="auto"/>
              <w:jc w:val="both"/>
              <w:rPr>
                <w:rFonts w:ascii="Arial Narrow" w:eastAsia="Calibri" w:hAnsi="Arial Narrow" w:cs="Arial"/>
                <w:sz w:val="17"/>
                <w:szCs w:val="17"/>
                <w:lang w:val="en-US"/>
              </w:rPr>
            </w:pPr>
          </w:p>
        </w:tc>
        <w:tc>
          <w:tcPr>
            <w:tcW w:w="2237" w:type="dxa"/>
            <w:vAlign w:val="bottom"/>
          </w:tcPr>
          <w:p w:rsidR="00FB4C4F" w:rsidRPr="00076F22" w:rsidRDefault="00FB4C4F" w:rsidP="00A705FF">
            <w:pPr>
              <w:spacing w:after="0" w:line="240" w:lineRule="auto"/>
              <w:jc w:val="right"/>
              <w:rPr>
                <w:rFonts w:ascii="Arial Narrow" w:eastAsia="Calibri" w:hAnsi="Arial Narrow" w:cs="Arial"/>
                <w:sz w:val="17"/>
                <w:szCs w:val="17"/>
                <w:lang w:val="en-US"/>
              </w:rPr>
            </w:pPr>
            <w:r w:rsidRPr="00076F22">
              <w:rPr>
                <w:rFonts w:ascii="Arial Narrow" w:eastAsia="Calibri" w:hAnsi="Arial Narrow" w:cs="Arial"/>
                <w:color w:val="000000"/>
                <w:sz w:val="17"/>
                <w:szCs w:val="17"/>
                <w:lang w:val="en-US"/>
              </w:rPr>
              <w:t xml:space="preserve">60,725,554.00 </w:t>
            </w:r>
          </w:p>
        </w:tc>
        <w:tc>
          <w:tcPr>
            <w:tcW w:w="487" w:type="dxa"/>
          </w:tcPr>
          <w:p w:rsidR="00FB4C4F" w:rsidRPr="00076F22" w:rsidRDefault="00FB4C4F" w:rsidP="00A705FF">
            <w:pPr>
              <w:spacing w:after="0" w:line="240" w:lineRule="auto"/>
              <w:jc w:val="both"/>
              <w:rPr>
                <w:rFonts w:ascii="Arial Narrow" w:eastAsia="Calibri" w:hAnsi="Arial Narrow" w:cs="Arial"/>
                <w:sz w:val="17"/>
                <w:szCs w:val="17"/>
                <w:lang w:val="en-US"/>
              </w:rPr>
            </w:pPr>
          </w:p>
        </w:tc>
        <w:tc>
          <w:tcPr>
            <w:tcW w:w="2342" w:type="dxa"/>
            <w:vAlign w:val="bottom"/>
          </w:tcPr>
          <w:p w:rsidR="00FB4C4F" w:rsidRPr="00076F22" w:rsidRDefault="00FB4C4F" w:rsidP="00A705FF">
            <w:pPr>
              <w:tabs>
                <w:tab w:val="left" w:pos="1528"/>
              </w:tabs>
              <w:spacing w:after="0" w:line="240" w:lineRule="auto"/>
              <w:jc w:val="right"/>
              <w:rPr>
                <w:rFonts w:ascii="Arial Narrow" w:eastAsia="Calibri" w:hAnsi="Arial Narrow" w:cs="Arial"/>
                <w:sz w:val="17"/>
                <w:szCs w:val="17"/>
                <w:lang w:val="en-US"/>
              </w:rPr>
            </w:pPr>
            <w:r w:rsidRPr="00076F22">
              <w:rPr>
                <w:rFonts w:ascii="Arial Narrow" w:eastAsia="Calibri" w:hAnsi="Arial Narrow" w:cs="Arial"/>
                <w:color w:val="000000"/>
                <w:sz w:val="17"/>
                <w:szCs w:val="17"/>
                <w:lang w:val="en-US"/>
              </w:rPr>
              <w:t xml:space="preserve">30,362,777.00 </w:t>
            </w:r>
          </w:p>
        </w:tc>
      </w:tr>
      <w:tr w:rsidR="00FB4C4F" w:rsidRPr="00076F22" w:rsidTr="00A705FF">
        <w:trPr>
          <w:trHeight w:val="108"/>
          <w:jc w:val="right"/>
        </w:trPr>
        <w:tc>
          <w:tcPr>
            <w:tcW w:w="1772" w:type="dxa"/>
          </w:tcPr>
          <w:p w:rsidR="00FB4C4F" w:rsidRPr="00076F22" w:rsidRDefault="00FB4C4F" w:rsidP="00A705FF">
            <w:pPr>
              <w:spacing w:after="0" w:line="240" w:lineRule="auto"/>
              <w:jc w:val="center"/>
              <w:rPr>
                <w:rFonts w:ascii="Arial Narrow" w:eastAsia="Calibri" w:hAnsi="Arial Narrow" w:cs="Arial"/>
                <w:sz w:val="17"/>
                <w:szCs w:val="17"/>
                <w:lang w:val="en-US"/>
              </w:rPr>
            </w:pPr>
            <w:r w:rsidRPr="00076F22">
              <w:rPr>
                <w:rFonts w:ascii="Arial Narrow" w:eastAsia="Calibri" w:hAnsi="Arial Narrow" w:cs="Arial"/>
                <w:sz w:val="17"/>
                <w:szCs w:val="17"/>
                <w:lang w:val="en-US"/>
              </w:rPr>
              <w:t>2002</w:t>
            </w:r>
          </w:p>
        </w:tc>
        <w:tc>
          <w:tcPr>
            <w:tcW w:w="487" w:type="dxa"/>
          </w:tcPr>
          <w:p w:rsidR="00FB4C4F" w:rsidRPr="00076F22" w:rsidRDefault="00FB4C4F" w:rsidP="00A705FF">
            <w:pPr>
              <w:spacing w:after="0" w:line="240" w:lineRule="auto"/>
              <w:jc w:val="both"/>
              <w:rPr>
                <w:rFonts w:ascii="Arial Narrow" w:eastAsia="Calibri" w:hAnsi="Arial Narrow" w:cs="Arial"/>
                <w:sz w:val="17"/>
                <w:szCs w:val="17"/>
                <w:lang w:val="en-US"/>
              </w:rPr>
            </w:pPr>
          </w:p>
        </w:tc>
        <w:tc>
          <w:tcPr>
            <w:tcW w:w="2237" w:type="dxa"/>
            <w:vAlign w:val="bottom"/>
          </w:tcPr>
          <w:p w:rsidR="00FB4C4F" w:rsidRPr="00076F22" w:rsidRDefault="00FB4C4F" w:rsidP="00A705FF">
            <w:pPr>
              <w:spacing w:after="0" w:line="240" w:lineRule="auto"/>
              <w:jc w:val="right"/>
              <w:rPr>
                <w:rFonts w:ascii="Arial Narrow" w:eastAsia="Calibri" w:hAnsi="Arial Narrow" w:cs="Arial"/>
                <w:sz w:val="17"/>
                <w:szCs w:val="17"/>
                <w:lang w:val="en-US"/>
              </w:rPr>
            </w:pPr>
            <w:r w:rsidRPr="00076F22">
              <w:rPr>
                <w:rFonts w:ascii="Arial Narrow" w:eastAsia="Calibri" w:hAnsi="Arial Narrow" w:cs="Arial"/>
                <w:color w:val="000000"/>
                <w:sz w:val="17"/>
                <w:szCs w:val="17"/>
                <w:lang w:val="en-US"/>
              </w:rPr>
              <w:t xml:space="preserve">50,173,648.00 </w:t>
            </w:r>
          </w:p>
        </w:tc>
        <w:tc>
          <w:tcPr>
            <w:tcW w:w="487" w:type="dxa"/>
          </w:tcPr>
          <w:p w:rsidR="00FB4C4F" w:rsidRPr="00076F22" w:rsidRDefault="00FB4C4F" w:rsidP="00A705FF">
            <w:pPr>
              <w:spacing w:after="0" w:line="240" w:lineRule="auto"/>
              <w:jc w:val="both"/>
              <w:rPr>
                <w:rFonts w:ascii="Arial Narrow" w:eastAsia="Calibri" w:hAnsi="Arial Narrow" w:cs="Arial"/>
                <w:sz w:val="17"/>
                <w:szCs w:val="17"/>
                <w:lang w:val="en-US"/>
              </w:rPr>
            </w:pPr>
          </w:p>
        </w:tc>
        <w:tc>
          <w:tcPr>
            <w:tcW w:w="2342" w:type="dxa"/>
            <w:vAlign w:val="bottom"/>
          </w:tcPr>
          <w:p w:rsidR="00FB4C4F" w:rsidRPr="00076F22" w:rsidRDefault="00FB4C4F" w:rsidP="00A705FF">
            <w:pPr>
              <w:tabs>
                <w:tab w:val="left" w:pos="1528"/>
              </w:tabs>
              <w:spacing w:after="0" w:line="240" w:lineRule="auto"/>
              <w:jc w:val="right"/>
              <w:rPr>
                <w:rFonts w:ascii="Arial Narrow" w:eastAsia="Calibri" w:hAnsi="Arial Narrow" w:cs="Arial"/>
                <w:sz w:val="17"/>
                <w:szCs w:val="17"/>
                <w:lang w:val="en-US"/>
              </w:rPr>
            </w:pPr>
            <w:r w:rsidRPr="00076F22">
              <w:rPr>
                <w:rFonts w:ascii="Arial Narrow" w:eastAsia="Calibri" w:hAnsi="Arial Narrow" w:cs="Arial"/>
                <w:color w:val="000000"/>
                <w:sz w:val="17"/>
                <w:szCs w:val="17"/>
                <w:lang w:val="en-US"/>
              </w:rPr>
              <w:t xml:space="preserve">25,086,824.00 </w:t>
            </w:r>
          </w:p>
        </w:tc>
      </w:tr>
      <w:tr w:rsidR="00FB4C4F" w:rsidRPr="00076F22" w:rsidTr="00A705FF">
        <w:trPr>
          <w:trHeight w:val="90"/>
          <w:jc w:val="right"/>
        </w:trPr>
        <w:tc>
          <w:tcPr>
            <w:tcW w:w="1772" w:type="dxa"/>
          </w:tcPr>
          <w:p w:rsidR="00FB4C4F" w:rsidRPr="00076F22" w:rsidRDefault="00FB4C4F" w:rsidP="00A705FF">
            <w:pPr>
              <w:spacing w:after="0" w:line="240" w:lineRule="auto"/>
              <w:jc w:val="center"/>
              <w:rPr>
                <w:rFonts w:ascii="Arial Narrow" w:eastAsia="Calibri" w:hAnsi="Arial Narrow" w:cs="Arial"/>
                <w:sz w:val="17"/>
                <w:szCs w:val="17"/>
                <w:lang w:val="en-US"/>
              </w:rPr>
            </w:pPr>
            <w:r w:rsidRPr="00076F22">
              <w:rPr>
                <w:rFonts w:ascii="Arial Narrow" w:eastAsia="Calibri" w:hAnsi="Arial Narrow" w:cs="Arial"/>
                <w:sz w:val="17"/>
                <w:szCs w:val="17"/>
                <w:lang w:val="en-US"/>
              </w:rPr>
              <w:t>2003</w:t>
            </w:r>
          </w:p>
        </w:tc>
        <w:tc>
          <w:tcPr>
            <w:tcW w:w="487" w:type="dxa"/>
          </w:tcPr>
          <w:p w:rsidR="00FB4C4F" w:rsidRPr="00076F22" w:rsidRDefault="00FB4C4F" w:rsidP="00A705FF">
            <w:pPr>
              <w:spacing w:after="0" w:line="240" w:lineRule="auto"/>
              <w:jc w:val="both"/>
              <w:rPr>
                <w:rFonts w:ascii="Arial Narrow" w:eastAsia="Calibri" w:hAnsi="Arial Narrow" w:cs="Arial"/>
                <w:sz w:val="17"/>
                <w:szCs w:val="17"/>
                <w:lang w:val="en-US"/>
              </w:rPr>
            </w:pPr>
          </w:p>
        </w:tc>
        <w:tc>
          <w:tcPr>
            <w:tcW w:w="2237" w:type="dxa"/>
            <w:vAlign w:val="bottom"/>
          </w:tcPr>
          <w:p w:rsidR="00FB4C4F" w:rsidRPr="00076F22" w:rsidRDefault="00FB4C4F" w:rsidP="00A705FF">
            <w:pPr>
              <w:spacing w:after="0" w:line="240" w:lineRule="auto"/>
              <w:jc w:val="right"/>
              <w:rPr>
                <w:rFonts w:ascii="Arial Narrow" w:eastAsia="Calibri" w:hAnsi="Arial Narrow" w:cs="Arial"/>
                <w:sz w:val="17"/>
                <w:szCs w:val="17"/>
                <w:lang w:val="en-US"/>
              </w:rPr>
            </w:pPr>
            <w:r w:rsidRPr="00076F22">
              <w:rPr>
                <w:rFonts w:ascii="Arial Narrow" w:eastAsia="Calibri" w:hAnsi="Arial Narrow" w:cs="Arial"/>
                <w:color w:val="000000"/>
                <w:sz w:val="17"/>
                <w:szCs w:val="17"/>
                <w:lang w:val="en-US"/>
              </w:rPr>
              <w:t xml:space="preserve">63,430,115.00 </w:t>
            </w:r>
          </w:p>
        </w:tc>
        <w:tc>
          <w:tcPr>
            <w:tcW w:w="487" w:type="dxa"/>
          </w:tcPr>
          <w:p w:rsidR="00FB4C4F" w:rsidRPr="00076F22" w:rsidRDefault="00FB4C4F" w:rsidP="00A705FF">
            <w:pPr>
              <w:spacing w:after="0" w:line="240" w:lineRule="auto"/>
              <w:jc w:val="both"/>
              <w:rPr>
                <w:rFonts w:ascii="Arial Narrow" w:eastAsia="Calibri" w:hAnsi="Arial Narrow" w:cs="Arial"/>
                <w:sz w:val="17"/>
                <w:szCs w:val="17"/>
                <w:lang w:val="en-US"/>
              </w:rPr>
            </w:pPr>
          </w:p>
        </w:tc>
        <w:tc>
          <w:tcPr>
            <w:tcW w:w="2342" w:type="dxa"/>
            <w:vAlign w:val="bottom"/>
          </w:tcPr>
          <w:p w:rsidR="00FB4C4F" w:rsidRPr="00076F22" w:rsidRDefault="00FB4C4F" w:rsidP="00A705FF">
            <w:pPr>
              <w:tabs>
                <w:tab w:val="left" w:pos="1528"/>
              </w:tabs>
              <w:spacing w:after="0" w:line="240" w:lineRule="auto"/>
              <w:jc w:val="right"/>
              <w:rPr>
                <w:rFonts w:ascii="Arial Narrow" w:eastAsia="Calibri" w:hAnsi="Arial Narrow" w:cs="Arial"/>
                <w:sz w:val="17"/>
                <w:szCs w:val="17"/>
                <w:lang w:val="en-US"/>
              </w:rPr>
            </w:pPr>
            <w:r w:rsidRPr="00076F22">
              <w:rPr>
                <w:rFonts w:ascii="Arial Narrow" w:eastAsia="Calibri" w:hAnsi="Arial Narrow" w:cs="Arial"/>
                <w:color w:val="000000"/>
                <w:sz w:val="17"/>
                <w:szCs w:val="17"/>
                <w:lang w:val="en-US"/>
              </w:rPr>
              <w:t xml:space="preserve">31,715,057.50 </w:t>
            </w:r>
          </w:p>
        </w:tc>
      </w:tr>
      <w:tr w:rsidR="00FB4C4F" w:rsidRPr="00076F22" w:rsidTr="00A705FF">
        <w:trPr>
          <w:trHeight w:val="108"/>
          <w:jc w:val="right"/>
        </w:trPr>
        <w:tc>
          <w:tcPr>
            <w:tcW w:w="1772" w:type="dxa"/>
          </w:tcPr>
          <w:p w:rsidR="00FB4C4F" w:rsidRPr="00076F22" w:rsidRDefault="00FB4C4F" w:rsidP="00A705FF">
            <w:pPr>
              <w:spacing w:after="0" w:line="240" w:lineRule="auto"/>
              <w:jc w:val="center"/>
              <w:rPr>
                <w:rFonts w:ascii="Arial Narrow" w:eastAsia="Calibri" w:hAnsi="Arial Narrow" w:cs="Arial"/>
                <w:sz w:val="17"/>
                <w:szCs w:val="17"/>
                <w:lang w:val="en-US"/>
              </w:rPr>
            </w:pPr>
            <w:r w:rsidRPr="00076F22">
              <w:rPr>
                <w:rFonts w:ascii="Arial Narrow" w:eastAsia="Calibri" w:hAnsi="Arial Narrow" w:cs="Arial"/>
                <w:sz w:val="17"/>
                <w:szCs w:val="17"/>
                <w:lang w:val="en-US"/>
              </w:rPr>
              <w:t>2004</w:t>
            </w:r>
          </w:p>
        </w:tc>
        <w:tc>
          <w:tcPr>
            <w:tcW w:w="487" w:type="dxa"/>
          </w:tcPr>
          <w:p w:rsidR="00FB4C4F" w:rsidRPr="00076F22" w:rsidRDefault="00FB4C4F" w:rsidP="00A705FF">
            <w:pPr>
              <w:spacing w:after="0" w:line="240" w:lineRule="auto"/>
              <w:jc w:val="both"/>
              <w:rPr>
                <w:rFonts w:ascii="Arial Narrow" w:eastAsia="Calibri" w:hAnsi="Arial Narrow" w:cs="Arial"/>
                <w:sz w:val="17"/>
                <w:szCs w:val="17"/>
                <w:lang w:val="en-US"/>
              </w:rPr>
            </w:pPr>
          </w:p>
        </w:tc>
        <w:tc>
          <w:tcPr>
            <w:tcW w:w="2237" w:type="dxa"/>
            <w:vAlign w:val="bottom"/>
          </w:tcPr>
          <w:p w:rsidR="00FB4C4F" w:rsidRPr="00076F22" w:rsidRDefault="00FB4C4F" w:rsidP="00A705FF">
            <w:pPr>
              <w:spacing w:after="0" w:line="240" w:lineRule="auto"/>
              <w:jc w:val="right"/>
              <w:rPr>
                <w:rFonts w:ascii="Arial Narrow" w:eastAsia="Calibri" w:hAnsi="Arial Narrow" w:cs="Arial"/>
                <w:sz w:val="17"/>
                <w:szCs w:val="17"/>
                <w:lang w:val="en-US"/>
              </w:rPr>
            </w:pPr>
            <w:r w:rsidRPr="00076F22">
              <w:rPr>
                <w:rFonts w:ascii="Arial Narrow" w:eastAsia="Calibri" w:hAnsi="Arial Narrow" w:cs="Arial"/>
                <w:color w:val="000000"/>
                <w:sz w:val="17"/>
                <w:szCs w:val="17"/>
                <w:lang w:val="en-US"/>
              </w:rPr>
              <w:t xml:space="preserve">21,538,077.00 </w:t>
            </w:r>
          </w:p>
        </w:tc>
        <w:tc>
          <w:tcPr>
            <w:tcW w:w="487" w:type="dxa"/>
          </w:tcPr>
          <w:p w:rsidR="00FB4C4F" w:rsidRPr="00076F22" w:rsidRDefault="00FB4C4F" w:rsidP="00A705FF">
            <w:pPr>
              <w:spacing w:after="0" w:line="240" w:lineRule="auto"/>
              <w:jc w:val="both"/>
              <w:rPr>
                <w:rFonts w:ascii="Arial Narrow" w:eastAsia="Calibri" w:hAnsi="Arial Narrow" w:cs="Arial"/>
                <w:sz w:val="17"/>
                <w:szCs w:val="17"/>
                <w:lang w:val="en-US"/>
              </w:rPr>
            </w:pPr>
          </w:p>
        </w:tc>
        <w:tc>
          <w:tcPr>
            <w:tcW w:w="2342" w:type="dxa"/>
            <w:vAlign w:val="bottom"/>
          </w:tcPr>
          <w:p w:rsidR="00FB4C4F" w:rsidRPr="00076F22" w:rsidRDefault="00FB4C4F" w:rsidP="00A705FF">
            <w:pPr>
              <w:tabs>
                <w:tab w:val="left" w:pos="1528"/>
              </w:tabs>
              <w:spacing w:after="0" w:line="240" w:lineRule="auto"/>
              <w:jc w:val="right"/>
              <w:rPr>
                <w:rFonts w:ascii="Arial Narrow" w:eastAsia="Calibri" w:hAnsi="Arial Narrow" w:cs="Arial"/>
                <w:sz w:val="17"/>
                <w:szCs w:val="17"/>
                <w:lang w:val="en-US"/>
              </w:rPr>
            </w:pPr>
            <w:r w:rsidRPr="00076F22">
              <w:rPr>
                <w:rFonts w:ascii="Arial Narrow" w:eastAsia="Calibri" w:hAnsi="Arial Narrow" w:cs="Arial"/>
                <w:color w:val="000000"/>
                <w:sz w:val="17"/>
                <w:szCs w:val="17"/>
                <w:lang w:val="en-US"/>
              </w:rPr>
              <w:t xml:space="preserve">10,769,038.50 </w:t>
            </w:r>
          </w:p>
        </w:tc>
      </w:tr>
      <w:tr w:rsidR="00FB4C4F" w:rsidRPr="00076F22" w:rsidTr="00A705FF">
        <w:trPr>
          <w:trHeight w:val="117"/>
          <w:jc w:val="right"/>
        </w:trPr>
        <w:tc>
          <w:tcPr>
            <w:tcW w:w="1772" w:type="dxa"/>
          </w:tcPr>
          <w:p w:rsidR="00FB4C4F" w:rsidRPr="00076F22" w:rsidRDefault="00FB4C4F" w:rsidP="00A705FF">
            <w:pPr>
              <w:spacing w:after="0" w:line="240" w:lineRule="auto"/>
              <w:jc w:val="center"/>
              <w:rPr>
                <w:rFonts w:ascii="Arial Narrow" w:eastAsia="Calibri" w:hAnsi="Arial Narrow" w:cs="Arial"/>
                <w:sz w:val="17"/>
                <w:szCs w:val="17"/>
                <w:lang w:val="en-US"/>
              </w:rPr>
            </w:pPr>
            <w:r w:rsidRPr="00076F22">
              <w:rPr>
                <w:rFonts w:ascii="Arial Narrow" w:eastAsia="Calibri" w:hAnsi="Arial Narrow" w:cs="Arial"/>
                <w:sz w:val="17"/>
                <w:szCs w:val="17"/>
                <w:lang w:val="en-US"/>
              </w:rPr>
              <w:t>2005</w:t>
            </w:r>
          </w:p>
        </w:tc>
        <w:tc>
          <w:tcPr>
            <w:tcW w:w="487" w:type="dxa"/>
          </w:tcPr>
          <w:p w:rsidR="00FB4C4F" w:rsidRPr="00076F22" w:rsidRDefault="00FB4C4F" w:rsidP="00A705FF">
            <w:pPr>
              <w:spacing w:after="0" w:line="240" w:lineRule="auto"/>
              <w:jc w:val="both"/>
              <w:rPr>
                <w:rFonts w:ascii="Arial Narrow" w:eastAsia="Calibri" w:hAnsi="Arial Narrow" w:cs="Arial"/>
                <w:sz w:val="17"/>
                <w:szCs w:val="17"/>
                <w:lang w:val="en-US"/>
              </w:rPr>
            </w:pPr>
          </w:p>
        </w:tc>
        <w:tc>
          <w:tcPr>
            <w:tcW w:w="2237" w:type="dxa"/>
            <w:vAlign w:val="bottom"/>
          </w:tcPr>
          <w:p w:rsidR="00FB4C4F" w:rsidRPr="00076F22" w:rsidRDefault="00FB4C4F" w:rsidP="00A705FF">
            <w:pPr>
              <w:spacing w:after="0" w:line="240" w:lineRule="auto"/>
              <w:jc w:val="right"/>
              <w:rPr>
                <w:rFonts w:ascii="Arial Narrow" w:eastAsia="Calibri" w:hAnsi="Arial Narrow" w:cs="Arial"/>
                <w:sz w:val="17"/>
                <w:szCs w:val="17"/>
                <w:lang w:val="en-US"/>
              </w:rPr>
            </w:pPr>
            <w:r w:rsidRPr="00076F22">
              <w:rPr>
                <w:rFonts w:ascii="Arial Narrow" w:eastAsia="Calibri" w:hAnsi="Arial Narrow" w:cs="Arial"/>
                <w:color w:val="000000"/>
                <w:sz w:val="17"/>
                <w:szCs w:val="17"/>
                <w:lang w:val="en-US"/>
              </w:rPr>
              <w:t xml:space="preserve">566,264,329.00 </w:t>
            </w:r>
          </w:p>
        </w:tc>
        <w:tc>
          <w:tcPr>
            <w:tcW w:w="487" w:type="dxa"/>
          </w:tcPr>
          <w:p w:rsidR="00FB4C4F" w:rsidRPr="00076F22" w:rsidRDefault="00FB4C4F" w:rsidP="00A705FF">
            <w:pPr>
              <w:spacing w:after="0" w:line="240" w:lineRule="auto"/>
              <w:jc w:val="both"/>
              <w:rPr>
                <w:rFonts w:ascii="Arial Narrow" w:eastAsia="Calibri" w:hAnsi="Arial Narrow" w:cs="Arial"/>
                <w:sz w:val="17"/>
                <w:szCs w:val="17"/>
                <w:lang w:val="en-US"/>
              </w:rPr>
            </w:pPr>
          </w:p>
        </w:tc>
        <w:tc>
          <w:tcPr>
            <w:tcW w:w="2342" w:type="dxa"/>
            <w:vAlign w:val="bottom"/>
          </w:tcPr>
          <w:p w:rsidR="00FB4C4F" w:rsidRPr="00076F22" w:rsidRDefault="00FB4C4F" w:rsidP="00A705FF">
            <w:pPr>
              <w:tabs>
                <w:tab w:val="left" w:pos="1528"/>
              </w:tabs>
              <w:spacing w:after="0" w:line="240" w:lineRule="auto"/>
              <w:jc w:val="right"/>
              <w:rPr>
                <w:rFonts w:ascii="Arial Narrow" w:eastAsia="Calibri" w:hAnsi="Arial Narrow" w:cs="Arial"/>
                <w:sz w:val="17"/>
                <w:szCs w:val="17"/>
                <w:lang w:val="en-US"/>
              </w:rPr>
            </w:pPr>
            <w:r w:rsidRPr="00076F22">
              <w:rPr>
                <w:rFonts w:ascii="Arial Narrow" w:eastAsia="Calibri" w:hAnsi="Arial Narrow" w:cs="Arial"/>
                <w:color w:val="000000"/>
                <w:sz w:val="17"/>
                <w:szCs w:val="17"/>
                <w:lang w:val="en-US"/>
              </w:rPr>
              <w:t xml:space="preserve">283,132,164.50 </w:t>
            </w:r>
          </w:p>
        </w:tc>
      </w:tr>
      <w:tr w:rsidR="00FB4C4F" w:rsidRPr="00076F22" w:rsidTr="00A705FF">
        <w:trPr>
          <w:trHeight w:val="189"/>
          <w:jc w:val="right"/>
        </w:trPr>
        <w:tc>
          <w:tcPr>
            <w:tcW w:w="1772" w:type="dxa"/>
          </w:tcPr>
          <w:p w:rsidR="00FB4C4F" w:rsidRPr="00076F22" w:rsidRDefault="00FB4C4F" w:rsidP="00A705FF">
            <w:pPr>
              <w:spacing w:after="0" w:line="240" w:lineRule="auto"/>
              <w:jc w:val="center"/>
              <w:rPr>
                <w:rFonts w:ascii="Arial Narrow" w:eastAsia="Calibri" w:hAnsi="Arial Narrow" w:cs="Arial"/>
                <w:sz w:val="17"/>
                <w:szCs w:val="17"/>
                <w:lang w:val="en-US"/>
              </w:rPr>
            </w:pPr>
            <w:r w:rsidRPr="00076F22">
              <w:rPr>
                <w:rFonts w:ascii="Arial Narrow" w:eastAsia="Calibri" w:hAnsi="Arial Narrow" w:cs="Arial"/>
                <w:sz w:val="17"/>
                <w:szCs w:val="17"/>
                <w:lang w:val="en-US"/>
              </w:rPr>
              <w:t>2006</w:t>
            </w:r>
          </w:p>
        </w:tc>
        <w:tc>
          <w:tcPr>
            <w:tcW w:w="487" w:type="dxa"/>
          </w:tcPr>
          <w:p w:rsidR="00FB4C4F" w:rsidRPr="00076F22" w:rsidRDefault="00FB4C4F" w:rsidP="00A705FF">
            <w:pPr>
              <w:spacing w:after="0" w:line="240" w:lineRule="auto"/>
              <w:jc w:val="both"/>
              <w:rPr>
                <w:rFonts w:ascii="Arial Narrow" w:eastAsia="Calibri" w:hAnsi="Arial Narrow" w:cs="Arial"/>
                <w:sz w:val="17"/>
                <w:szCs w:val="17"/>
                <w:lang w:val="en-US"/>
              </w:rPr>
            </w:pPr>
          </w:p>
        </w:tc>
        <w:tc>
          <w:tcPr>
            <w:tcW w:w="2237" w:type="dxa"/>
            <w:vAlign w:val="bottom"/>
          </w:tcPr>
          <w:p w:rsidR="00FB4C4F" w:rsidRPr="00076F22" w:rsidRDefault="00FB4C4F" w:rsidP="00A705FF">
            <w:pPr>
              <w:spacing w:after="0" w:line="240" w:lineRule="auto"/>
              <w:jc w:val="right"/>
              <w:rPr>
                <w:rFonts w:ascii="Arial Narrow" w:eastAsia="Calibri" w:hAnsi="Arial Narrow" w:cs="Arial"/>
                <w:sz w:val="17"/>
                <w:szCs w:val="17"/>
                <w:lang w:val="en-US"/>
              </w:rPr>
            </w:pPr>
            <w:r w:rsidRPr="00076F22">
              <w:rPr>
                <w:rFonts w:ascii="Arial Narrow" w:eastAsia="Calibri" w:hAnsi="Arial Narrow" w:cs="Arial"/>
                <w:color w:val="000000"/>
                <w:sz w:val="17"/>
                <w:szCs w:val="17"/>
                <w:lang w:val="en-US"/>
              </w:rPr>
              <w:t xml:space="preserve">67,379,246.00 </w:t>
            </w:r>
          </w:p>
        </w:tc>
        <w:tc>
          <w:tcPr>
            <w:tcW w:w="487" w:type="dxa"/>
          </w:tcPr>
          <w:p w:rsidR="00FB4C4F" w:rsidRPr="00076F22" w:rsidRDefault="00FB4C4F" w:rsidP="00A705FF">
            <w:pPr>
              <w:spacing w:after="0" w:line="240" w:lineRule="auto"/>
              <w:jc w:val="both"/>
              <w:rPr>
                <w:rFonts w:ascii="Arial Narrow" w:eastAsia="Calibri" w:hAnsi="Arial Narrow" w:cs="Arial"/>
                <w:sz w:val="17"/>
                <w:szCs w:val="17"/>
                <w:lang w:val="en-US"/>
              </w:rPr>
            </w:pPr>
          </w:p>
        </w:tc>
        <w:tc>
          <w:tcPr>
            <w:tcW w:w="2342" w:type="dxa"/>
            <w:vAlign w:val="bottom"/>
          </w:tcPr>
          <w:p w:rsidR="00FB4C4F" w:rsidRPr="00076F22" w:rsidRDefault="00FB4C4F" w:rsidP="00A705FF">
            <w:pPr>
              <w:tabs>
                <w:tab w:val="left" w:pos="1528"/>
              </w:tabs>
              <w:spacing w:after="0" w:line="240" w:lineRule="auto"/>
              <w:jc w:val="right"/>
              <w:rPr>
                <w:rFonts w:ascii="Arial Narrow" w:eastAsia="Calibri" w:hAnsi="Arial Narrow" w:cs="Arial"/>
                <w:sz w:val="17"/>
                <w:szCs w:val="17"/>
                <w:lang w:val="en-US"/>
              </w:rPr>
            </w:pPr>
            <w:r w:rsidRPr="00076F22">
              <w:rPr>
                <w:rFonts w:ascii="Arial Narrow" w:eastAsia="Calibri" w:hAnsi="Arial Narrow" w:cs="Arial"/>
                <w:color w:val="000000"/>
                <w:sz w:val="17"/>
                <w:szCs w:val="17"/>
                <w:lang w:val="en-US"/>
              </w:rPr>
              <w:t xml:space="preserve">33,689,623.00 </w:t>
            </w:r>
          </w:p>
        </w:tc>
      </w:tr>
      <w:tr w:rsidR="00FB4C4F" w:rsidRPr="00076F22" w:rsidTr="00A705FF">
        <w:trPr>
          <w:trHeight w:val="171"/>
          <w:jc w:val="right"/>
        </w:trPr>
        <w:tc>
          <w:tcPr>
            <w:tcW w:w="1772" w:type="dxa"/>
          </w:tcPr>
          <w:p w:rsidR="00FB4C4F" w:rsidRPr="00076F22" w:rsidRDefault="00FB4C4F" w:rsidP="00A705FF">
            <w:pPr>
              <w:spacing w:after="0" w:line="240" w:lineRule="auto"/>
              <w:jc w:val="center"/>
              <w:rPr>
                <w:rFonts w:ascii="Arial Narrow" w:eastAsia="Calibri" w:hAnsi="Arial Narrow" w:cs="Arial"/>
                <w:sz w:val="17"/>
                <w:szCs w:val="17"/>
                <w:lang w:val="en-US"/>
              </w:rPr>
            </w:pPr>
            <w:r w:rsidRPr="00076F22">
              <w:rPr>
                <w:rFonts w:ascii="Arial Narrow" w:eastAsia="Calibri" w:hAnsi="Arial Narrow" w:cs="Arial"/>
                <w:sz w:val="17"/>
                <w:szCs w:val="17"/>
                <w:lang w:val="en-US"/>
              </w:rPr>
              <w:t>2007</w:t>
            </w:r>
          </w:p>
        </w:tc>
        <w:tc>
          <w:tcPr>
            <w:tcW w:w="487" w:type="dxa"/>
          </w:tcPr>
          <w:p w:rsidR="00FB4C4F" w:rsidRPr="00076F22" w:rsidRDefault="00FB4C4F" w:rsidP="00A705FF">
            <w:pPr>
              <w:spacing w:after="0" w:line="240" w:lineRule="auto"/>
              <w:jc w:val="both"/>
              <w:rPr>
                <w:rFonts w:ascii="Arial Narrow" w:eastAsia="Calibri" w:hAnsi="Arial Narrow" w:cs="Arial"/>
                <w:sz w:val="17"/>
                <w:szCs w:val="17"/>
                <w:lang w:val="en-US"/>
              </w:rPr>
            </w:pPr>
          </w:p>
        </w:tc>
        <w:tc>
          <w:tcPr>
            <w:tcW w:w="2237" w:type="dxa"/>
            <w:vAlign w:val="bottom"/>
          </w:tcPr>
          <w:p w:rsidR="00FB4C4F" w:rsidRPr="00076F22" w:rsidRDefault="00FB4C4F" w:rsidP="00A705FF">
            <w:pPr>
              <w:spacing w:after="0" w:line="240" w:lineRule="auto"/>
              <w:jc w:val="right"/>
              <w:rPr>
                <w:rFonts w:ascii="Arial Narrow" w:eastAsia="Calibri" w:hAnsi="Arial Narrow" w:cs="Arial"/>
                <w:sz w:val="17"/>
                <w:szCs w:val="17"/>
                <w:lang w:val="en-US"/>
              </w:rPr>
            </w:pPr>
            <w:r w:rsidRPr="00076F22">
              <w:rPr>
                <w:rFonts w:ascii="Arial Narrow" w:eastAsia="Calibri" w:hAnsi="Arial Narrow" w:cs="Arial"/>
                <w:color w:val="000000"/>
                <w:sz w:val="17"/>
                <w:szCs w:val="17"/>
                <w:lang w:val="en-US"/>
              </w:rPr>
              <w:t xml:space="preserve">65,376,083.00 </w:t>
            </w:r>
          </w:p>
        </w:tc>
        <w:tc>
          <w:tcPr>
            <w:tcW w:w="487" w:type="dxa"/>
          </w:tcPr>
          <w:p w:rsidR="00FB4C4F" w:rsidRPr="00076F22" w:rsidRDefault="00FB4C4F" w:rsidP="00A705FF">
            <w:pPr>
              <w:spacing w:after="0" w:line="240" w:lineRule="auto"/>
              <w:jc w:val="both"/>
              <w:rPr>
                <w:rFonts w:ascii="Arial Narrow" w:eastAsia="Calibri" w:hAnsi="Arial Narrow" w:cs="Arial"/>
                <w:sz w:val="17"/>
                <w:szCs w:val="17"/>
                <w:lang w:val="en-US"/>
              </w:rPr>
            </w:pPr>
          </w:p>
        </w:tc>
        <w:tc>
          <w:tcPr>
            <w:tcW w:w="2342" w:type="dxa"/>
            <w:vAlign w:val="bottom"/>
          </w:tcPr>
          <w:p w:rsidR="00FB4C4F" w:rsidRPr="00076F22" w:rsidRDefault="00FB4C4F" w:rsidP="00A705FF">
            <w:pPr>
              <w:tabs>
                <w:tab w:val="left" w:pos="1528"/>
              </w:tabs>
              <w:spacing w:after="0" w:line="240" w:lineRule="auto"/>
              <w:jc w:val="right"/>
              <w:rPr>
                <w:rFonts w:ascii="Arial Narrow" w:eastAsia="Calibri" w:hAnsi="Arial Narrow" w:cs="Arial"/>
                <w:sz w:val="17"/>
                <w:szCs w:val="17"/>
                <w:lang w:val="en-US"/>
              </w:rPr>
            </w:pPr>
            <w:r w:rsidRPr="00076F22">
              <w:rPr>
                <w:rFonts w:ascii="Arial Narrow" w:eastAsia="Calibri" w:hAnsi="Arial Narrow" w:cs="Arial"/>
                <w:color w:val="000000"/>
                <w:sz w:val="17"/>
                <w:szCs w:val="17"/>
                <w:lang w:val="en-US"/>
              </w:rPr>
              <w:t xml:space="preserve">32,688,041.50 </w:t>
            </w:r>
          </w:p>
        </w:tc>
      </w:tr>
      <w:tr w:rsidR="00FB4C4F" w:rsidRPr="00076F22" w:rsidTr="00A705FF">
        <w:trPr>
          <w:trHeight w:val="126"/>
          <w:jc w:val="right"/>
        </w:trPr>
        <w:tc>
          <w:tcPr>
            <w:tcW w:w="1772" w:type="dxa"/>
          </w:tcPr>
          <w:p w:rsidR="00FB4C4F" w:rsidRPr="00076F22" w:rsidRDefault="00FB4C4F" w:rsidP="00A705FF">
            <w:pPr>
              <w:spacing w:after="0" w:line="240" w:lineRule="auto"/>
              <w:jc w:val="center"/>
              <w:rPr>
                <w:rFonts w:ascii="Arial Narrow" w:eastAsia="Calibri" w:hAnsi="Arial Narrow" w:cs="Arial"/>
                <w:sz w:val="17"/>
                <w:szCs w:val="17"/>
                <w:lang w:val="en-US"/>
              </w:rPr>
            </w:pPr>
            <w:r w:rsidRPr="00076F22">
              <w:rPr>
                <w:rFonts w:ascii="Arial Narrow" w:eastAsia="Calibri" w:hAnsi="Arial Narrow" w:cs="Arial"/>
                <w:sz w:val="17"/>
                <w:szCs w:val="17"/>
                <w:lang w:val="en-US"/>
              </w:rPr>
              <w:t>2008</w:t>
            </w:r>
          </w:p>
        </w:tc>
        <w:tc>
          <w:tcPr>
            <w:tcW w:w="487" w:type="dxa"/>
          </w:tcPr>
          <w:p w:rsidR="00FB4C4F" w:rsidRPr="00076F22" w:rsidRDefault="00FB4C4F" w:rsidP="00A705FF">
            <w:pPr>
              <w:spacing w:after="0" w:line="240" w:lineRule="auto"/>
              <w:jc w:val="both"/>
              <w:rPr>
                <w:rFonts w:ascii="Arial Narrow" w:eastAsia="Calibri" w:hAnsi="Arial Narrow" w:cs="Arial"/>
                <w:sz w:val="17"/>
                <w:szCs w:val="17"/>
                <w:lang w:val="en-US"/>
              </w:rPr>
            </w:pPr>
          </w:p>
        </w:tc>
        <w:tc>
          <w:tcPr>
            <w:tcW w:w="2237" w:type="dxa"/>
            <w:vAlign w:val="bottom"/>
          </w:tcPr>
          <w:p w:rsidR="00FB4C4F" w:rsidRPr="00076F22" w:rsidRDefault="00FB4C4F" w:rsidP="00A705FF">
            <w:pPr>
              <w:spacing w:after="0" w:line="240" w:lineRule="auto"/>
              <w:jc w:val="right"/>
              <w:rPr>
                <w:rFonts w:ascii="Arial Narrow" w:eastAsia="Calibri" w:hAnsi="Arial Narrow" w:cs="Arial"/>
                <w:sz w:val="17"/>
                <w:szCs w:val="17"/>
                <w:lang w:val="en-US"/>
              </w:rPr>
            </w:pPr>
            <w:r w:rsidRPr="00076F22">
              <w:rPr>
                <w:rFonts w:ascii="Arial Narrow" w:eastAsia="Calibri" w:hAnsi="Arial Narrow" w:cs="Arial"/>
                <w:color w:val="000000"/>
                <w:sz w:val="17"/>
                <w:szCs w:val="17"/>
                <w:lang w:val="en-US"/>
              </w:rPr>
              <w:t xml:space="preserve">418,062,964.00 </w:t>
            </w:r>
          </w:p>
        </w:tc>
        <w:tc>
          <w:tcPr>
            <w:tcW w:w="487" w:type="dxa"/>
          </w:tcPr>
          <w:p w:rsidR="00FB4C4F" w:rsidRPr="00076F22" w:rsidRDefault="00FB4C4F" w:rsidP="00A705FF">
            <w:pPr>
              <w:spacing w:after="0" w:line="240" w:lineRule="auto"/>
              <w:jc w:val="both"/>
              <w:rPr>
                <w:rFonts w:ascii="Arial Narrow" w:eastAsia="Calibri" w:hAnsi="Arial Narrow" w:cs="Arial"/>
                <w:sz w:val="17"/>
                <w:szCs w:val="17"/>
                <w:lang w:val="en-US"/>
              </w:rPr>
            </w:pPr>
          </w:p>
        </w:tc>
        <w:tc>
          <w:tcPr>
            <w:tcW w:w="2342" w:type="dxa"/>
            <w:vAlign w:val="bottom"/>
          </w:tcPr>
          <w:p w:rsidR="00FB4C4F" w:rsidRPr="00076F22" w:rsidRDefault="00FB4C4F" w:rsidP="00A705FF">
            <w:pPr>
              <w:tabs>
                <w:tab w:val="left" w:pos="1528"/>
              </w:tabs>
              <w:spacing w:after="0" w:line="240" w:lineRule="auto"/>
              <w:jc w:val="right"/>
              <w:rPr>
                <w:rFonts w:ascii="Arial Narrow" w:eastAsia="Calibri" w:hAnsi="Arial Narrow" w:cs="Arial"/>
                <w:sz w:val="17"/>
                <w:szCs w:val="17"/>
                <w:lang w:val="en-US"/>
              </w:rPr>
            </w:pPr>
            <w:r w:rsidRPr="00076F22">
              <w:rPr>
                <w:rFonts w:ascii="Arial Narrow" w:eastAsia="Calibri" w:hAnsi="Arial Narrow" w:cs="Arial"/>
                <w:color w:val="000000"/>
                <w:sz w:val="17"/>
                <w:szCs w:val="17"/>
                <w:lang w:val="en-US"/>
              </w:rPr>
              <w:t xml:space="preserve">209,031,482.00 </w:t>
            </w:r>
          </w:p>
        </w:tc>
      </w:tr>
      <w:tr w:rsidR="00FB4C4F" w:rsidRPr="00076F22" w:rsidTr="00A705FF">
        <w:trPr>
          <w:trHeight w:val="108"/>
          <w:jc w:val="right"/>
        </w:trPr>
        <w:tc>
          <w:tcPr>
            <w:tcW w:w="1772" w:type="dxa"/>
          </w:tcPr>
          <w:p w:rsidR="00FB4C4F" w:rsidRPr="00076F22" w:rsidRDefault="00FB4C4F" w:rsidP="00A705FF">
            <w:pPr>
              <w:spacing w:after="0" w:line="240" w:lineRule="auto"/>
              <w:jc w:val="center"/>
              <w:rPr>
                <w:rFonts w:ascii="Arial Narrow" w:eastAsia="Calibri" w:hAnsi="Arial Narrow" w:cs="Arial"/>
                <w:sz w:val="17"/>
                <w:szCs w:val="17"/>
                <w:lang w:val="en-US"/>
              </w:rPr>
            </w:pPr>
            <w:r w:rsidRPr="00076F22">
              <w:rPr>
                <w:rFonts w:ascii="Arial Narrow" w:eastAsia="Calibri" w:hAnsi="Arial Narrow" w:cs="Arial"/>
                <w:sz w:val="17"/>
                <w:szCs w:val="17"/>
                <w:lang w:val="en-US"/>
              </w:rPr>
              <w:t>2010</w:t>
            </w:r>
          </w:p>
        </w:tc>
        <w:tc>
          <w:tcPr>
            <w:tcW w:w="487" w:type="dxa"/>
          </w:tcPr>
          <w:p w:rsidR="00FB4C4F" w:rsidRPr="00076F22" w:rsidRDefault="00FB4C4F" w:rsidP="00A705FF">
            <w:pPr>
              <w:spacing w:after="0" w:line="240" w:lineRule="auto"/>
              <w:jc w:val="both"/>
              <w:rPr>
                <w:rFonts w:ascii="Arial Narrow" w:eastAsia="Calibri" w:hAnsi="Arial Narrow" w:cs="Arial"/>
                <w:sz w:val="17"/>
                <w:szCs w:val="17"/>
                <w:lang w:val="en-US"/>
              </w:rPr>
            </w:pPr>
          </w:p>
        </w:tc>
        <w:tc>
          <w:tcPr>
            <w:tcW w:w="2237" w:type="dxa"/>
            <w:vAlign w:val="bottom"/>
          </w:tcPr>
          <w:p w:rsidR="00FB4C4F" w:rsidRPr="00076F22" w:rsidRDefault="00FB4C4F" w:rsidP="00A705FF">
            <w:pPr>
              <w:spacing w:after="0" w:line="240" w:lineRule="auto"/>
              <w:jc w:val="right"/>
              <w:rPr>
                <w:rFonts w:ascii="Arial Narrow" w:eastAsia="Calibri" w:hAnsi="Arial Narrow" w:cs="Arial"/>
                <w:sz w:val="17"/>
                <w:szCs w:val="17"/>
                <w:lang w:val="en-US"/>
              </w:rPr>
            </w:pPr>
            <w:r w:rsidRPr="00076F22">
              <w:rPr>
                <w:rFonts w:ascii="Arial Narrow" w:eastAsia="Calibri" w:hAnsi="Arial Narrow" w:cs="Arial"/>
                <w:color w:val="000000"/>
                <w:sz w:val="17"/>
                <w:szCs w:val="17"/>
                <w:lang w:val="en-US"/>
              </w:rPr>
              <w:t xml:space="preserve">79,419,408.00 </w:t>
            </w:r>
          </w:p>
        </w:tc>
        <w:tc>
          <w:tcPr>
            <w:tcW w:w="487" w:type="dxa"/>
          </w:tcPr>
          <w:p w:rsidR="00FB4C4F" w:rsidRPr="00076F22" w:rsidRDefault="00FB4C4F" w:rsidP="00A705FF">
            <w:pPr>
              <w:spacing w:after="0" w:line="240" w:lineRule="auto"/>
              <w:jc w:val="both"/>
              <w:rPr>
                <w:rFonts w:ascii="Arial Narrow" w:eastAsia="Calibri" w:hAnsi="Arial Narrow" w:cs="Arial"/>
                <w:sz w:val="17"/>
                <w:szCs w:val="17"/>
                <w:lang w:val="en-US"/>
              </w:rPr>
            </w:pPr>
          </w:p>
        </w:tc>
        <w:tc>
          <w:tcPr>
            <w:tcW w:w="2342" w:type="dxa"/>
            <w:vAlign w:val="bottom"/>
          </w:tcPr>
          <w:p w:rsidR="00FB4C4F" w:rsidRPr="00076F22" w:rsidRDefault="00FB4C4F" w:rsidP="00A705FF">
            <w:pPr>
              <w:tabs>
                <w:tab w:val="left" w:pos="1528"/>
              </w:tabs>
              <w:spacing w:after="0" w:line="240" w:lineRule="auto"/>
              <w:jc w:val="right"/>
              <w:rPr>
                <w:rFonts w:ascii="Arial Narrow" w:eastAsia="Calibri" w:hAnsi="Arial Narrow" w:cs="Arial"/>
                <w:sz w:val="17"/>
                <w:szCs w:val="17"/>
                <w:lang w:val="en-US"/>
              </w:rPr>
            </w:pPr>
            <w:r w:rsidRPr="00076F22">
              <w:rPr>
                <w:rFonts w:ascii="Arial Narrow" w:eastAsia="Calibri" w:hAnsi="Arial Narrow" w:cs="Arial"/>
                <w:color w:val="000000"/>
                <w:sz w:val="17"/>
                <w:szCs w:val="17"/>
                <w:lang w:val="en-US"/>
              </w:rPr>
              <w:t xml:space="preserve">39,709,704.00 </w:t>
            </w:r>
          </w:p>
        </w:tc>
      </w:tr>
      <w:tr w:rsidR="00FB4C4F" w:rsidRPr="00076F22" w:rsidTr="00A705FF">
        <w:trPr>
          <w:trHeight w:val="171"/>
          <w:jc w:val="right"/>
        </w:trPr>
        <w:tc>
          <w:tcPr>
            <w:tcW w:w="1772" w:type="dxa"/>
          </w:tcPr>
          <w:p w:rsidR="00FB4C4F" w:rsidRPr="00076F22" w:rsidRDefault="00FB4C4F" w:rsidP="00A705FF">
            <w:pPr>
              <w:spacing w:after="0" w:line="240" w:lineRule="auto"/>
              <w:jc w:val="center"/>
              <w:rPr>
                <w:rFonts w:ascii="Arial Narrow" w:eastAsia="Calibri" w:hAnsi="Arial Narrow" w:cs="Arial"/>
                <w:sz w:val="17"/>
                <w:szCs w:val="17"/>
                <w:lang w:val="en-US"/>
              </w:rPr>
            </w:pPr>
            <w:r w:rsidRPr="00076F22">
              <w:rPr>
                <w:rFonts w:ascii="Arial Narrow" w:eastAsia="Calibri" w:hAnsi="Arial Narrow" w:cs="Arial"/>
                <w:sz w:val="17"/>
                <w:szCs w:val="17"/>
                <w:lang w:val="en-US"/>
              </w:rPr>
              <w:t>2011</w:t>
            </w:r>
          </w:p>
        </w:tc>
        <w:tc>
          <w:tcPr>
            <w:tcW w:w="487" w:type="dxa"/>
          </w:tcPr>
          <w:p w:rsidR="00FB4C4F" w:rsidRPr="00076F22" w:rsidRDefault="00FB4C4F" w:rsidP="00A705FF">
            <w:pPr>
              <w:spacing w:after="0" w:line="240" w:lineRule="auto"/>
              <w:jc w:val="both"/>
              <w:rPr>
                <w:rFonts w:ascii="Arial Narrow" w:eastAsia="Calibri" w:hAnsi="Arial Narrow" w:cs="Arial"/>
                <w:sz w:val="17"/>
                <w:szCs w:val="17"/>
                <w:lang w:val="en-US"/>
              </w:rPr>
            </w:pPr>
          </w:p>
        </w:tc>
        <w:tc>
          <w:tcPr>
            <w:tcW w:w="2237" w:type="dxa"/>
            <w:vAlign w:val="bottom"/>
          </w:tcPr>
          <w:p w:rsidR="00FB4C4F" w:rsidRPr="00076F22" w:rsidRDefault="00FB4C4F" w:rsidP="00A705FF">
            <w:pPr>
              <w:spacing w:after="0" w:line="240" w:lineRule="auto"/>
              <w:jc w:val="right"/>
              <w:rPr>
                <w:rFonts w:ascii="Arial Narrow" w:eastAsia="Calibri" w:hAnsi="Arial Narrow" w:cs="Arial"/>
                <w:sz w:val="17"/>
                <w:szCs w:val="17"/>
                <w:lang w:val="en-US"/>
              </w:rPr>
            </w:pPr>
            <w:r w:rsidRPr="00076F22">
              <w:rPr>
                <w:rFonts w:ascii="Arial Narrow" w:eastAsia="Calibri" w:hAnsi="Arial Narrow" w:cs="Arial"/>
                <w:color w:val="000000"/>
                <w:sz w:val="17"/>
                <w:szCs w:val="17"/>
                <w:lang w:val="en-US"/>
              </w:rPr>
              <w:t xml:space="preserve">680,141,757.00 </w:t>
            </w:r>
          </w:p>
        </w:tc>
        <w:tc>
          <w:tcPr>
            <w:tcW w:w="487" w:type="dxa"/>
          </w:tcPr>
          <w:p w:rsidR="00FB4C4F" w:rsidRPr="00076F22" w:rsidRDefault="00FB4C4F" w:rsidP="00A705FF">
            <w:pPr>
              <w:spacing w:after="0" w:line="240" w:lineRule="auto"/>
              <w:jc w:val="both"/>
              <w:rPr>
                <w:rFonts w:ascii="Arial Narrow" w:eastAsia="Calibri" w:hAnsi="Arial Narrow" w:cs="Arial"/>
                <w:sz w:val="17"/>
                <w:szCs w:val="17"/>
                <w:lang w:val="en-US"/>
              </w:rPr>
            </w:pPr>
          </w:p>
        </w:tc>
        <w:tc>
          <w:tcPr>
            <w:tcW w:w="2342" w:type="dxa"/>
            <w:vAlign w:val="bottom"/>
          </w:tcPr>
          <w:p w:rsidR="00FB4C4F" w:rsidRPr="00076F22" w:rsidRDefault="00FB4C4F" w:rsidP="00A705FF">
            <w:pPr>
              <w:tabs>
                <w:tab w:val="left" w:pos="1528"/>
              </w:tabs>
              <w:spacing w:after="0" w:line="240" w:lineRule="auto"/>
              <w:jc w:val="right"/>
              <w:rPr>
                <w:rFonts w:ascii="Arial Narrow" w:eastAsia="Calibri" w:hAnsi="Arial Narrow" w:cs="Arial"/>
                <w:sz w:val="17"/>
                <w:szCs w:val="17"/>
                <w:lang w:val="en-US"/>
              </w:rPr>
            </w:pPr>
            <w:r w:rsidRPr="00076F22">
              <w:rPr>
                <w:rFonts w:ascii="Arial Narrow" w:eastAsia="Calibri" w:hAnsi="Arial Narrow" w:cs="Arial"/>
                <w:color w:val="000000"/>
                <w:sz w:val="17"/>
                <w:szCs w:val="17"/>
                <w:lang w:val="en-US"/>
              </w:rPr>
              <w:t xml:space="preserve">340,070,878.50 </w:t>
            </w:r>
          </w:p>
        </w:tc>
      </w:tr>
      <w:tr w:rsidR="00FB4C4F" w:rsidRPr="00076F22" w:rsidTr="00A705FF">
        <w:trPr>
          <w:trHeight w:val="144"/>
          <w:jc w:val="right"/>
        </w:trPr>
        <w:tc>
          <w:tcPr>
            <w:tcW w:w="1772" w:type="dxa"/>
          </w:tcPr>
          <w:p w:rsidR="00FB4C4F" w:rsidRPr="00076F22" w:rsidRDefault="00FB4C4F" w:rsidP="00A705FF">
            <w:pPr>
              <w:spacing w:after="0" w:line="240" w:lineRule="auto"/>
              <w:jc w:val="center"/>
              <w:rPr>
                <w:rFonts w:ascii="Arial Narrow" w:eastAsia="Calibri" w:hAnsi="Arial Narrow" w:cs="Arial"/>
                <w:sz w:val="17"/>
                <w:szCs w:val="17"/>
                <w:lang w:val="en-US"/>
              </w:rPr>
            </w:pPr>
            <w:r w:rsidRPr="00076F22">
              <w:rPr>
                <w:rFonts w:ascii="Arial Narrow" w:eastAsia="Calibri" w:hAnsi="Arial Narrow" w:cs="Arial"/>
                <w:sz w:val="17"/>
                <w:szCs w:val="17"/>
                <w:lang w:val="en-US"/>
              </w:rPr>
              <w:t>2012</w:t>
            </w:r>
          </w:p>
        </w:tc>
        <w:tc>
          <w:tcPr>
            <w:tcW w:w="487" w:type="dxa"/>
          </w:tcPr>
          <w:p w:rsidR="00FB4C4F" w:rsidRPr="00076F22" w:rsidRDefault="00FB4C4F" w:rsidP="00A705FF">
            <w:pPr>
              <w:spacing w:after="0" w:line="240" w:lineRule="auto"/>
              <w:jc w:val="both"/>
              <w:rPr>
                <w:rFonts w:ascii="Arial Narrow" w:eastAsia="Calibri" w:hAnsi="Arial Narrow" w:cs="Arial"/>
                <w:sz w:val="17"/>
                <w:szCs w:val="17"/>
                <w:lang w:val="en-US"/>
              </w:rPr>
            </w:pPr>
          </w:p>
        </w:tc>
        <w:tc>
          <w:tcPr>
            <w:tcW w:w="2237" w:type="dxa"/>
            <w:vAlign w:val="bottom"/>
          </w:tcPr>
          <w:p w:rsidR="00FB4C4F" w:rsidRPr="00076F22" w:rsidRDefault="00FB4C4F" w:rsidP="00A705FF">
            <w:pPr>
              <w:spacing w:after="0" w:line="240" w:lineRule="auto"/>
              <w:jc w:val="right"/>
              <w:rPr>
                <w:rFonts w:ascii="Arial Narrow" w:eastAsia="Calibri" w:hAnsi="Arial Narrow" w:cs="Arial"/>
                <w:sz w:val="17"/>
                <w:szCs w:val="17"/>
                <w:lang w:val="en-US"/>
              </w:rPr>
            </w:pPr>
            <w:r w:rsidRPr="00076F22">
              <w:rPr>
                <w:rFonts w:ascii="Arial Narrow" w:eastAsia="Calibri" w:hAnsi="Arial Narrow" w:cs="Arial"/>
                <w:color w:val="000000"/>
                <w:sz w:val="17"/>
                <w:szCs w:val="17"/>
                <w:lang w:val="en-US"/>
              </w:rPr>
              <w:t xml:space="preserve">1,919,142,078.00 </w:t>
            </w:r>
          </w:p>
        </w:tc>
        <w:tc>
          <w:tcPr>
            <w:tcW w:w="487" w:type="dxa"/>
          </w:tcPr>
          <w:p w:rsidR="00FB4C4F" w:rsidRPr="00076F22" w:rsidRDefault="00FB4C4F" w:rsidP="00A705FF">
            <w:pPr>
              <w:spacing w:after="0" w:line="240" w:lineRule="auto"/>
              <w:jc w:val="both"/>
              <w:rPr>
                <w:rFonts w:ascii="Arial Narrow" w:eastAsia="Calibri" w:hAnsi="Arial Narrow" w:cs="Arial"/>
                <w:sz w:val="17"/>
                <w:szCs w:val="17"/>
                <w:lang w:val="en-US"/>
              </w:rPr>
            </w:pPr>
          </w:p>
        </w:tc>
        <w:tc>
          <w:tcPr>
            <w:tcW w:w="2342" w:type="dxa"/>
            <w:vAlign w:val="bottom"/>
          </w:tcPr>
          <w:p w:rsidR="00FB4C4F" w:rsidRPr="00076F22" w:rsidRDefault="00FB4C4F" w:rsidP="00A705FF">
            <w:pPr>
              <w:tabs>
                <w:tab w:val="left" w:pos="1528"/>
              </w:tabs>
              <w:spacing w:after="0" w:line="240" w:lineRule="auto"/>
              <w:jc w:val="right"/>
              <w:rPr>
                <w:rFonts w:ascii="Arial Narrow" w:eastAsia="Calibri" w:hAnsi="Arial Narrow" w:cs="Arial"/>
                <w:sz w:val="17"/>
                <w:szCs w:val="17"/>
                <w:lang w:val="en-US"/>
              </w:rPr>
            </w:pPr>
            <w:r w:rsidRPr="00076F22">
              <w:rPr>
                <w:rFonts w:ascii="Arial Narrow" w:eastAsia="Calibri" w:hAnsi="Arial Narrow" w:cs="Arial"/>
                <w:color w:val="000000"/>
                <w:sz w:val="17"/>
                <w:szCs w:val="17"/>
                <w:lang w:val="en-US"/>
              </w:rPr>
              <w:t xml:space="preserve">959,571,039.00 </w:t>
            </w:r>
          </w:p>
        </w:tc>
      </w:tr>
      <w:tr w:rsidR="00FB4C4F" w:rsidRPr="00076F22" w:rsidTr="00A705FF">
        <w:trPr>
          <w:trHeight w:val="207"/>
          <w:jc w:val="right"/>
        </w:trPr>
        <w:tc>
          <w:tcPr>
            <w:tcW w:w="1772" w:type="dxa"/>
          </w:tcPr>
          <w:p w:rsidR="00FB4C4F" w:rsidRPr="00076F22" w:rsidRDefault="00FB4C4F" w:rsidP="00A705FF">
            <w:pPr>
              <w:spacing w:after="0" w:line="240" w:lineRule="auto"/>
              <w:jc w:val="center"/>
              <w:rPr>
                <w:rFonts w:ascii="Arial Narrow" w:eastAsia="Calibri" w:hAnsi="Arial Narrow" w:cs="Arial"/>
                <w:sz w:val="17"/>
                <w:szCs w:val="17"/>
                <w:lang w:val="en-US"/>
              </w:rPr>
            </w:pPr>
            <w:r w:rsidRPr="00076F22">
              <w:rPr>
                <w:rFonts w:ascii="Arial Narrow" w:eastAsia="Calibri" w:hAnsi="Arial Narrow" w:cs="Arial"/>
                <w:sz w:val="17"/>
                <w:szCs w:val="17"/>
                <w:lang w:val="en-US"/>
              </w:rPr>
              <w:t>2013</w:t>
            </w:r>
          </w:p>
        </w:tc>
        <w:tc>
          <w:tcPr>
            <w:tcW w:w="487" w:type="dxa"/>
          </w:tcPr>
          <w:p w:rsidR="00FB4C4F" w:rsidRPr="00076F22" w:rsidRDefault="00FB4C4F" w:rsidP="00A705FF">
            <w:pPr>
              <w:spacing w:after="0" w:line="240" w:lineRule="auto"/>
              <w:jc w:val="both"/>
              <w:rPr>
                <w:rFonts w:ascii="Arial Narrow" w:eastAsia="Calibri" w:hAnsi="Arial Narrow" w:cs="Arial"/>
                <w:sz w:val="17"/>
                <w:szCs w:val="17"/>
                <w:lang w:val="en-US"/>
              </w:rPr>
            </w:pPr>
          </w:p>
        </w:tc>
        <w:tc>
          <w:tcPr>
            <w:tcW w:w="2237" w:type="dxa"/>
            <w:vAlign w:val="bottom"/>
          </w:tcPr>
          <w:p w:rsidR="00FB4C4F" w:rsidRPr="00076F22" w:rsidRDefault="00FB4C4F" w:rsidP="00A705FF">
            <w:pPr>
              <w:spacing w:after="0" w:line="240" w:lineRule="auto"/>
              <w:jc w:val="right"/>
              <w:rPr>
                <w:rFonts w:ascii="Arial Narrow" w:eastAsia="Calibri" w:hAnsi="Arial Narrow" w:cs="Arial"/>
                <w:sz w:val="17"/>
                <w:szCs w:val="17"/>
                <w:lang w:val="en-US"/>
              </w:rPr>
            </w:pPr>
            <w:r w:rsidRPr="00076F22">
              <w:rPr>
                <w:rFonts w:ascii="Arial Narrow" w:eastAsia="Calibri" w:hAnsi="Arial Narrow" w:cs="Arial"/>
                <w:color w:val="000000"/>
                <w:sz w:val="17"/>
                <w:szCs w:val="17"/>
                <w:lang w:val="en-US"/>
              </w:rPr>
              <w:t xml:space="preserve">2,870,131,975.00 </w:t>
            </w:r>
          </w:p>
        </w:tc>
        <w:tc>
          <w:tcPr>
            <w:tcW w:w="487" w:type="dxa"/>
          </w:tcPr>
          <w:p w:rsidR="00FB4C4F" w:rsidRPr="00076F22" w:rsidRDefault="00FB4C4F" w:rsidP="00A705FF">
            <w:pPr>
              <w:spacing w:after="0" w:line="240" w:lineRule="auto"/>
              <w:jc w:val="both"/>
              <w:rPr>
                <w:rFonts w:ascii="Arial Narrow" w:eastAsia="Calibri" w:hAnsi="Arial Narrow" w:cs="Arial"/>
                <w:sz w:val="17"/>
                <w:szCs w:val="17"/>
                <w:lang w:val="en-US"/>
              </w:rPr>
            </w:pPr>
          </w:p>
        </w:tc>
        <w:tc>
          <w:tcPr>
            <w:tcW w:w="2342" w:type="dxa"/>
            <w:vAlign w:val="bottom"/>
          </w:tcPr>
          <w:p w:rsidR="00FB4C4F" w:rsidRPr="00076F22" w:rsidRDefault="00FB4C4F" w:rsidP="00A705FF">
            <w:pPr>
              <w:tabs>
                <w:tab w:val="left" w:pos="1528"/>
              </w:tabs>
              <w:spacing w:after="0" w:line="240" w:lineRule="auto"/>
              <w:jc w:val="right"/>
              <w:rPr>
                <w:rFonts w:ascii="Arial Narrow" w:eastAsia="Calibri" w:hAnsi="Arial Narrow" w:cs="Arial"/>
                <w:sz w:val="17"/>
                <w:szCs w:val="17"/>
                <w:lang w:val="en-US"/>
              </w:rPr>
            </w:pPr>
            <w:r w:rsidRPr="00076F22">
              <w:rPr>
                <w:rFonts w:ascii="Arial Narrow" w:eastAsia="Calibri" w:hAnsi="Arial Narrow" w:cs="Arial"/>
                <w:color w:val="000000"/>
                <w:sz w:val="17"/>
                <w:szCs w:val="17"/>
                <w:lang w:val="en-US"/>
              </w:rPr>
              <w:t xml:space="preserve">1,435,065,987.50 </w:t>
            </w:r>
          </w:p>
        </w:tc>
      </w:tr>
      <w:tr w:rsidR="00FB4C4F" w:rsidRPr="00076F22" w:rsidTr="00A705FF">
        <w:trPr>
          <w:trHeight w:val="180"/>
          <w:jc w:val="right"/>
        </w:trPr>
        <w:tc>
          <w:tcPr>
            <w:tcW w:w="1772" w:type="dxa"/>
          </w:tcPr>
          <w:p w:rsidR="00FB4C4F" w:rsidRPr="00076F22" w:rsidRDefault="00FB4C4F" w:rsidP="00A705FF">
            <w:pPr>
              <w:spacing w:after="0" w:line="240" w:lineRule="auto"/>
              <w:jc w:val="center"/>
              <w:rPr>
                <w:rFonts w:ascii="Arial Narrow" w:eastAsia="Calibri" w:hAnsi="Arial Narrow" w:cs="Arial"/>
                <w:sz w:val="17"/>
                <w:szCs w:val="17"/>
                <w:lang w:val="en-US"/>
              </w:rPr>
            </w:pPr>
            <w:r w:rsidRPr="00076F22">
              <w:rPr>
                <w:rFonts w:ascii="Arial Narrow" w:eastAsia="Calibri" w:hAnsi="Arial Narrow" w:cs="Arial"/>
                <w:sz w:val="17"/>
                <w:szCs w:val="17"/>
                <w:lang w:val="en-US"/>
              </w:rPr>
              <w:t>2014</w:t>
            </w:r>
          </w:p>
        </w:tc>
        <w:tc>
          <w:tcPr>
            <w:tcW w:w="487" w:type="dxa"/>
          </w:tcPr>
          <w:p w:rsidR="00FB4C4F" w:rsidRPr="00076F22" w:rsidRDefault="00FB4C4F" w:rsidP="00A705FF">
            <w:pPr>
              <w:spacing w:after="0" w:line="240" w:lineRule="auto"/>
              <w:jc w:val="both"/>
              <w:rPr>
                <w:rFonts w:ascii="Arial Narrow" w:eastAsia="Calibri" w:hAnsi="Arial Narrow" w:cs="Arial"/>
                <w:sz w:val="17"/>
                <w:szCs w:val="17"/>
                <w:lang w:val="en-US"/>
              </w:rPr>
            </w:pPr>
          </w:p>
        </w:tc>
        <w:tc>
          <w:tcPr>
            <w:tcW w:w="2237" w:type="dxa"/>
            <w:vAlign w:val="bottom"/>
          </w:tcPr>
          <w:p w:rsidR="00FB4C4F" w:rsidRPr="00076F22" w:rsidRDefault="00FB4C4F" w:rsidP="00A705FF">
            <w:pPr>
              <w:spacing w:after="0" w:line="240" w:lineRule="auto"/>
              <w:jc w:val="right"/>
              <w:rPr>
                <w:rFonts w:ascii="Arial Narrow" w:eastAsia="Calibri" w:hAnsi="Arial Narrow" w:cs="Arial"/>
                <w:sz w:val="17"/>
                <w:szCs w:val="17"/>
                <w:lang w:val="en-US"/>
              </w:rPr>
            </w:pPr>
            <w:r w:rsidRPr="00076F22">
              <w:rPr>
                <w:rFonts w:ascii="Arial Narrow" w:eastAsia="Calibri" w:hAnsi="Arial Narrow" w:cs="Arial"/>
                <w:color w:val="000000"/>
                <w:sz w:val="17"/>
                <w:szCs w:val="17"/>
                <w:lang w:val="en-US"/>
              </w:rPr>
              <w:t xml:space="preserve">3,279,365,407.00 </w:t>
            </w:r>
          </w:p>
        </w:tc>
        <w:tc>
          <w:tcPr>
            <w:tcW w:w="487" w:type="dxa"/>
          </w:tcPr>
          <w:p w:rsidR="00FB4C4F" w:rsidRPr="00076F22" w:rsidRDefault="00FB4C4F" w:rsidP="00A705FF">
            <w:pPr>
              <w:spacing w:after="0" w:line="240" w:lineRule="auto"/>
              <w:jc w:val="both"/>
              <w:rPr>
                <w:rFonts w:ascii="Arial Narrow" w:eastAsia="Calibri" w:hAnsi="Arial Narrow" w:cs="Arial"/>
                <w:sz w:val="17"/>
                <w:szCs w:val="17"/>
                <w:lang w:val="en-US"/>
              </w:rPr>
            </w:pPr>
          </w:p>
        </w:tc>
        <w:tc>
          <w:tcPr>
            <w:tcW w:w="2342" w:type="dxa"/>
            <w:vAlign w:val="bottom"/>
          </w:tcPr>
          <w:p w:rsidR="00FB4C4F" w:rsidRPr="00076F22" w:rsidRDefault="00FB4C4F" w:rsidP="00A705FF">
            <w:pPr>
              <w:tabs>
                <w:tab w:val="left" w:pos="1528"/>
              </w:tabs>
              <w:spacing w:after="0" w:line="240" w:lineRule="auto"/>
              <w:jc w:val="right"/>
              <w:rPr>
                <w:rFonts w:ascii="Arial Narrow" w:eastAsia="Calibri" w:hAnsi="Arial Narrow" w:cs="Arial"/>
                <w:sz w:val="17"/>
                <w:szCs w:val="17"/>
                <w:lang w:val="en-US"/>
              </w:rPr>
            </w:pPr>
            <w:r w:rsidRPr="00076F22">
              <w:rPr>
                <w:rFonts w:ascii="Arial Narrow" w:eastAsia="Calibri" w:hAnsi="Arial Narrow" w:cs="Arial"/>
                <w:color w:val="000000"/>
                <w:sz w:val="17"/>
                <w:szCs w:val="17"/>
                <w:lang w:val="en-US"/>
              </w:rPr>
              <w:t xml:space="preserve">1,639,682,703.50 </w:t>
            </w:r>
          </w:p>
        </w:tc>
      </w:tr>
      <w:tr w:rsidR="00FB4C4F" w:rsidRPr="00076F22" w:rsidTr="00A705FF">
        <w:trPr>
          <w:trHeight w:val="153"/>
          <w:jc w:val="right"/>
        </w:trPr>
        <w:tc>
          <w:tcPr>
            <w:tcW w:w="1772" w:type="dxa"/>
          </w:tcPr>
          <w:p w:rsidR="00FB4C4F" w:rsidRPr="00076F22" w:rsidRDefault="00FB4C4F" w:rsidP="00A705FF">
            <w:pPr>
              <w:spacing w:after="0" w:line="240" w:lineRule="auto"/>
              <w:jc w:val="center"/>
              <w:rPr>
                <w:rFonts w:ascii="Arial Narrow" w:eastAsia="Calibri" w:hAnsi="Arial Narrow" w:cs="Arial"/>
                <w:sz w:val="17"/>
                <w:szCs w:val="17"/>
                <w:lang w:val="en-US"/>
              </w:rPr>
            </w:pPr>
            <w:r w:rsidRPr="00076F22">
              <w:rPr>
                <w:rFonts w:ascii="Arial Narrow" w:eastAsia="Calibri" w:hAnsi="Arial Narrow" w:cs="Arial"/>
                <w:sz w:val="17"/>
                <w:szCs w:val="17"/>
                <w:lang w:val="en-US"/>
              </w:rPr>
              <w:t>2015</w:t>
            </w:r>
          </w:p>
        </w:tc>
        <w:tc>
          <w:tcPr>
            <w:tcW w:w="487" w:type="dxa"/>
          </w:tcPr>
          <w:p w:rsidR="00FB4C4F" w:rsidRPr="00076F22" w:rsidRDefault="00FB4C4F" w:rsidP="00A705FF">
            <w:pPr>
              <w:spacing w:after="0" w:line="240" w:lineRule="auto"/>
              <w:jc w:val="both"/>
              <w:rPr>
                <w:rFonts w:ascii="Arial Narrow" w:eastAsia="Calibri" w:hAnsi="Arial Narrow" w:cs="Arial"/>
                <w:sz w:val="17"/>
                <w:szCs w:val="17"/>
                <w:lang w:val="en-US"/>
              </w:rPr>
            </w:pPr>
          </w:p>
        </w:tc>
        <w:tc>
          <w:tcPr>
            <w:tcW w:w="2237" w:type="dxa"/>
            <w:vAlign w:val="bottom"/>
          </w:tcPr>
          <w:p w:rsidR="00FB4C4F" w:rsidRPr="00076F22" w:rsidRDefault="00FB4C4F" w:rsidP="00A705FF">
            <w:pPr>
              <w:spacing w:after="0" w:line="240" w:lineRule="auto"/>
              <w:jc w:val="right"/>
              <w:rPr>
                <w:rFonts w:ascii="Arial Narrow" w:eastAsia="Calibri" w:hAnsi="Arial Narrow" w:cs="Arial"/>
                <w:sz w:val="17"/>
                <w:szCs w:val="17"/>
                <w:lang w:val="en-US"/>
              </w:rPr>
            </w:pPr>
            <w:r w:rsidRPr="00076F22">
              <w:rPr>
                <w:rFonts w:ascii="Arial Narrow" w:eastAsia="Calibri" w:hAnsi="Arial Narrow" w:cs="Arial"/>
                <w:color w:val="000000"/>
                <w:sz w:val="17"/>
                <w:szCs w:val="17"/>
                <w:lang w:val="en-US"/>
              </w:rPr>
              <w:t xml:space="preserve">3,049,723,249.80 </w:t>
            </w:r>
          </w:p>
        </w:tc>
        <w:tc>
          <w:tcPr>
            <w:tcW w:w="487" w:type="dxa"/>
          </w:tcPr>
          <w:p w:rsidR="00FB4C4F" w:rsidRPr="00076F22" w:rsidRDefault="00FB4C4F" w:rsidP="00A705FF">
            <w:pPr>
              <w:spacing w:after="0" w:line="240" w:lineRule="auto"/>
              <w:jc w:val="both"/>
              <w:rPr>
                <w:rFonts w:ascii="Arial Narrow" w:eastAsia="Calibri" w:hAnsi="Arial Narrow" w:cs="Arial"/>
                <w:sz w:val="17"/>
                <w:szCs w:val="17"/>
                <w:lang w:val="en-US"/>
              </w:rPr>
            </w:pPr>
          </w:p>
        </w:tc>
        <w:tc>
          <w:tcPr>
            <w:tcW w:w="2342" w:type="dxa"/>
            <w:vAlign w:val="bottom"/>
          </w:tcPr>
          <w:p w:rsidR="00FB4C4F" w:rsidRPr="00076F22" w:rsidRDefault="00FB4C4F" w:rsidP="00A705FF">
            <w:pPr>
              <w:tabs>
                <w:tab w:val="left" w:pos="1528"/>
              </w:tabs>
              <w:spacing w:after="0" w:line="240" w:lineRule="auto"/>
              <w:jc w:val="right"/>
              <w:rPr>
                <w:rFonts w:ascii="Arial Narrow" w:eastAsia="Calibri" w:hAnsi="Arial Narrow" w:cs="Arial"/>
                <w:sz w:val="17"/>
                <w:szCs w:val="17"/>
                <w:lang w:val="en-US"/>
              </w:rPr>
            </w:pPr>
            <w:r w:rsidRPr="00076F22">
              <w:rPr>
                <w:rFonts w:ascii="Arial Narrow" w:eastAsia="Calibri" w:hAnsi="Arial Narrow" w:cs="Arial"/>
                <w:color w:val="000000"/>
                <w:sz w:val="17"/>
                <w:szCs w:val="17"/>
                <w:lang w:val="en-US"/>
              </w:rPr>
              <w:t xml:space="preserve">1,524,861,624.90 </w:t>
            </w:r>
          </w:p>
        </w:tc>
      </w:tr>
      <w:tr w:rsidR="00FB4C4F" w:rsidRPr="00076F22" w:rsidTr="00A705FF">
        <w:trPr>
          <w:trHeight w:val="126"/>
          <w:jc w:val="right"/>
        </w:trPr>
        <w:tc>
          <w:tcPr>
            <w:tcW w:w="1772" w:type="dxa"/>
          </w:tcPr>
          <w:p w:rsidR="00FB4C4F" w:rsidRPr="00076F22" w:rsidRDefault="00FB4C4F" w:rsidP="00A705FF">
            <w:pPr>
              <w:spacing w:after="0" w:line="240" w:lineRule="auto"/>
              <w:jc w:val="center"/>
              <w:rPr>
                <w:rFonts w:ascii="Arial Narrow" w:eastAsia="Calibri" w:hAnsi="Arial Narrow" w:cs="Arial"/>
                <w:sz w:val="17"/>
                <w:szCs w:val="17"/>
                <w:lang w:val="en-US"/>
              </w:rPr>
            </w:pPr>
            <w:r w:rsidRPr="00076F22">
              <w:rPr>
                <w:rFonts w:ascii="Arial Narrow" w:eastAsia="Calibri" w:hAnsi="Arial Narrow" w:cs="Arial"/>
                <w:sz w:val="17"/>
                <w:szCs w:val="17"/>
                <w:lang w:val="en-US"/>
              </w:rPr>
              <w:t>2016</w:t>
            </w:r>
          </w:p>
        </w:tc>
        <w:tc>
          <w:tcPr>
            <w:tcW w:w="487" w:type="dxa"/>
          </w:tcPr>
          <w:p w:rsidR="00FB4C4F" w:rsidRPr="00076F22" w:rsidRDefault="00FB4C4F" w:rsidP="00A705FF">
            <w:pPr>
              <w:spacing w:after="0" w:line="240" w:lineRule="auto"/>
              <w:jc w:val="both"/>
              <w:rPr>
                <w:rFonts w:ascii="Arial Narrow" w:eastAsia="Calibri" w:hAnsi="Arial Narrow" w:cs="Arial"/>
                <w:sz w:val="17"/>
                <w:szCs w:val="17"/>
                <w:lang w:val="en-US"/>
              </w:rPr>
            </w:pPr>
          </w:p>
        </w:tc>
        <w:tc>
          <w:tcPr>
            <w:tcW w:w="2237" w:type="dxa"/>
            <w:vAlign w:val="bottom"/>
          </w:tcPr>
          <w:p w:rsidR="00FB4C4F" w:rsidRPr="00076F22" w:rsidRDefault="00FB4C4F" w:rsidP="00A705FF">
            <w:pPr>
              <w:spacing w:after="0" w:line="240" w:lineRule="auto"/>
              <w:jc w:val="right"/>
              <w:rPr>
                <w:rFonts w:ascii="Arial Narrow" w:eastAsia="Calibri" w:hAnsi="Arial Narrow" w:cs="Arial"/>
                <w:sz w:val="17"/>
                <w:szCs w:val="17"/>
                <w:lang w:val="en-US"/>
              </w:rPr>
            </w:pPr>
            <w:r w:rsidRPr="00076F22">
              <w:rPr>
                <w:rFonts w:ascii="Arial Narrow" w:eastAsia="Calibri" w:hAnsi="Arial Narrow" w:cs="Arial"/>
                <w:color w:val="000000"/>
                <w:sz w:val="17"/>
                <w:szCs w:val="17"/>
                <w:lang w:val="en-US"/>
              </w:rPr>
              <w:t xml:space="preserve">3,100,922,158.00 </w:t>
            </w:r>
          </w:p>
        </w:tc>
        <w:tc>
          <w:tcPr>
            <w:tcW w:w="487" w:type="dxa"/>
          </w:tcPr>
          <w:p w:rsidR="00FB4C4F" w:rsidRPr="00076F22" w:rsidRDefault="00FB4C4F" w:rsidP="00A705FF">
            <w:pPr>
              <w:spacing w:after="0" w:line="240" w:lineRule="auto"/>
              <w:jc w:val="both"/>
              <w:rPr>
                <w:rFonts w:ascii="Arial Narrow" w:eastAsia="Calibri" w:hAnsi="Arial Narrow" w:cs="Arial"/>
                <w:sz w:val="17"/>
                <w:szCs w:val="17"/>
                <w:lang w:val="en-US"/>
              </w:rPr>
            </w:pPr>
          </w:p>
        </w:tc>
        <w:tc>
          <w:tcPr>
            <w:tcW w:w="2342" w:type="dxa"/>
            <w:vAlign w:val="bottom"/>
          </w:tcPr>
          <w:p w:rsidR="00FB4C4F" w:rsidRPr="00076F22" w:rsidRDefault="00FB4C4F" w:rsidP="00A705FF">
            <w:pPr>
              <w:tabs>
                <w:tab w:val="left" w:pos="1528"/>
              </w:tabs>
              <w:spacing w:after="0" w:line="240" w:lineRule="auto"/>
              <w:jc w:val="right"/>
              <w:rPr>
                <w:rFonts w:ascii="Arial Narrow" w:eastAsia="Calibri" w:hAnsi="Arial Narrow" w:cs="Arial"/>
                <w:sz w:val="17"/>
                <w:szCs w:val="17"/>
                <w:lang w:val="en-US"/>
              </w:rPr>
            </w:pPr>
            <w:r w:rsidRPr="00076F22">
              <w:rPr>
                <w:rFonts w:ascii="Arial Narrow" w:eastAsia="Calibri" w:hAnsi="Arial Narrow" w:cs="Arial"/>
                <w:color w:val="000000"/>
                <w:sz w:val="17"/>
                <w:szCs w:val="17"/>
                <w:lang w:val="en-US"/>
              </w:rPr>
              <w:t xml:space="preserve">1,550,461,079.00 </w:t>
            </w:r>
          </w:p>
        </w:tc>
      </w:tr>
      <w:tr w:rsidR="00FB4C4F" w:rsidRPr="00076F22" w:rsidTr="00A705FF">
        <w:trPr>
          <w:trHeight w:val="107"/>
          <w:jc w:val="right"/>
        </w:trPr>
        <w:tc>
          <w:tcPr>
            <w:tcW w:w="1772" w:type="dxa"/>
            <w:tcBorders>
              <w:top w:val="single" w:sz="4" w:space="0" w:color="auto"/>
              <w:bottom w:val="double" w:sz="4" w:space="0" w:color="auto"/>
            </w:tcBorders>
          </w:tcPr>
          <w:p w:rsidR="00FB4C4F" w:rsidRPr="00076F22" w:rsidRDefault="00FB4C4F" w:rsidP="00A705FF">
            <w:pPr>
              <w:spacing w:after="0" w:line="240" w:lineRule="auto"/>
              <w:jc w:val="both"/>
              <w:rPr>
                <w:rFonts w:ascii="Arial Narrow" w:eastAsia="Calibri" w:hAnsi="Arial Narrow" w:cs="Arial"/>
                <w:b/>
                <w:sz w:val="17"/>
                <w:szCs w:val="17"/>
                <w:lang w:val="en-US"/>
              </w:rPr>
            </w:pPr>
            <w:r w:rsidRPr="00076F22">
              <w:rPr>
                <w:rFonts w:ascii="Arial Narrow" w:eastAsia="Calibri" w:hAnsi="Arial Narrow" w:cs="Arial"/>
                <w:b/>
                <w:sz w:val="17"/>
                <w:szCs w:val="17"/>
                <w:lang w:val="en-US"/>
              </w:rPr>
              <w:t>Total</w:t>
            </w:r>
          </w:p>
        </w:tc>
        <w:tc>
          <w:tcPr>
            <w:tcW w:w="487" w:type="dxa"/>
            <w:tcBorders>
              <w:top w:val="single" w:sz="4" w:space="0" w:color="auto"/>
              <w:bottom w:val="double" w:sz="4" w:space="0" w:color="auto"/>
            </w:tcBorders>
          </w:tcPr>
          <w:p w:rsidR="00FB4C4F" w:rsidRPr="00076F22" w:rsidRDefault="00FB4C4F" w:rsidP="00A705FF">
            <w:pPr>
              <w:spacing w:after="0" w:line="240" w:lineRule="auto"/>
              <w:jc w:val="both"/>
              <w:rPr>
                <w:rFonts w:ascii="Arial Narrow" w:eastAsia="Calibri" w:hAnsi="Arial Narrow" w:cs="Arial"/>
                <w:b/>
                <w:sz w:val="17"/>
                <w:szCs w:val="17"/>
                <w:lang w:val="en-US"/>
              </w:rPr>
            </w:pPr>
            <w:r w:rsidRPr="00076F22">
              <w:rPr>
                <w:rFonts w:ascii="Arial Narrow" w:eastAsia="Calibri" w:hAnsi="Arial Narrow" w:cs="Arial"/>
                <w:b/>
                <w:sz w:val="17"/>
                <w:szCs w:val="17"/>
                <w:lang w:val="en-US"/>
              </w:rPr>
              <w:t>P</w:t>
            </w:r>
          </w:p>
        </w:tc>
        <w:tc>
          <w:tcPr>
            <w:tcW w:w="2237" w:type="dxa"/>
            <w:tcBorders>
              <w:top w:val="single" w:sz="4" w:space="0" w:color="auto"/>
              <w:bottom w:val="double" w:sz="4" w:space="0" w:color="auto"/>
            </w:tcBorders>
          </w:tcPr>
          <w:p w:rsidR="00FB4C4F" w:rsidRPr="00076F22" w:rsidRDefault="00FB4C4F" w:rsidP="00A705FF">
            <w:pPr>
              <w:spacing w:after="0" w:line="240" w:lineRule="auto"/>
              <w:jc w:val="right"/>
              <w:rPr>
                <w:rFonts w:ascii="Arial Narrow" w:eastAsia="Calibri" w:hAnsi="Arial Narrow" w:cs="Arial"/>
                <w:b/>
                <w:sz w:val="17"/>
                <w:szCs w:val="17"/>
                <w:lang w:val="en-US"/>
              </w:rPr>
            </w:pPr>
            <w:r w:rsidRPr="00076F22">
              <w:rPr>
                <w:rFonts w:ascii="Arial Narrow" w:eastAsia="Calibri" w:hAnsi="Arial Narrow" w:cs="Arial"/>
                <w:b/>
                <w:sz w:val="17"/>
                <w:szCs w:val="17"/>
                <w:lang w:val="en-US"/>
              </w:rPr>
              <w:t>16,852,037,282.80</w:t>
            </w:r>
          </w:p>
        </w:tc>
        <w:tc>
          <w:tcPr>
            <w:tcW w:w="487" w:type="dxa"/>
            <w:tcBorders>
              <w:top w:val="single" w:sz="4" w:space="0" w:color="auto"/>
              <w:bottom w:val="double" w:sz="4" w:space="0" w:color="auto"/>
            </w:tcBorders>
          </w:tcPr>
          <w:p w:rsidR="00FB4C4F" w:rsidRPr="00076F22" w:rsidRDefault="00FB4C4F" w:rsidP="00A705FF">
            <w:pPr>
              <w:spacing w:after="0" w:line="240" w:lineRule="auto"/>
              <w:jc w:val="both"/>
              <w:rPr>
                <w:rFonts w:ascii="Arial Narrow" w:eastAsia="Calibri" w:hAnsi="Arial Narrow" w:cs="Arial"/>
                <w:b/>
                <w:sz w:val="17"/>
                <w:szCs w:val="17"/>
                <w:lang w:val="en-US"/>
              </w:rPr>
            </w:pPr>
            <w:r w:rsidRPr="00076F22">
              <w:rPr>
                <w:rFonts w:ascii="Arial Narrow" w:eastAsia="Calibri" w:hAnsi="Arial Narrow" w:cs="Arial"/>
                <w:b/>
                <w:sz w:val="17"/>
                <w:szCs w:val="17"/>
                <w:lang w:val="en-US"/>
              </w:rPr>
              <w:t>P</w:t>
            </w:r>
          </w:p>
        </w:tc>
        <w:tc>
          <w:tcPr>
            <w:tcW w:w="2342" w:type="dxa"/>
            <w:tcBorders>
              <w:top w:val="single" w:sz="4" w:space="0" w:color="auto"/>
              <w:bottom w:val="double" w:sz="4" w:space="0" w:color="auto"/>
            </w:tcBorders>
          </w:tcPr>
          <w:p w:rsidR="00FB4C4F" w:rsidRPr="00076F22" w:rsidRDefault="00FB4C4F" w:rsidP="00A705FF">
            <w:pPr>
              <w:spacing w:after="0" w:line="240" w:lineRule="auto"/>
              <w:jc w:val="right"/>
              <w:rPr>
                <w:rFonts w:ascii="Arial Narrow" w:eastAsia="Calibri" w:hAnsi="Arial Narrow" w:cs="Arial"/>
                <w:b/>
                <w:sz w:val="17"/>
                <w:szCs w:val="17"/>
                <w:lang w:val="en-US"/>
              </w:rPr>
            </w:pPr>
            <w:r w:rsidRPr="00076F22">
              <w:rPr>
                <w:rFonts w:ascii="Arial Narrow" w:eastAsia="Calibri" w:hAnsi="Arial Narrow" w:cs="Arial"/>
                <w:b/>
                <w:sz w:val="17"/>
                <w:szCs w:val="17"/>
                <w:lang w:val="en-US"/>
              </w:rPr>
              <w:t>8,426,018,641.40</w:t>
            </w:r>
          </w:p>
        </w:tc>
      </w:tr>
    </w:tbl>
    <w:p w:rsidR="00FB4C4F" w:rsidRPr="00076F22" w:rsidRDefault="00FB4C4F" w:rsidP="00FB4C4F">
      <w:pPr>
        <w:spacing w:after="0" w:line="240" w:lineRule="auto"/>
        <w:ind w:left="1440"/>
        <w:jc w:val="both"/>
        <w:rPr>
          <w:rFonts w:ascii="Arial" w:eastAsia="Calibri" w:hAnsi="Arial" w:cs="Arial"/>
          <w:i/>
          <w:sz w:val="17"/>
          <w:szCs w:val="17"/>
          <w:lang w:val="en-US"/>
        </w:rPr>
      </w:pPr>
      <w:r w:rsidRPr="00076F22">
        <w:rPr>
          <w:rFonts w:ascii="Arial" w:eastAsia="Calibri" w:hAnsi="Arial" w:cs="Arial"/>
          <w:i/>
          <w:sz w:val="17"/>
          <w:szCs w:val="17"/>
          <w:lang w:val="en-US"/>
        </w:rPr>
        <w:t>NB:</w:t>
      </w:r>
      <w:r w:rsidRPr="00076F22">
        <w:rPr>
          <w:rFonts w:ascii="Arial" w:eastAsia="Calibri" w:hAnsi="Arial" w:cs="Arial"/>
          <w:sz w:val="17"/>
          <w:szCs w:val="17"/>
          <w:lang w:val="en-US"/>
        </w:rPr>
        <w:t xml:space="preserve"> </w:t>
      </w:r>
      <w:r w:rsidRPr="00076F22">
        <w:rPr>
          <w:rFonts w:ascii="Arial" w:eastAsia="Calibri" w:hAnsi="Arial" w:cs="Arial"/>
          <w:i/>
          <w:sz w:val="17"/>
          <w:szCs w:val="17"/>
          <w:lang w:val="en-US"/>
        </w:rPr>
        <w:t>Operations for CYs 1998, 2000, 2001 and 2009 resulted in net loss.</w:t>
      </w:r>
    </w:p>
    <w:p w:rsidR="00FB4C4F" w:rsidRPr="00EF4855" w:rsidRDefault="00FB4C4F" w:rsidP="00DB54C7">
      <w:pPr>
        <w:spacing w:after="0" w:line="240" w:lineRule="auto"/>
        <w:jc w:val="both"/>
        <w:rPr>
          <w:rFonts w:ascii="Arial" w:eastAsia="Calibri" w:hAnsi="Arial" w:cs="Arial"/>
          <w:lang w:val="en-US"/>
        </w:rPr>
      </w:pPr>
    </w:p>
    <w:p w:rsidR="00DB54C7" w:rsidRPr="00EF4855" w:rsidRDefault="00DB54C7" w:rsidP="00DA78B4">
      <w:pPr>
        <w:pStyle w:val="ListParagraph"/>
        <w:numPr>
          <w:ilvl w:val="1"/>
          <w:numId w:val="1"/>
        </w:numPr>
        <w:ind w:left="1440"/>
        <w:contextualSpacing/>
        <w:jc w:val="both"/>
        <w:rPr>
          <w:rFonts w:ascii="Arial" w:eastAsia="Calibri" w:hAnsi="Arial" w:cs="Arial"/>
          <w:sz w:val="22"/>
          <w:szCs w:val="22"/>
        </w:rPr>
      </w:pPr>
      <w:r w:rsidRPr="00EF4855">
        <w:rPr>
          <w:rFonts w:ascii="Arial" w:eastAsia="Calibri" w:hAnsi="Arial" w:cs="Arial"/>
          <w:sz w:val="22"/>
          <w:szCs w:val="22"/>
        </w:rPr>
        <w:t xml:space="preserve">In its comments to AOM-PCSO-2014-007-(13), the PCSO Management explained that it does not have annual net earnings.  What it generates are savings from operations after deducting all the operating expenses, which are reverted to and formed part of the Charity Fund (CF).  </w:t>
      </w:r>
    </w:p>
    <w:p w:rsidR="00DB54C7" w:rsidRPr="00EF4855" w:rsidRDefault="00DB54C7" w:rsidP="00DB54C7">
      <w:pPr>
        <w:spacing w:after="0" w:line="240" w:lineRule="auto"/>
        <w:ind w:firstLine="720"/>
        <w:jc w:val="both"/>
        <w:rPr>
          <w:rFonts w:ascii="Arial" w:eastAsia="Calibri" w:hAnsi="Arial" w:cs="Arial"/>
          <w:lang w:val="en-US"/>
        </w:rPr>
      </w:pPr>
    </w:p>
    <w:p w:rsidR="00DB54C7" w:rsidRPr="00EF4855" w:rsidRDefault="00DB54C7" w:rsidP="00DA78B4">
      <w:pPr>
        <w:pStyle w:val="ListParagraph"/>
        <w:numPr>
          <w:ilvl w:val="1"/>
          <w:numId w:val="1"/>
        </w:numPr>
        <w:ind w:left="1440"/>
        <w:contextualSpacing/>
        <w:jc w:val="both"/>
        <w:rPr>
          <w:rFonts w:ascii="Arial" w:eastAsia="Calibri" w:hAnsi="Arial" w:cs="Arial"/>
          <w:sz w:val="22"/>
          <w:szCs w:val="22"/>
        </w:rPr>
      </w:pPr>
      <w:r w:rsidRPr="00EF4855">
        <w:rPr>
          <w:rFonts w:ascii="Arial" w:eastAsia="Calibri" w:hAnsi="Arial" w:cs="Arial"/>
          <w:sz w:val="22"/>
          <w:szCs w:val="22"/>
        </w:rPr>
        <w:lastRenderedPageBreak/>
        <w:t>Likewise, the Office of the Government Corporate Counsel (OGCC), in its Opinion No. 198</w:t>
      </w:r>
      <w:r w:rsidR="00BF24AE">
        <w:rPr>
          <w:rFonts w:ascii="Arial" w:eastAsia="Calibri" w:hAnsi="Arial" w:cs="Arial"/>
          <w:sz w:val="22"/>
          <w:szCs w:val="22"/>
        </w:rPr>
        <w:t>,</w:t>
      </w:r>
      <w:r w:rsidRPr="00EF4855">
        <w:rPr>
          <w:rFonts w:ascii="Arial" w:eastAsia="Calibri" w:hAnsi="Arial" w:cs="Arial"/>
          <w:sz w:val="22"/>
          <w:szCs w:val="22"/>
        </w:rPr>
        <w:t xml:space="preserve"> Series 2016 dated December 20, 2016, stated that PCSO is not covered by RA</w:t>
      </w:r>
      <w:r w:rsidR="00BF24AE">
        <w:rPr>
          <w:rFonts w:ascii="Arial" w:eastAsia="Calibri" w:hAnsi="Arial" w:cs="Arial"/>
          <w:sz w:val="22"/>
          <w:szCs w:val="22"/>
        </w:rPr>
        <w:t xml:space="preserve"> No.</w:t>
      </w:r>
      <w:r w:rsidRPr="00EF4855">
        <w:rPr>
          <w:rFonts w:ascii="Arial" w:eastAsia="Calibri" w:hAnsi="Arial" w:cs="Arial"/>
          <w:sz w:val="22"/>
          <w:szCs w:val="22"/>
        </w:rPr>
        <w:t xml:space="preserve"> 7656 as its net earnings </w:t>
      </w:r>
      <w:r w:rsidR="00970998">
        <w:rPr>
          <w:rFonts w:ascii="Arial" w:eastAsia="Calibri" w:hAnsi="Arial" w:cs="Arial"/>
          <w:sz w:val="22"/>
          <w:szCs w:val="22"/>
        </w:rPr>
        <w:t xml:space="preserve">were </w:t>
      </w:r>
      <w:r w:rsidRPr="00EF4855">
        <w:rPr>
          <w:rFonts w:ascii="Arial" w:eastAsia="Calibri" w:hAnsi="Arial" w:cs="Arial"/>
          <w:sz w:val="22"/>
          <w:szCs w:val="22"/>
        </w:rPr>
        <w:t>already allocated by law and earmarked for certain expenses, and all unutilized balance in any of its funds shall revert to the CF.</w:t>
      </w:r>
    </w:p>
    <w:p w:rsidR="00DB54C7" w:rsidRPr="00EF4855" w:rsidRDefault="00DB54C7" w:rsidP="00DB54C7">
      <w:pPr>
        <w:spacing w:after="0" w:line="240" w:lineRule="auto"/>
        <w:ind w:firstLine="720"/>
        <w:jc w:val="both"/>
        <w:rPr>
          <w:rFonts w:ascii="Arial" w:eastAsia="Calibri" w:hAnsi="Arial" w:cs="Arial"/>
          <w:lang w:val="en-US"/>
        </w:rPr>
      </w:pPr>
    </w:p>
    <w:p w:rsidR="00DB54C7" w:rsidRPr="00EF4855" w:rsidRDefault="00DB54C7" w:rsidP="00DA78B4">
      <w:pPr>
        <w:pStyle w:val="ListParagraph"/>
        <w:numPr>
          <w:ilvl w:val="1"/>
          <w:numId w:val="1"/>
        </w:numPr>
        <w:ind w:left="1440"/>
        <w:contextualSpacing/>
        <w:jc w:val="both"/>
        <w:rPr>
          <w:rFonts w:ascii="Arial" w:eastAsia="Calibri" w:hAnsi="Arial" w:cs="Arial"/>
          <w:sz w:val="22"/>
          <w:szCs w:val="22"/>
        </w:rPr>
      </w:pPr>
      <w:r w:rsidRPr="00EF4855">
        <w:rPr>
          <w:rFonts w:ascii="Arial" w:eastAsia="Calibri" w:hAnsi="Arial" w:cs="Arial"/>
          <w:sz w:val="22"/>
          <w:szCs w:val="22"/>
        </w:rPr>
        <w:t xml:space="preserve">However, the Director IV of the Legal Affairs Office, Legal Services Sector, this Commission, stated in its Memorandum dated January 17, 2018 that Section 3 of RA No. 7656, which provides that all GOCCs shall declare and remit at least 50% of their annual net earnings as cash, stock or property dividends to the NG and Section 6 (D) of RA No. 1169, which provides that all balances of any funds in the PCSO shall revert to and form part of the Charity Fund, should be interpreted in a way that they can be harmonized in accordance with the rules on statutory construction.  Thus, the interpretation that any balance from the Operating Fund will be reverted back to the Charity Fund only after the declaration and remittance of the required dividends under RA No. 7656, is more in accord with the purposes and intents of the two laws.  </w:t>
      </w:r>
    </w:p>
    <w:p w:rsidR="00DB54C7" w:rsidRPr="00EF4855" w:rsidRDefault="00DB54C7" w:rsidP="00DB54C7">
      <w:pPr>
        <w:spacing w:after="0" w:line="240" w:lineRule="auto"/>
        <w:ind w:firstLine="720"/>
        <w:jc w:val="both"/>
        <w:rPr>
          <w:rFonts w:ascii="Arial" w:eastAsia="Calibri" w:hAnsi="Arial" w:cs="Arial"/>
          <w:lang w:val="en-US"/>
        </w:rPr>
      </w:pPr>
    </w:p>
    <w:p w:rsidR="00DB54C7" w:rsidRPr="00EF4855" w:rsidRDefault="00DB54C7" w:rsidP="00DA78B4">
      <w:pPr>
        <w:pStyle w:val="ListParagraph"/>
        <w:numPr>
          <w:ilvl w:val="1"/>
          <w:numId w:val="1"/>
        </w:numPr>
        <w:ind w:left="1440"/>
        <w:contextualSpacing/>
        <w:jc w:val="both"/>
        <w:rPr>
          <w:rFonts w:ascii="Arial" w:eastAsia="Calibri" w:hAnsi="Arial" w:cs="Arial"/>
          <w:sz w:val="22"/>
          <w:szCs w:val="22"/>
        </w:rPr>
      </w:pPr>
      <w:r w:rsidRPr="00EF4855">
        <w:rPr>
          <w:rFonts w:ascii="Arial" w:eastAsia="Calibri" w:hAnsi="Arial" w:cs="Arial"/>
          <w:sz w:val="22"/>
          <w:szCs w:val="22"/>
        </w:rPr>
        <w:t xml:space="preserve">Moreover, PCSO is not among the GOCCs exempted from the coverage of RA </w:t>
      </w:r>
      <w:r w:rsidR="00BF24AE">
        <w:rPr>
          <w:rFonts w:ascii="Arial" w:eastAsia="Calibri" w:hAnsi="Arial" w:cs="Arial"/>
          <w:sz w:val="22"/>
          <w:szCs w:val="22"/>
        </w:rPr>
        <w:t xml:space="preserve">No. </w:t>
      </w:r>
      <w:r w:rsidRPr="00EF4855">
        <w:rPr>
          <w:rFonts w:ascii="Arial" w:eastAsia="Calibri" w:hAnsi="Arial" w:cs="Arial"/>
          <w:sz w:val="22"/>
          <w:szCs w:val="22"/>
        </w:rPr>
        <w:t>7656</w:t>
      </w:r>
      <w:r w:rsidR="00BF24AE">
        <w:rPr>
          <w:rFonts w:ascii="Arial" w:eastAsia="Calibri" w:hAnsi="Arial" w:cs="Arial"/>
          <w:sz w:val="22"/>
          <w:szCs w:val="22"/>
        </w:rPr>
        <w:t>,</w:t>
      </w:r>
      <w:r w:rsidRPr="00EF4855">
        <w:rPr>
          <w:rFonts w:ascii="Arial" w:eastAsia="Calibri" w:hAnsi="Arial" w:cs="Arial"/>
          <w:sz w:val="22"/>
          <w:szCs w:val="22"/>
        </w:rPr>
        <w:t xml:space="preserve"> specifically enumerated under Section 4 of the Revised IRR to RA No. 7656 (2016).</w:t>
      </w:r>
    </w:p>
    <w:p w:rsidR="00DB54C7" w:rsidRPr="00EF4855" w:rsidRDefault="00DB54C7" w:rsidP="00DB54C7">
      <w:pPr>
        <w:spacing w:after="0" w:line="240" w:lineRule="auto"/>
        <w:ind w:firstLine="720"/>
        <w:jc w:val="both"/>
        <w:rPr>
          <w:rFonts w:ascii="Arial" w:eastAsia="Calibri" w:hAnsi="Arial" w:cs="Arial"/>
          <w:lang w:val="en-US"/>
        </w:rPr>
      </w:pPr>
    </w:p>
    <w:p w:rsidR="00154063" w:rsidRPr="00154063" w:rsidRDefault="00DB54C7" w:rsidP="004F6C55">
      <w:pPr>
        <w:pStyle w:val="ListParagraph"/>
        <w:numPr>
          <w:ilvl w:val="1"/>
          <w:numId w:val="1"/>
        </w:numPr>
        <w:ind w:left="1440"/>
        <w:contextualSpacing/>
        <w:jc w:val="both"/>
        <w:rPr>
          <w:rFonts w:ascii="Arial" w:eastAsia="Calibri" w:hAnsi="Arial" w:cs="Arial"/>
        </w:rPr>
      </w:pPr>
      <w:r w:rsidRPr="00154063">
        <w:rPr>
          <w:rFonts w:ascii="Arial" w:eastAsia="Calibri" w:hAnsi="Arial" w:cs="Arial"/>
          <w:b/>
          <w:sz w:val="22"/>
          <w:szCs w:val="22"/>
        </w:rPr>
        <w:t>We recommend</w:t>
      </w:r>
      <w:r w:rsidR="00970998" w:rsidRPr="00154063">
        <w:rPr>
          <w:rFonts w:ascii="Arial" w:eastAsia="Calibri" w:hAnsi="Arial" w:cs="Arial"/>
          <w:b/>
          <w:sz w:val="22"/>
          <w:szCs w:val="22"/>
        </w:rPr>
        <w:t>ed</w:t>
      </w:r>
      <w:r w:rsidRPr="00154063">
        <w:rPr>
          <w:rFonts w:ascii="Arial" w:eastAsia="Calibri" w:hAnsi="Arial" w:cs="Arial"/>
          <w:b/>
          <w:sz w:val="22"/>
          <w:szCs w:val="22"/>
        </w:rPr>
        <w:t xml:space="preserve"> that Management settle the P8.426 billion dividends in arrears due to the NG in compliance with RA</w:t>
      </w:r>
      <w:r w:rsidR="00BF24AE" w:rsidRPr="00154063">
        <w:rPr>
          <w:rFonts w:ascii="Arial" w:eastAsia="Calibri" w:hAnsi="Arial" w:cs="Arial"/>
          <w:b/>
          <w:sz w:val="22"/>
          <w:szCs w:val="22"/>
        </w:rPr>
        <w:t xml:space="preserve"> No.</w:t>
      </w:r>
      <w:r w:rsidRPr="00154063">
        <w:rPr>
          <w:rFonts w:ascii="Arial" w:eastAsia="Calibri" w:hAnsi="Arial" w:cs="Arial"/>
          <w:b/>
          <w:sz w:val="22"/>
          <w:szCs w:val="22"/>
        </w:rPr>
        <w:t xml:space="preserve"> 7656</w:t>
      </w:r>
      <w:r w:rsidR="00154063">
        <w:rPr>
          <w:rFonts w:ascii="Arial" w:eastAsia="Calibri" w:hAnsi="Arial" w:cs="Arial"/>
          <w:b/>
          <w:sz w:val="22"/>
          <w:szCs w:val="22"/>
        </w:rPr>
        <w:t>, once their request for exemption will be denied by the Department of Finance</w:t>
      </w:r>
      <w:r w:rsidRPr="00154063">
        <w:rPr>
          <w:rFonts w:ascii="Arial" w:eastAsia="Calibri" w:hAnsi="Arial" w:cs="Arial"/>
          <w:b/>
          <w:sz w:val="22"/>
          <w:szCs w:val="22"/>
        </w:rPr>
        <w:t>.</w:t>
      </w:r>
    </w:p>
    <w:p w:rsidR="00DB54C7" w:rsidRPr="00154063" w:rsidRDefault="00DB54C7" w:rsidP="00154063">
      <w:pPr>
        <w:pStyle w:val="ListParagraph"/>
        <w:ind w:left="1440"/>
        <w:contextualSpacing/>
        <w:jc w:val="both"/>
        <w:rPr>
          <w:rFonts w:ascii="Arial" w:eastAsia="Calibri" w:hAnsi="Arial" w:cs="Arial"/>
        </w:rPr>
      </w:pPr>
      <w:r w:rsidRPr="00154063">
        <w:rPr>
          <w:rFonts w:ascii="Arial" w:eastAsia="Calibri" w:hAnsi="Arial" w:cs="Arial"/>
          <w:b/>
          <w:sz w:val="22"/>
          <w:szCs w:val="22"/>
        </w:rPr>
        <w:t xml:space="preserve">  </w:t>
      </w:r>
    </w:p>
    <w:p w:rsidR="00DB54C7" w:rsidRPr="00EF4855" w:rsidRDefault="00DB54C7" w:rsidP="00DA78B4">
      <w:pPr>
        <w:pStyle w:val="ListParagraph"/>
        <w:numPr>
          <w:ilvl w:val="1"/>
          <w:numId w:val="1"/>
        </w:numPr>
        <w:ind w:left="1440"/>
        <w:contextualSpacing/>
        <w:jc w:val="both"/>
        <w:rPr>
          <w:rFonts w:ascii="Arial" w:eastAsia="Calibri" w:hAnsi="Arial" w:cs="Arial"/>
          <w:sz w:val="22"/>
          <w:szCs w:val="22"/>
        </w:rPr>
      </w:pPr>
      <w:r w:rsidRPr="00D208BF">
        <w:rPr>
          <w:rFonts w:ascii="Arial" w:eastAsia="Calibri" w:hAnsi="Arial" w:cs="Arial"/>
          <w:sz w:val="22"/>
          <w:szCs w:val="22"/>
        </w:rPr>
        <w:t>Management</w:t>
      </w:r>
      <w:r w:rsidRPr="00EF4855">
        <w:rPr>
          <w:rFonts w:ascii="Arial" w:eastAsia="Calibri" w:hAnsi="Arial" w:cs="Arial"/>
          <w:sz w:val="22"/>
          <w:szCs w:val="22"/>
        </w:rPr>
        <w:t xml:space="preserve"> commented that:</w:t>
      </w:r>
    </w:p>
    <w:p w:rsidR="00DB54C7" w:rsidRPr="00EF4855" w:rsidRDefault="00DB54C7" w:rsidP="00DB54C7">
      <w:pPr>
        <w:spacing w:after="0" w:line="240" w:lineRule="auto"/>
        <w:ind w:left="1080"/>
        <w:contextualSpacing/>
        <w:jc w:val="both"/>
        <w:rPr>
          <w:rFonts w:ascii="Arial" w:eastAsia="Calibri" w:hAnsi="Arial" w:cs="Arial"/>
          <w:lang w:val="en-US"/>
        </w:rPr>
      </w:pPr>
    </w:p>
    <w:p w:rsidR="00DB54C7" w:rsidRPr="00EF4855" w:rsidRDefault="00970998" w:rsidP="00DA78B4">
      <w:pPr>
        <w:numPr>
          <w:ilvl w:val="0"/>
          <w:numId w:val="7"/>
        </w:numPr>
        <w:spacing w:after="0" w:line="240" w:lineRule="auto"/>
        <w:ind w:left="1980" w:hanging="540"/>
        <w:contextualSpacing/>
        <w:jc w:val="both"/>
        <w:rPr>
          <w:rFonts w:ascii="Arial" w:eastAsia="Calibri" w:hAnsi="Arial" w:cs="Arial"/>
          <w:lang w:val="en-US"/>
        </w:rPr>
      </w:pPr>
      <w:r>
        <w:rPr>
          <w:rFonts w:ascii="Arial" w:eastAsia="Calibri" w:hAnsi="Arial" w:cs="Arial"/>
          <w:lang w:val="en-US"/>
        </w:rPr>
        <w:t>A</w:t>
      </w:r>
      <w:r w:rsidR="00DB54C7" w:rsidRPr="00EF4855">
        <w:rPr>
          <w:rFonts w:ascii="Arial" w:eastAsia="Calibri" w:hAnsi="Arial" w:cs="Arial"/>
          <w:lang w:val="en-US"/>
        </w:rPr>
        <w:t xml:space="preserve"> DOF letter dated March 16, 2016</w:t>
      </w:r>
      <w:r>
        <w:rPr>
          <w:rFonts w:ascii="Arial" w:eastAsia="Calibri" w:hAnsi="Arial" w:cs="Arial"/>
          <w:lang w:val="en-US"/>
        </w:rPr>
        <w:t xml:space="preserve"> </w:t>
      </w:r>
      <w:r w:rsidR="00335176" w:rsidRPr="00EF4855">
        <w:rPr>
          <w:rFonts w:ascii="Arial" w:eastAsia="Calibri" w:hAnsi="Arial" w:cs="Arial"/>
          <w:lang w:val="en-US"/>
        </w:rPr>
        <w:t xml:space="preserve">addressed to COA </w:t>
      </w:r>
      <w:r>
        <w:rPr>
          <w:rFonts w:ascii="Arial" w:eastAsia="Calibri" w:hAnsi="Arial" w:cs="Arial"/>
          <w:lang w:val="en-US"/>
        </w:rPr>
        <w:t xml:space="preserve">has </w:t>
      </w:r>
      <w:r w:rsidR="00DB54C7" w:rsidRPr="00EF4855">
        <w:rPr>
          <w:rFonts w:ascii="Arial" w:eastAsia="Calibri" w:hAnsi="Arial" w:cs="Arial"/>
          <w:lang w:val="en-US"/>
        </w:rPr>
        <w:t xml:space="preserve">confirmed that PCSO is not exempted from RA </w:t>
      </w:r>
      <w:r w:rsidR="00BF24AE">
        <w:rPr>
          <w:rFonts w:ascii="Arial" w:eastAsia="Calibri" w:hAnsi="Arial" w:cs="Arial"/>
          <w:lang w:val="en-US"/>
        </w:rPr>
        <w:t xml:space="preserve">No. </w:t>
      </w:r>
      <w:r w:rsidR="00DB54C7" w:rsidRPr="00EF4855">
        <w:rPr>
          <w:rFonts w:ascii="Arial" w:eastAsia="Calibri" w:hAnsi="Arial" w:cs="Arial"/>
          <w:lang w:val="en-US"/>
        </w:rPr>
        <w:t>7656</w:t>
      </w:r>
      <w:r w:rsidR="00BF24AE">
        <w:rPr>
          <w:rFonts w:ascii="Arial" w:eastAsia="Calibri" w:hAnsi="Arial" w:cs="Arial"/>
          <w:lang w:val="en-US"/>
        </w:rPr>
        <w:t>,</w:t>
      </w:r>
      <w:r w:rsidR="00DB54C7" w:rsidRPr="00EF4855">
        <w:rPr>
          <w:rFonts w:ascii="Arial" w:eastAsia="Calibri" w:hAnsi="Arial" w:cs="Arial"/>
          <w:lang w:val="en-US"/>
        </w:rPr>
        <w:t xml:space="preserve"> but </w:t>
      </w:r>
      <w:r w:rsidR="00335176">
        <w:rPr>
          <w:rFonts w:ascii="Arial" w:eastAsia="Calibri" w:hAnsi="Arial" w:cs="Arial"/>
          <w:lang w:val="en-US"/>
        </w:rPr>
        <w:t>likewise</w:t>
      </w:r>
      <w:r w:rsidR="00DB54C7" w:rsidRPr="00EF4855">
        <w:rPr>
          <w:rFonts w:ascii="Arial" w:eastAsia="Calibri" w:hAnsi="Arial" w:cs="Arial"/>
          <w:lang w:val="en-US"/>
        </w:rPr>
        <w:t xml:space="preserve"> recognized the PCSO’s mandate that all balances of any fund shall regularly revert to and form part of the Charity Fund. </w:t>
      </w:r>
    </w:p>
    <w:p w:rsidR="002A07F0" w:rsidRPr="00EF4855" w:rsidRDefault="002A07F0" w:rsidP="00BF24AE">
      <w:pPr>
        <w:spacing w:after="0" w:line="240" w:lineRule="auto"/>
        <w:ind w:left="1980" w:hanging="540"/>
        <w:contextualSpacing/>
        <w:jc w:val="both"/>
        <w:rPr>
          <w:rFonts w:ascii="Arial" w:eastAsia="Calibri" w:hAnsi="Arial" w:cs="Arial"/>
          <w:lang w:val="en-US"/>
        </w:rPr>
      </w:pPr>
    </w:p>
    <w:p w:rsidR="00DB54C7" w:rsidRPr="00EF4855" w:rsidRDefault="00775AA0" w:rsidP="00DA78B4">
      <w:pPr>
        <w:numPr>
          <w:ilvl w:val="0"/>
          <w:numId w:val="7"/>
        </w:numPr>
        <w:spacing w:after="0" w:line="240" w:lineRule="auto"/>
        <w:ind w:left="1980" w:hanging="540"/>
        <w:contextualSpacing/>
        <w:jc w:val="both"/>
        <w:rPr>
          <w:rFonts w:ascii="Arial" w:eastAsia="Calibri" w:hAnsi="Arial" w:cs="Arial"/>
          <w:lang w:val="en-US"/>
        </w:rPr>
      </w:pPr>
      <w:r>
        <w:rPr>
          <w:rFonts w:ascii="Arial" w:eastAsia="Calibri" w:hAnsi="Arial" w:cs="Arial"/>
          <w:lang w:val="en-US"/>
        </w:rPr>
        <w:t xml:space="preserve">In the statement of </w:t>
      </w:r>
      <w:r w:rsidR="00BF24AE">
        <w:rPr>
          <w:rFonts w:ascii="Arial" w:eastAsia="Calibri" w:hAnsi="Arial" w:cs="Arial"/>
          <w:lang w:val="en-US"/>
        </w:rPr>
        <w:t xml:space="preserve">former </w:t>
      </w:r>
      <w:r w:rsidR="00DB54C7" w:rsidRPr="00EF4855">
        <w:rPr>
          <w:rFonts w:ascii="Arial" w:eastAsia="Calibri" w:hAnsi="Arial" w:cs="Arial"/>
          <w:lang w:val="en-US"/>
        </w:rPr>
        <w:t>GCG Chairman Cesar L. Villanueva during the ceremonial turnover of GOCC dividends on June 3, 2013, he recognized the efforts of GOCCs (including PCSO) which, by their respective charters, are precluded from remitting the dividends to the NG; and</w:t>
      </w:r>
    </w:p>
    <w:p w:rsidR="00DB54C7" w:rsidRPr="00EF4855" w:rsidRDefault="00DB54C7" w:rsidP="00BF24AE">
      <w:pPr>
        <w:spacing w:after="200" w:line="276" w:lineRule="auto"/>
        <w:ind w:left="1980" w:hanging="540"/>
        <w:contextualSpacing/>
        <w:rPr>
          <w:rFonts w:ascii="Arial" w:eastAsia="Calibri" w:hAnsi="Arial" w:cs="Arial"/>
          <w:lang w:val="en-US"/>
        </w:rPr>
      </w:pPr>
    </w:p>
    <w:p w:rsidR="00DB54C7" w:rsidRPr="00EF4855" w:rsidRDefault="00DB54C7" w:rsidP="00DA78B4">
      <w:pPr>
        <w:numPr>
          <w:ilvl w:val="0"/>
          <w:numId w:val="7"/>
        </w:numPr>
        <w:spacing w:after="0" w:line="240" w:lineRule="auto"/>
        <w:ind w:left="1980" w:hanging="540"/>
        <w:contextualSpacing/>
        <w:jc w:val="both"/>
        <w:rPr>
          <w:rFonts w:ascii="Arial" w:eastAsia="Calibri" w:hAnsi="Arial" w:cs="Arial"/>
          <w:lang w:val="en-US"/>
        </w:rPr>
      </w:pPr>
      <w:r w:rsidRPr="00EF4855">
        <w:rPr>
          <w:rFonts w:ascii="Arial" w:eastAsia="Calibri" w:hAnsi="Arial" w:cs="Arial"/>
          <w:lang w:val="en-US"/>
        </w:rPr>
        <w:t xml:space="preserve">To date, the PCSO is still in negotiation with the DOF, on whether or not </w:t>
      </w:r>
      <w:r w:rsidR="00BF24AE">
        <w:rPr>
          <w:rFonts w:ascii="Arial" w:eastAsia="Calibri" w:hAnsi="Arial" w:cs="Arial"/>
          <w:lang w:val="en-US"/>
        </w:rPr>
        <w:t>it</w:t>
      </w:r>
      <w:r w:rsidRPr="00EF4855">
        <w:rPr>
          <w:rFonts w:ascii="Arial" w:eastAsia="Calibri" w:hAnsi="Arial" w:cs="Arial"/>
          <w:lang w:val="en-US"/>
        </w:rPr>
        <w:t xml:space="preserve"> would be required to remit the dividend</w:t>
      </w:r>
      <w:r w:rsidR="00BF24AE">
        <w:rPr>
          <w:rFonts w:ascii="Arial" w:eastAsia="Calibri" w:hAnsi="Arial" w:cs="Arial"/>
          <w:lang w:val="en-US"/>
        </w:rPr>
        <w:t>s</w:t>
      </w:r>
      <w:r w:rsidRPr="00EF4855">
        <w:rPr>
          <w:rFonts w:ascii="Arial" w:eastAsia="Calibri" w:hAnsi="Arial" w:cs="Arial"/>
          <w:lang w:val="en-US"/>
        </w:rPr>
        <w:t xml:space="preserve"> for CYs 1994 to 2016 and is also in close coordination with the said Department regarding the proposed settlement of arrears in Dividends.</w:t>
      </w:r>
    </w:p>
    <w:p w:rsidR="00DB54C7" w:rsidRPr="00EF4855" w:rsidRDefault="00DB54C7" w:rsidP="00DB54C7">
      <w:pPr>
        <w:spacing w:after="0" w:line="240" w:lineRule="auto"/>
        <w:ind w:firstLine="720"/>
        <w:jc w:val="both"/>
        <w:rPr>
          <w:rFonts w:ascii="Arial" w:eastAsia="Calibri" w:hAnsi="Arial" w:cs="Arial"/>
          <w:lang w:val="en-US"/>
        </w:rPr>
      </w:pPr>
    </w:p>
    <w:p w:rsidR="00DB54C7" w:rsidRDefault="00BD35EA" w:rsidP="00DA78B4">
      <w:pPr>
        <w:pStyle w:val="ListParagraph"/>
        <w:numPr>
          <w:ilvl w:val="1"/>
          <w:numId w:val="1"/>
        </w:numPr>
        <w:ind w:left="1440"/>
        <w:contextualSpacing/>
        <w:jc w:val="both"/>
        <w:rPr>
          <w:rFonts w:ascii="Arial" w:eastAsia="Calibri" w:hAnsi="Arial" w:cs="Arial"/>
          <w:sz w:val="22"/>
          <w:szCs w:val="22"/>
        </w:rPr>
      </w:pPr>
      <w:r w:rsidRPr="0067148D">
        <w:rPr>
          <w:rFonts w:ascii="Arial" w:eastAsia="Calibri" w:hAnsi="Arial" w:cs="Arial"/>
          <w:sz w:val="22"/>
          <w:szCs w:val="22"/>
        </w:rPr>
        <w:t xml:space="preserve">It is the position of the Audit Team that </w:t>
      </w:r>
      <w:r w:rsidR="0067148D" w:rsidRPr="0067148D">
        <w:rPr>
          <w:rFonts w:ascii="Arial" w:eastAsia="Calibri" w:hAnsi="Arial" w:cs="Arial"/>
          <w:sz w:val="22"/>
          <w:szCs w:val="22"/>
        </w:rPr>
        <w:t xml:space="preserve">the PCSO must comply with the Dividends law considering that it was not expressly exempted from the coverage of RA </w:t>
      </w:r>
      <w:r w:rsidR="00C334A3">
        <w:rPr>
          <w:rFonts w:ascii="Arial" w:eastAsia="Calibri" w:hAnsi="Arial" w:cs="Arial"/>
          <w:sz w:val="22"/>
          <w:szCs w:val="22"/>
        </w:rPr>
        <w:t xml:space="preserve">No. </w:t>
      </w:r>
      <w:r w:rsidR="0067148D" w:rsidRPr="0067148D">
        <w:rPr>
          <w:rFonts w:ascii="Arial" w:eastAsia="Calibri" w:hAnsi="Arial" w:cs="Arial"/>
          <w:sz w:val="22"/>
          <w:szCs w:val="22"/>
        </w:rPr>
        <w:t>7656. T</w:t>
      </w:r>
      <w:r w:rsidRPr="0067148D">
        <w:rPr>
          <w:rFonts w:ascii="Arial" w:eastAsia="Calibri" w:hAnsi="Arial" w:cs="Arial"/>
          <w:sz w:val="22"/>
          <w:szCs w:val="22"/>
        </w:rPr>
        <w:t xml:space="preserve">he provisions in </w:t>
      </w:r>
      <w:r w:rsidR="0067148D" w:rsidRPr="0067148D">
        <w:rPr>
          <w:rFonts w:ascii="Arial" w:eastAsia="Calibri" w:hAnsi="Arial" w:cs="Arial"/>
          <w:sz w:val="22"/>
          <w:szCs w:val="22"/>
        </w:rPr>
        <w:t xml:space="preserve">the </w:t>
      </w:r>
      <w:r w:rsidRPr="0067148D">
        <w:rPr>
          <w:rFonts w:ascii="Arial" w:eastAsia="Calibri" w:hAnsi="Arial" w:cs="Arial"/>
          <w:sz w:val="22"/>
          <w:szCs w:val="22"/>
        </w:rPr>
        <w:t xml:space="preserve">PCSO’s Charter, </w:t>
      </w:r>
      <w:r w:rsidRPr="0067148D">
        <w:rPr>
          <w:rFonts w:ascii="Arial" w:eastAsia="Calibri" w:hAnsi="Arial" w:cs="Arial"/>
          <w:sz w:val="22"/>
          <w:szCs w:val="22"/>
        </w:rPr>
        <w:lastRenderedPageBreak/>
        <w:t xml:space="preserve">particularly on the reversion of unutilized balance in any of its funds to the Charity Fund, should be interpreted in conjunction with </w:t>
      </w:r>
      <w:r w:rsidR="00666E32">
        <w:rPr>
          <w:rFonts w:ascii="Arial" w:eastAsia="Calibri" w:hAnsi="Arial" w:cs="Arial"/>
          <w:sz w:val="22"/>
          <w:szCs w:val="22"/>
        </w:rPr>
        <w:t>the said law.</w:t>
      </w:r>
    </w:p>
    <w:p w:rsidR="0067148D" w:rsidRDefault="0067148D" w:rsidP="0067148D">
      <w:pPr>
        <w:contextualSpacing/>
        <w:jc w:val="both"/>
        <w:rPr>
          <w:rFonts w:ascii="Arial" w:eastAsia="Calibri" w:hAnsi="Arial" w:cs="Arial"/>
          <w:lang w:val="en-US"/>
        </w:rPr>
      </w:pPr>
    </w:p>
    <w:p w:rsidR="00154063" w:rsidRDefault="00154063" w:rsidP="0067148D">
      <w:pPr>
        <w:contextualSpacing/>
        <w:jc w:val="both"/>
        <w:rPr>
          <w:rFonts w:ascii="Arial" w:eastAsia="Calibri" w:hAnsi="Arial" w:cs="Arial"/>
          <w:lang w:val="en-US"/>
        </w:rPr>
      </w:pPr>
    </w:p>
    <w:p w:rsidR="00D91460" w:rsidRPr="0067148D" w:rsidRDefault="00D91460" w:rsidP="0067148D">
      <w:pPr>
        <w:contextualSpacing/>
        <w:jc w:val="both"/>
        <w:rPr>
          <w:rFonts w:ascii="Arial" w:eastAsia="Calibri" w:hAnsi="Arial" w:cs="Arial"/>
        </w:rPr>
      </w:pPr>
      <w:r w:rsidRPr="0067148D">
        <w:rPr>
          <w:rFonts w:ascii="Arial" w:hAnsi="Arial" w:cs="Arial"/>
          <w:b/>
        </w:rPr>
        <w:t>Small Town Lottery</w:t>
      </w:r>
      <w:r w:rsidR="00C334A3">
        <w:rPr>
          <w:rFonts w:ascii="Arial" w:hAnsi="Arial" w:cs="Arial"/>
          <w:b/>
        </w:rPr>
        <w:t xml:space="preserve"> (STL)</w:t>
      </w:r>
    </w:p>
    <w:p w:rsidR="00D91460" w:rsidRPr="00C334A3" w:rsidRDefault="00D91460" w:rsidP="00DA78B4">
      <w:pPr>
        <w:pStyle w:val="ListParagraph"/>
        <w:numPr>
          <w:ilvl w:val="0"/>
          <w:numId w:val="1"/>
        </w:numPr>
        <w:ind w:left="720" w:hanging="720"/>
        <w:jc w:val="both"/>
        <w:rPr>
          <w:rFonts w:ascii="Arial" w:hAnsi="Arial" w:cs="Arial"/>
          <w:b/>
        </w:rPr>
      </w:pPr>
      <w:r w:rsidRPr="00C334A3">
        <w:rPr>
          <w:rFonts w:ascii="Arial" w:hAnsi="Arial" w:cs="Arial"/>
          <w:b/>
          <w:sz w:val="22"/>
          <w:szCs w:val="22"/>
        </w:rPr>
        <w:t>The Presumptive Monthly Retail Receipts (PMRR) shortfall</w:t>
      </w:r>
      <w:r w:rsidR="00B209D2" w:rsidRPr="00C334A3">
        <w:rPr>
          <w:rFonts w:ascii="Arial" w:hAnsi="Arial" w:cs="Arial"/>
          <w:b/>
          <w:sz w:val="22"/>
          <w:szCs w:val="22"/>
        </w:rPr>
        <w:t>s</w:t>
      </w:r>
      <w:r w:rsidRPr="00C334A3">
        <w:rPr>
          <w:rFonts w:ascii="Arial" w:hAnsi="Arial" w:cs="Arial"/>
          <w:b/>
          <w:sz w:val="22"/>
          <w:szCs w:val="22"/>
        </w:rPr>
        <w:t xml:space="preserve"> due to PCSO in the amount of P4</w:t>
      </w:r>
      <w:r w:rsidR="00B367AB" w:rsidRPr="00C334A3">
        <w:rPr>
          <w:rFonts w:ascii="Arial" w:hAnsi="Arial" w:cs="Arial"/>
          <w:b/>
          <w:sz w:val="22"/>
          <w:szCs w:val="22"/>
        </w:rPr>
        <w:t>.</w:t>
      </w:r>
      <w:r w:rsidRPr="00C334A3">
        <w:rPr>
          <w:rFonts w:ascii="Arial" w:hAnsi="Arial" w:cs="Arial"/>
          <w:b/>
          <w:sz w:val="22"/>
          <w:szCs w:val="22"/>
        </w:rPr>
        <w:t>60</w:t>
      </w:r>
      <w:r w:rsidR="00806D17" w:rsidRPr="00C334A3">
        <w:rPr>
          <w:rFonts w:ascii="Arial" w:hAnsi="Arial" w:cs="Arial"/>
          <w:b/>
          <w:sz w:val="22"/>
          <w:szCs w:val="22"/>
        </w:rPr>
        <w:t>7</w:t>
      </w:r>
      <w:r w:rsidR="00B367AB" w:rsidRPr="00C334A3">
        <w:rPr>
          <w:rFonts w:ascii="Arial" w:hAnsi="Arial" w:cs="Arial"/>
          <w:b/>
          <w:sz w:val="22"/>
          <w:szCs w:val="22"/>
        </w:rPr>
        <w:t xml:space="preserve"> billion</w:t>
      </w:r>
      <w:r w:rsidRPr="00C334A3">
        <w:rPr>
          <w:rFonts w:ascii="Arial" w:hAnsi="Arial" w:cs="Arial"/>
          <w:b/>
          <w:sz w:val="22"/>
          <w:szCs w:val="22"/>
        </w:rPr>
        <w:t>, net of the waived PMRR amounting to P665.200 million and reduced PMRR as a result of implementation of Board Resolution No. 401</w:t>
      </w:r>
      <w:r w:rsidR="00C334A3">
        <w:rPr>
          <w:rFonts w:ascii="Arial" w:hAnsi="Arial" w:cs="Arial"/>
          <w:b/>
          <w:sz w:val="22"/>
          <w:szCs w:val="22"/>
        </w:rPr>
        <w:t>,</w:t>
      </w:r>
      <w:r w:rsidRPr="00C334A3">
        <w:rPr>
          <w:rFonts w:ascii="Arial" w:hAnsi="Arial" w:cs="Arial"/>
          <w:b/>
          <w:sz w:val="22"/>
          <w:szCs w:val="22"/>
        </w:rPr>
        <w:t xml:space="preserve"> series 2018 in the amount of P761.909 million, remained unsettled as of December 31, 2018 in violation of Section 18 (e) of the IRR for the STL.</w:t>
      </w:r>
    </w:p>
    <w:p w:rsidR="00C334A3" w:rsidRPr="00EF4855" w:rsidRDefault="00C334A3" w:rsidP="004C39E3">
      <w:pPr>
        <w:pStyle w:val="ListParagraph"/>
        <w:suppressAutoHyphens/>
        <w:jc w:val="both"/>
        <w:rPr>
          <w:rFonts w:ascii="Arial" w:hAnsi="Arial" w:cs="Arial"/>
          <w:b/>
          <w:sz w:val="22"/>
          <w:szCs w:val="22"/>
        </w:rPr>
      </w:pPr>
    </w:p>
    <w:p w:rsidR="00FB6077" w:rsidRPr="00FB6077" w:rsidRDefault="00FB6077" w:rsidP="00DA78B4">
      <w:pPr>
        <w:pStyle w:val="ListParagraph"/>
        <w:numPr>
          <w:ilvl w:val="0"/>
          <w:numId w:val="1"/>
        </w:numPr>
        <w:jc w:val="both"/>
        <w:rPr>
          <w:rFonts w:ascii="Arial" w:hAnsi="Arial" w:cs="Arial"/>
          <w:vanish/>
          <w:sz w:val="22"/>
          <w:szCs w:val="22"/>
        </w:rPr>
      </w:pPr>
    </w:p>
    <w:p w:rsidR="0066326C" w:rsidRPr="000556EE" w:rsidRDefault="0066326C" w:rsidP="00DA78B4">
      <w:pPr>
        <w:pStyle w:val="ListParagraph"/>
        <w:numPr>
          <w:ilvl w:val="1"/>
          <w:numId w:val="21"/>
        </w:numPr>
        <w:ind w:left="1440"/>
        <w:jc w:val="both"/>
        <w:rPr>
          <w:rFonts w:ascii="Arial" w:hAnsi="Arial" w:cs="Arial"/>
          <w:sz w:val="22"/>
          <w:szCs w:val="22"/>
        </w:rPr>
      </w:pPr>
      <w:r w:rsidRPr="000556EE">
        <w:rPr>
          <w:rFonts w:ascii="Arial" w:hAnsi="Arial" w:cs="Arial"/>
          <w:sz w:val="22"/>
          <w:szCs w:val="22"/>
        </w:rPr>
        <w:t>Section 18 (e) of the 2016 IRR for the STL provides:</w:t>
      </w:r>
    </w:p>
    <w:p w:rsidR="0066326C" w:rsidRPr="000556EE" w:rsidRDefault="0066326C" w:rsidP="004C39E3">
      <w:pPr>
        <w:pStyle w:val="Header"/>
        <w:tabs>
          <w:tab w:val="left" w:pos="1236"/>
        </w:tabs>
        <w:ind w:right="198" w:firstLine="0"/>
        <w:jc w:val="center"/>
        <w:rPr>
          <w:rFonts w:cs="Arial"/>
          <w:sz w:val="22"/>
          <w:szCs w:val="22"/>
        </w:rPr>
      </w:pPr>
    </w:p>
    <w:p w:rsidR="0066326C" w:rsidRPr="000556EE" w:rsidRDefault="0066326C" w:rsidP="000556EE">
      <w:pPr>
        <w:pStyle w:val="Header"/>
        <w:ind w:left="1710" w:right="730" w:firstLine="0"/>
        <w:rPr>
          <w:rFonts w:cs="Arial"/>
          <w:i/>
          <w:sz w:val="22"/>
          <w:szCs w:val="22"/>
        </w:rPr>
      </w:pPr>
      <w:r w:rsidRPr="000556EE">
        <w:rPr>
          <w:rFonts w:cs="Arial"/>
          <w:i/>
          <w:sz w:val="22"/>
          <w:szCs w:val="22"/>
        </w:rPr>
        <w:t>The AAC in the conduct of its operations shall perform, among others, the following duties and responsibilities:</w:t>
      </w:r>
    </w:p>
    <w:p w:rsidR="0066326C" w:rsidRPr="000556EE" w:rsidRDefault="00B45E5E" w:rsidP="000556EE">
      <w:pPr>
        <w:pStyle w:val="Header"/>
        <w:ind w:left="360" w:right="730" w:firstLine="0"/>
        <w:rPr>
          <w:rFonts w:cs="Arial"/>
          <w:i/>
          <w:sz w:val="22"/>
          <w:szCs w:val="22"/>
        </w:rPr>
      </w:pPr>
      <w:r w:rsidRPr="000556EE">
        <w:rPr>
          <w:rFonts w:cs="Arial"/>
          <w:i/>
          <w:sz w:val="22"/>
          <w:szCs w:val="22"/>
        </w:rPr>
        <w:t xml:space="preserve">                                 </w:t>
      </w:r>
      <w:r w:rsidR="00FB6077" w:rsidRPr="000556EE">
        <w:rPr>
          <w:rFonts w:cs="Arial"/>
          <w:i/>
          <w:sz w:val="22"/>
          <w:szCs w:val="22"/>
        </w:rPr>
        <w:tab/>
      </w:r>
      <w:r w:rsidR="00FB6077" w:rsidRPr="000556EE">
        <w:rPr>
          <w:rFonts w:cs="Arial"/>
          <w:i/>
          <w:sz w:val="22"/>
          <w:szCs w:val="22"/>
        </w:rPr>
        <w:tab/>
      </w:r>
    </w:p>
    <w:p w:rsidR="0066326C" w:rsidRPr="000556EE" w:rsidRDefault="0066326C" w:rsidP="00DA78B4">
      <w:pPr>
        <w:pStyle w:val="Header"/>
        <w:numPr>
          <w:ilvl w:val="7"/>
          <w:numId w:val="4"/>
        </w:numPr>
        <w:ind w:left="2520" w:right="730" w:hanging="677"/>
        <w:rPr>
          <w:rFonts w:cs="Arial"/>
          <w:i/>
          <w:sz w:val="22"/>
          <w:szCs w:val="22"/>
        </w:rPr>
      </w:pPr>
      <w:r w:rsidRPr="000556EE">
        <w:rPr>
          <w:rFonts w:cs="Arial"/>
          <w:i/>
          <w:sz w:val="22"/>
          <w:szCs w:val="22"/>
        </w:rPr>
        <w:t>xxx…</w:t>
      </w:r>
    </w:p>
    <w:p w:rsidR="00A31860" w:rsidRPr="000556EE" w:rsidRDefault="00A31860" w:rsidP="000556EE">
      <w:pPr>
        <w:pStyle w:val="Header"/>
        <w:ind w:right="730"/>
        <w:rPr>
          <w:rFonts w:cs="Arial"/>
          <w:i/>
          <w:sz w:val="22"/>
          <w:szCs w:val="22"/>
        </w:rPr>
      </w:pPr>
    </w:p>
    <w:p w:rsidR="0066326C" w:rsidRPr="000556EE" w:rsidRDefault="0066326C" w:rsidP="000556EE">
      <w:pPr>
        <w:pStyle w:val="Header"/>
        <w:ind w:left="2340" w:right="730" w:hanging="497"/>
        <w:rPr>
          <w:rFonts w:cs="Arial"/>
          <w:b/>
          <w:i/>
          <w:sz w:val="22"/>
          <w:szCs w:val="22"/>
        </w:rPr>
      </w:pPr>
      <w:r w:rsidRPr="000556EE">
        <w:rPr>
          <w:rFonts w:cs="Arial"/>
          <w:i/>
          <w:sz w:val="22"/>
          <w:szCs w:val="22"/>
        </w:rPr>
        <w:t>e</w:t>
      </w:r>
      <w:r w:rsidR="00FB6077" w:rsidRPr="000556EE">
        <w:rPr>
          <w:rFonts w:cs="Arial"/>
          <w:i/>
          <w:sz w:val="22"/>
          <w:szCs w:val="22"/>
        </w:rPr>
        <w:t xml:space="preserve">. </w:t>
      </w:r>
      <w:r w:rsidRPr="000556EE">
        <w:rPr>
          <w:rFonts w:cs="Arial"/>
          <w:i/>
          <w:sz w:val="22"/>
          <w:szCs w:val="22"/>
        </w:rPr>
        <w:t xml:space="preserve"> xxx… </w:t>
      </w:r>
      <w:r w:rsidRPr="000556EE">
        <w:rPr>
          <w:rFonts w:cs="Arial"/>
          <w:b/>
          <w:i/>
          <w:sz w:val="22"/>
          <w:szCs w:val="22"/>
        </w:rPr>
        <w:t>In no case shall the total monthly sales collections be lower than</w:t>
      </w:r>
      <w:r w:rsidR="00BF25C2" w:rsidRPr="000556EE">
        <w:rPr>
          <w:rFonts w:cs="Arial"/>
          <w:b/>
          <w:i/>
          <w:sz w:val="22"/>
          <w:szCs w:val="22"/>
        </w:rPr>
        <w:t xml:space="preserve"> the approved PMRR in the area</w:t>
      </w:r>
      <w:r w:rsidR="00BF25C2" w:rsidRPr="000556EE">
        <w:rPr>
          <w:rFonts w:cs="Arial"/>
          <w:i/>
          <w:sz w:val="22"/>
          <w:szCs w:val="22"/>
        </w:rPr>
        <w:t>.</w:t>
      </w:r>
      <w:r w:rsidRPr="000556EE">
        <w:rPr>
          <w:rFonts w:cs="Arial"/>
          <w:i/>
          <w:sz w:val="22"/>
          <w:szCs w:val="22"/>
        </w:rPr>
        <w:t xml:space="preserve"> </w:t>
      </w:r>
      <w:r w:rsidRPr="000556EE">
        <w:rPr>
          <w:rFonts w:cs="Arial"/>
          <w:sz w:val="22"/>
          <w:szCs w:val="22"/>
        </w:rPr>
        <w:t>(emphasis ours)</w:t>
      </w:r>
      <w:r w:rsidRPr="000556EE">
        <w:rPr>
          <w:rFonts w:cs="Arial"/>
          <w:b/>
          <w:i/>
          <w:sz w:val="22"/>
          <w:szCs w:val="22"/>
        </w:rPr>
        <w:t xml:space="preserve"> </w:t>
      </w:r>
    </w:p>
    <w:p w:rsidR="0075211C" w:rsidRPr="00EF4855" w:rsidRDefault="0075211C" w:rsidP="004C39E3">
      <w:pPr>
        <w:pStyle w:val="Header"/>
        <w:ind w:left="1985" w:right="730" w:firstLine="0"/>
        <w:rPr>
          <w:rFonts w:cs="Arial"/>
          <w:i/>
          <w:sz w:val="22"/>
          <w:szCs w:val="22"/>
        </w:rPr>
      </w:pPr>
    </w:p>
    <w:p w:rsidR="0066326C" w:rsidRPr="00EF4855" w:rsidRDefault="0066326C" w:rsidP="00DA78B4">
      <w:pPr>
        <w:pStyle w:val="ListParagraph"/>
        <w:numPr>
          <w:ilvl w:val="1"/>
          <w:numId w:val="21"/>
        </w:numPr>
        <w:ind w:left="1440"/>
        <w:jc w:val="both"/>
        <w:rPr>
          <w:rFonts w:ascii="Arial" w:hAnsi="Arial" w:cs="Arial"/>
          <w:sz w:val="22"/>
          <w:szCs w:val="22"/>
        </w:rPr>
      </w:pPr>
      <w:r w:rsidRPr="00EF4855">
        <w:rPr>
          <w:rFonts w:ascii="Arial" w:hAnsi="Arial" w:cs="Arial"/>
          <w:sz w:val="22"/>
          <w:szCs w:val="22"/>
        </w:rPr>
        <w:t xml:space="preserve">Records showed that there were 82 operational Authorized STL Agents (ASAs), formerly called AACs, at the start of CY 2018 and thirteen (13) additional ASAs were granted authority to operate (ATO) STL during 2018.  As of December 31, 2018, only 85 AACs/ASAs remained operational after the termination of ten (10) AACs. </w:t>
      </w:r>
    </w:p>
    <w:p w:rsidR="0066326C" w:rsidRPr="00EF4855" w:rsidRDefault="0066326C" w:rsidP="004C39E3">
      <w:pPr>
        <w:pStyle w:val="ListParagraph"/>
        <w:suppressAutoHyphens/>
        <w:ind w:left="1440"/>
        <w:jc w:val="both"/>
        <w:rPr>
          <w:rFonts w:ascii="Arial" w:hAnsi="Arial" w:cs="Arial"/>
          <w:sz w:val="22"/>
          <w:szCs w:val="22"/>
        </w:rPr>
      </w:pPr>
    </w:p>
    <w:p w:rsidR="0066326C" w:rsidRPr="000556EE" w:rsidRDefault="0075211C" w:rsidP="00DA78B4">
      <w:pPr>
        <w:pStyle w:val="ListParagraph"/>
        <w:numPr>
          <w:ilvl w:val="1"/>
          <w:numId w:val="21"/>
        </w:numPr>
        <w:ind w:left="1440"/>
        <w:jc w:val="both"/>
        <w:rPr>
          <w:rFonts w:ascii="Arial" w:hAnsi="Arial" w:cs="Arial"/>
          <w:sz w:val="22"/>
          <w:szCs w:val="22"/>
        </w:rPr>
      </w:pPr>
      <w:r w:rsidRPr="000556EE">
        <w:rPr>
          <w:rFonts w:ascii="Arial" w:hAnsi="Arial" w:cs="Arial"/>
          <w:sz w:val="22"/>
          <w:szCs w:val="22"/>
        </w:rPr>
        <w:t>Verification however disclosed that o</w:t>
      </w:r>
      <w:r w:rsidR="0066326C" w:rsidRPr="000556EE">
        <w:rPr>
          <w:rFonts w:ascii="Arial" w:hAnsi="Arial" w:cs="Arial"/>
          <w:sz w:val="22"/>
          <w:szCs w:val="22"/>
        </w:rPr>
        <w:t>ut of the 85 operational AACs/ASAs, the PMRR Shortfall</w:t>
      </w:r>
      <w:r w:rsidR="00B209D2" w:rsidRPr="000556EE">
        <w:rPr>
          <w:rFonts w:ascii="Arial" w:hAnsi="Arial" w:cs="Arial"/>
          <w:sz w:val="22"/>
          <w:szCs w:val="22"/>
        </w:rPr>
        <w:t>s</w:t>
      </w:r>
      <w:r w:rsidR="0066326C" w:rsidRPr="000556EE">
        <w:rPr>
          <w:rFonts w:ascii="Arial" w:hAnsi="Arial" w:cs="Arial"/>
          <w:sz w:val="22"/>
          <w:szCs w:val="22"/>
        </w:rPr>
        <w:t xml:space="preserve"> due to PCSO in the total amount of P4</w:t>
      </w:r>
      <w:r w:rsidR="00B367AB" w:rsidRPr="000556EE">
        <w:rPr>
          <w:rFonts w:ascii="Arial" w:hAnsi="Arial" w:cs="Arial"/>
          <w:sz w:val="22"/>
          <w:szCs w:val="22"/>
        </w:rPr>
        <w:t>.</w:t>
      </w:r>
      <w:r w:rsidR="0066326C" w:rsidRPr="000556EE">
        <w:rPr>
          <w:rFonts w:ascii="Arial" w:hAnsi="Arial" w:cs="Arial"/>
          <w:sz w:val="22"/>
          <w:szCs w:val="22"/>
        </w:rPr>
        <w:t>60</w:t>
      </w:r>
      <w:r w:rsidR="000556EE">
        <w:rPr>
          <w:rFonts w:ascii="Arial" w:hAnsi="Arial" w:cs="Arial"/>
          <w:sz w:val="22"/>
          <w:szCs w:val="22"/>
        </w:rPr>
        <w:t>7</w:t>
      </w:r>
      <w:r w:rsidR="00B367AB" w:rsidRPr="000556EE">
        <w:rPr>
          <w:rFonts w:ascii="Arial" w:hAnsi="Arial" w:cs="Arial"/>
          <w:sz w:val="22"/>
          <w:szCs w:val="22"/>
        </w:rPr>
        <w:t xml:space="preserve"> billion</w:t>
      </w:r>
      <w:r w:rsidR="0066326C" w:rsidRPr="000556EE">
        <w:rPr>
          <w:rFonts w:ascii="Arial" w:hAnsi="Arial" w:cs="Arial"/>
          <w:sz w:val="22"/>
          <w:szCs w:val="22"/>
        </w:rPr>
        <w:t xml:space="preserve"> remained unsettled by 67 AACs/ASAs as of December 31, 2018, briefly presented </w:t>
      </w:r>
      <w:r w:rsidRPr="000556EE">
        <w:rPr>
          <w:rFonts w:ascii="Arial" w:hAnsi="Arial" w:cs="Arial"/>
          <w:sz w:val="22"/>
          <w:szCs w:val="22"/>
        </w:rPr>
        <w:t xml:space="preserve">in Table </w:t>
      </w:r>
      <w:r w:rsidR="00867479" w:rsidRPr="000556EE">
        <w:rPr>
          <w:rFonts w:ascii="Arial" w:hAnsi="Arial" w:cs="Arial"/>
          <w:sz w:val="22"/>
          <w:szCs w:val="22"/>
        </w:rPr>
        <w:t>12</w:t>
      </w:r>
      <w:r w:rsidRPr="000556EE">
        <w:rPr>
          <w:rFonts w:ascii="Arial" w:hAnsi="Arial" w:cs="Arial"/>
          <w:sz w:val="22"/>
          <w:szCs w:val="22"/>
        </w:rPr>
        <w:t>.</w:t>
      </w:r>
    </w:p>
    <w:p w:rsidR="006D7859" w:rsidRPr="00EF4855" w:rsidRDefault="006D7859" w:rsidP="004C39E3">
      <w:pPr>
        <w:pStyle w:val="ListParagraph"/>
        <w:suppressAutoHyphens/>
        <w:jc w:val="both"/>
        <w:rPr>
          <w:rFonts w:ascii="Arial" w:hAnsi="Arial" w:cs="Arial"/>
          <w:sz w:val="22"/>
          <w:szCs w:val="22"/>
        </w:rPr>
      </w:pPr>
    </w:p>
    <w:p w:rsidR="000556EE" w:rsidRDefault="00B45E5E" w:rsidP="000556EE">
      <w:pPr>
        <w:pStyle w:val="ListParagraph"/>
        <w:suppressAutoHyphens/>
        <w:jc w:val="center"/>
        <w:rPr>
          <w:rFonts w:ascii="Arial" w:hAnsi="Arial" w:cs="Arial"/>
          <w:b/>
          <w:sz w:val="20"/>
          <w:szCs w:val="20"/>
        </w:rPr>
      </w:pPr>
      <w:r w:rsidRPr="004F6C55">
        <w:rPr>
          <w:rFonts w:ascii="Arial" w:hAnsi="Arial" w:cs="Arial"/>
          <w:b/>
          <w:sz w:val="20"/>
          <w:szCs w:val="20"/>
        </w:rPr>
        <w:t xml:space="preserve">Table </w:t>
      </w:r>
      <w:r w:rsidR="00867479">
        <w:rPr>
          <w:rFonts w:ascii="Arial" w:hAnsi="Arial" w:cs="Arial"/>
          <w:b/>
          <w:sz w:val="20"/>
          <w:szCs w:val="20"/>
        </w:rPr>
        <w:t>12</w:t>
      </w:r>
      <w:r w:rsidR="00867479" w:rsidRPr="004F6C55">
        <w:rPr>
          <w:rFonts w:ascii="Arial" w:hAnsi="Arial" w:cs="Arial"/>
          <w:b/>
          <w:sz w:val="20"/>
          <w:szCs w:val="20"/>
        </w:rPr>
        <w:t xml:space="preserve"> </w:t>
      </w:r>
      <w:r w:rsidRPr="004F6C55">
        <w:rPr>
          <w:rFonts w:ascii="Arial" w:hAnsi="Arial" w:cs="Arial"/>
          <w:b/>
          <w:sz w:val="20"/>
          <w:szCs w:val="20"/>
        </w:rPr>
        <w:t>- Total Amount of Unremitted PMRR Shortfall</w:t>
      </w:r>
    </w:p>
    <w:p w:rsidR="00B45E5E" w:rsidRPr="004F6C55" w:rsidRDefault="000556EE" w:rsidP="000556EE">
      <w:pPr>
        <w:pStyle w:val="ListParagraph"/>
        <w:suppressAutoHyphens/>
        <w:jc w:val="center"/>
        <w:rPr>
          <w:rFonts w:ascii="Arial" w:hAnsi="Arial" w:cs="Arial"/>
          <w:b/>
          <w:sz w:val="20"/>
          <w:szCs w:val="20"/>
        </w:rPr>
      </w:pPr>
      <w:r>
        <w:rPr>
          <w:rFonts w:ascii="Arial" w:hAnsi="Arial" w:cs="Arial"/>
          <w:b/>
          <w:sz w:val="20"/>
          <w:szCs w:val="20"/>
        </w:rPr>
        <w:t>A</w:t>
      </w:r>
      <w:r w:rsidR="00B45E5E" w:rsidRPr="004F6C55">
        <w:rPr>
          <w:rFonts w:ascii="Arial" w:hAnsi="Arial" w:cs="Arial"/>
          <w:b/>
          <w:sz w:val="20"/>
          <w:szCs w:val="20"/>
        </w:rPr>
        <w:t>s of Dec</w:t>
      </w:r>
      <w:r>
        <w:rPr>
          <w:rFonts w:ascii="Arial" w:hAnsi="Arial" w:cs="Arial"/>
          <w:b/>
          <w:sz w:val="20"/>
          <w:szCs w:val="20"/>
        </w:rPr>
        <w:t>ember</w:t>
      </w:r>
      <w:r w:rsidR="00B45E5E" w:rsidRPr="004F6C55">
        <w:rPr>
          <w:rFonts w:ascii="Arial" w:hAnsi="Arial" w:cs="Arial"/>
          <w:b/>
          <w:sz w:val="20"/>
          <w:szCs w:val="20"/>
        </w:rPr>
        <w:t xml:space="preserve"> 31, 2018</w:t>
      </w:r>
    </w:p>
    <w:p w:rsidR="00B45E5E" w:rsidRPr="004F6C55" w:rsidRDefault="00B45E5E" w:rsidP="004C39E3">
      <w:pPr>
        <w:pStyle w:val="ListParagraph"/>
        <w:suppressAutoHyphens/>
        <w:jc w:val="both"/>
        <w:rPr>
          <w:rFonts w:ascii="Arial" w:hAnsi="Arial" w:cs="Arial"/>
          <w:sz w:val="20"/>
          <w:szCs w:val="20"/>
        </w:rPr>
      </w:pPr>
    </w:p>
    <w:tbl>
      <w:tblPr>
        <w:tblStyle w:val="TableGrid"/>
        <w:tblW w:w="854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69"/>
        <w:gridCol w:w="1669"/>
        <w:gridCol w:w="2053"/>
        <w:gridCol w:w="1540"/>
        <w:gridCol w:w="1614"/>
      </w:tblGrid>
      <w:tr w:rsidR="00B45E5E" w:rsidRPr="00A31860" w:rsidTr="005943AE">
        <w:trPr>
          <w:trHeight w:val="476"/>
          <w:jc w:val="right"/>
        </w:trPr>
        <w:tc>
          <w:tcPr>
            <w:tcW w:w="1669" w:type="dxa"/>
            <w:tcBorders>
              <w:top w:val="single" w:sz="4" w:space="0" w:color="auto"/>
              <w:bottom w:val="single" w:sz="4" w:space="0" w:color="auto"/>
            </w:tcBorders>
          </w:tcPr>
          <w:p w:rsidR="00B45E5E" w:rsidRPr="004F6C55" w:rsidRDefault="00B45E5E" w:rsidP="004C39E3">
            <w:pPr>
              <w:suppressAutoHyphens/>
              <w:jc w:val="center"/>
              <w:rPr>
                <w:rFonts w:ascii="Arial" w:hAnsi="Arial" w:cs="Arial"/>
                <w:b/>
                <w:sz w:val="16"/>
                <w:szCs w:val="16"/>
              </w:rPr>
            </w:pPr>
            <w:r w:rsidRPr="004F6C55">
              <w:rPr>
                <w:rFonts w:ascii="Arial" w:hAnsi="Arial" w:cs="Arial"/>
                <w:b/>
                <w:sz w:val="16"/>
                <w:szCs w:val="16"/>
              </w:rPr>
              <w:t>Total STL Sales for CY 2018</w:t>
            </w:r>
          </w:p>
        </w:tc>
        <w:tc>
          <w:tcPr>
            <w:tcW w:w="1669" w:type="dxa"/>
            <w:tcBorders>
              <w:top w:val="single" w:sz="4" w:space="0" w:color="auto"/>
              <w:bottom w:val="single" w:sz="4" w:space="0" w:color="auto"/>
            </w:tcBorders>
          </w:tcPr>
          <w:p w:rsidR="00B45E5E" w:rsidRPr="004F6C55" w:rsidRDefault="00B45E5E" w:rsidP="004C39E3">
            <w:pPr>
              <w:suppressAutoHyphens/>
              <w:jc w:val="center"/>
              <w:rPr>
                <w:rFonts w:ascii="Arial" w:hAnsi="Arial" w:cs="Arial"/>
                <w:b/>
                <w:sz w:val="16"/>
                <w:szCs w:val="16"/>
              </w:rPr>
            </w:pPr>
            <w:r w:rsidRPr="004F6C55">
              <w:rPr>
                <w:rFonts w:ascii="Arial" w:hAnsi="Arial" w:cs="Arial"/>
                <w:b/>
                <w:sz w:val="16"/>
                <w:szCs w:val="16"/>
              </w:rPr>
              <w:t>Shortfall in the PMRR</w:t>
            </w:r>
          </w:p>
        </w:tc>
        <w:tc>
          <w:tcPr>
            <w:tcW w:w="2053" w:type="dxa"/>
            <w:tcBorders>
              <w:top w:val="single" w:sz="4" w:space="0" w:color="auto"/>
              <w:bottom w:val="single" w:sz="4" w:space="0" w:color="auto"/>
            </w:tcBorders>
          </w:tcPr>
          <w:p w:rsidR="00B45E5E" w:rsidRPr="004F6C55" w:rsidRDefault="00B45E5E" w:rsidP="004C39E3">
            <w:pPr>
              <w:suppressAutoHyphens/>
              <w:jc w:val="center"/>
              <w:rPr>
                <w:rFonts w:ascii="Arial" w:hAnsi="Arial" w:cs="Arial"/>
                <w:b/>
                <w:sz w:val="16"/>
                <w:szCs w:val="16"/>
              </w:rPr>
            </w:pPr>
            <w:r w:rsidRPr="004F6C55">
              <w:rPr>
                <w:rFonts w:ascii="Arial" w:hAnsi="Arial" w:cs="Arial"/>
                <w:b/>
                <w:sz w:val="16"/>
                <w:szCs w:val="16"/>
              </w:rPr>
              <w:t xml:space="preserve">Shortfall in the amount due to PCSO </w:t>
            </w:r>
          </w:p>
        </w:tc>
        <w:tc>
          <w:tcPr>
            <w:tcW w:w="1540" w:type="dxa"/>
            <w:tcBorders>
              <w:top w:val="single" w:sz="4" w:space="0" w:color="auto"/>
              <w:bottom w:val="single" w:sz="4" w:space="0" w:color="auto"/>
            </w:tcBorders>
          </w:tcPr>
          <w:p w:rsidR="00B45E5E" w:rsidRPr="004F6C55" w:rsidRDefault="00B45E5E" w:rsidP="004C39E3">
            <w:pPr>
              <w:suppressAutoHyphens/>
              <w:jc w:val="center"/>
              <w:rPr>
                <w:rFonts w:ascii="Arial" w:hAnsi="Arial" w:cs="Arial"/>
                <w:b/>
                <w:sz w:val="16"/>
                <w:szCs w:val="16"/>
              </w:rPr>
            </w:pPr>
            <w:r w:rsidRPr="004F6C55">
              <w:rPr>
                <w:rFonts w:ascii="Arial" w:hAnsi="Arial" w:cs="Arial"/>
                <w:b/>
                <w:sz w:val="16"/>
                <w:szCs w:val="16"/>
              </w:rPr>
              <w:t>Application of BR No. 401</w:t>
            </w:r>
          </w:p>
        </w:tc>
        <w:tc>
          <w:tcPr>
            <w:tcW w:w="1614" w:type="dxa"/>
            <w:tcBorders>
              <w:top w:val="single" w:sz="4" w:space="0" w:color="auto"/>
              <w:bottom w:val="single" w:sz="4" w:space="0" w:color="auto"/>
            </w:tcBorders>
          </w:tcPr>
          <w:p w:rsidR="00B45E5E" w:rsidRPr="004F6C55" w:rsidRDefault="00B45E5E" w:rsidP="004C39E3">
            <w:pPr>
              <w:suppressAutoHyphens/>
              <w:jc w:val="center"/>
              <w:rPr>
                <w:rFonts w:ascii="Arial" w:hAnsi="Arial" w:cs="Arial"/>
                <w:b/>
                <w:sz w:val="16"/>
                <w:szCs w:val="16"/>
              </w:rPr>
            </w:pPr>
            <w:r w:rsidRPr="004F6C55">
              <w:rPr>
                <w:rFonts w:ascii="Arial" w:hAnsi="Arial" w:cs="Arial"/>
                <w:b/>
                <w:sz w:val="16"/>
                <w:szCs w:val="16"/>
              </w:rPr>
              <w:t xml:space="preserve">Net Amount </w:t>
            </w:r>
          </w:p>
          <w:p w:rsidR="00B45E5E" w:rsidRPr="004F6C55" w:rsidRDefault="00B45E5E" w:rsidP="004C39E3">
            <w:pPr>
              <w:suppressAutoHyphens/>
              <w:jc w:val="center"/>
              <w:rPr>
                <w:rFonts w:ascii="Arial" w:hAnsi="Arial" w:cs="Arial"/>
                <w:b/>
                <w:sz w:val="16"/>
                <w:szCs w:val="16"/>
              </w:rPr>
            </w:pPr>
          </w:p>
        </w:tc>
      </w:tr>
      <w:tr w:rsidR="00B45E5E" w:rsidRPr="00A31860" w:rsidTr="005943AE">
        <w:trPr>
          <w:trHeight w:val="309"/>
          <w:jc w:val="right"/>
        </w:trPr>
        <w:tc>
          <w:tcPr>
            <w:tcW w:w="1669" w:type="dxa"/>
            <w:tcBorders>
              <w:top w:val="single" w:sz="4" w:space="0" w:color="auto"/>
              <w:bottom w:val="single" w:sz="4" w:space="0" w:color="auto"/>
            </w:tcBorders>
          </w:tcPr>
          <w:p w:rsidR="00B45E5E" w:rsidRPr="004F6C55" w:rsidRDefault="00B45E5E" w:rsidP="004C39E3">
            <w:pPr>
              <w:suppressAutoHyphens/>
              <w:jc w:val="right"/>
              <w:rPr>
                <w:rFonts w:ascii="Arial" w:hAnsi="Arial" w:cs="Arial"/>
                <w:sz w:val="16"/>
                <w:szCs w:val="16"/>
              </w:rPr>
            </w:pPr>
            <w:r w:rsidRPr="004F6C55">
              <w:rPr>
                <w:rFonts w:ascii="Arial" w:hAnsi="Arial" w:cs="Arial"/>
                <w:sz w:val="16"/>
                <w:szCs w:val="16"/>
              </w:rPr>
              <w:t>P23,929,870,726.56</w:t>
            </w:r>
          </w:p>
        </w:tc>
        <w:tc>
          <w:tcPr>
            <w:tcW w:w="1669" w:type="dxa"/>
            <w:tcBorders>
              <w:top w:val="single" w:sz="4" w:space="0" w:color="auto"/>
              <w:bottom w:val="single" w:sz="4" w:space="0" w:color="auto"/>
            </w:tcBorders>
          </w:tcPr>
          <w:p w:rsidR="00B45E5E" w:rsidRPr="004F6C55" w:rsidRDefault="00B45E5E" w:rsidP="004C39E3">
            <w:pPr>
              <w:suppressAutoHyphens/>
              <w:jc w:val="right"/>
              <w:rPr>
                <w:rFonts w:ascii="Arial" w:hAnsi="Arial" w:cs="Arial"/>
                <w:sz w:val="16"/>
                <w:szCs w:val="16"/>
              </w:rPr>
            </w:pPr>
            <w:r w:rsidRPr="004F6C55">
              <w:rPr>
                <w:rFonts w:ascii="Arial" w:hAnsi="Arial" w:cs="Arial"/>
                <w:sz w:val="16"/>
                <w:szCs w:val="16"/>
              </w:rPr>
              <w:t>P7,320,447,444.01</w:t>
            </w:r>
          </w:p>
        </w:tc>
        <w:tc>
          <w:tcPr>
            <w:tcW w:w="2053" w:type="dxa"/>
            <w:tcBorders>
              <w:top w:val="single" w:sz="4" w:space="0" w:color="auto"/>
              <w:bottom w:val="single" w:sz="4" w:space="0" w:color="auto"/>
            </w:tcBorders>
          </w:tcPr>
          <w:p w:rsidR="00B45E5E" w:rsidRPr="004F6C55" w:rsidRDefault="00B45E5E" w:rsidP="004C39E3">
            <w:pPr>
              <w:suppressAutoHyphens/>
              <w:jc w:val="right"/>
              <w:rPr>
                <w:rFonts w:ascii="Arial" w:hAnsi="Arial" w:cs="Arial"/>
                <w:sz w:val="16"/>
                <w:szCs w:val="16"/>
              </w:rPr>
            </w:pPr>
            <w:r w:rsidRPr="004F6C55">
              <w:rPr>
                <w:rFonts w:ascii="Arial" w:hAnsi="Arial" w:cs="Arial"/>
                <w:sz w:val="16"/>
                <w:szCs w:val="16"/>
              </w:rPr>
              <w:t>P3,051,191,284.19 (net)</w:t>
            </w:r>
          </w:p>
        </w:tc>
        <w:tc>
          <w:tcPr>
            <w:tcW w:w="1540" w:type="dxa"/>
            <w:tcBorders>
              <w:top w:val="single" w:sz="4" w:space="0" w:color="auto"/>
              <w:bottom w:val="single" w:sz="4" w:space="0" w:color="auto"/>
            </w:tcBorders>
          </w:tcPr>
          <w:p w:rsidR="00B45E5E" w:rsidRPr="004F6C55" w:rsidRDefault="00B45E5E" w:rsidP="004C39E3">
            <w:pPr>
              <w:suppressAutoHyphens/>
              <w:jc w:val="right"/>
              <w:rPr>
                <w:rFonts w:ascii="Arial" w:hAnsi="Arial" w:cs="Arial"/>
                <w:sz w:val="16"/>
                <w:szCs w:val="16"/>
              </w:rPr>
            </w:pPr>
            <w:r w:rsidRPr="004F6C55">
              <w:rPr>
                <w:rFonts w:ascii="Arial" w:hAnsi="Arial" w:cs="Arial"/>
                <w:sz w:val="16"/>
                <w:szCs w:val="16"/>
              </w:rPr>
              <w:t>P761,909,342.50</w:t>
            </w:r>
          </w:p>
        </w:tc>
        <w:tc>
          <w:tcPr>
            <w:tcW w:w="1614" w:type="dxa"/>
            <w:tcBorders>
              <w:top w:val="single" w:sz="4" w:space="0" w:color="auto"/>
              <w:bottom w:val="single" w:sz="4" w:space="0" w:color="auto"/>
            </w:tcBorders>
          </w:tcPr>
          <w:p w:rsidR="00B45E5E" w:rsidRPr="004F6C55" w:rsidRDefault="00B45E5E" w:rsidP="004C39E3">
            <w:pPr>
              <w:suppressAutoHyphens/>
              <w:jc w:val="right"/>
              <w:rPr>
                <w:rFonts w:ascii="Arial" w:hAnsi="Arial" w:cs="Arial"/>
                <w:sz w:val="16"/>
                <w:szCs w:val="16"/>
              </w:rPr>
            </w:pPr>
            <w:r w:rsidRPr="004F6C55">
              <w:rPr>
                <w:rFonts w:ascii="Arial" w:hAnsi="Arial" w:cs="Arial"/>
                <w:sz w:val="16"/>
                <w:szCs w:val="16"/>
              </w:rPr>
              <w:t>P2,289,281,941.69</w:t>
            </w:r>
          </w:p>
        </w:tc>
      </w:tr>
    </w:tbl>
    <w:p w:rsidR="00A31860" w:rsidRPr="004F6C55" w:rsidRDefault="00A31860" w:rsidP="004F6C55">
      <w:pPr>
        <w:rPr>
          <w:rFonts w:ascii="Arial Narrow" w:hAnsi="Arial Narrow" w:cs="Arial"/>
          <w:b/>
          <w:i/>
          <w:sz w:val="16"/>
          <w:szCs w:val="16"/>
        </w:rPr>
      </w:pPr>
      <w:r>
        <w:rPr>
          <w:rFonts w:ascii="Arial Narrow" w:hAnsi="Arial Narrow" w:cs="Arial"/>
          <w:sz w:val="16"/>
          <w:szCs w:val="16"/>
        </w:rPr>
        <w:tab/>
      </w:r>
    </w:p>
    <w:tbl>
      <w:tblPr>
        <w:tblStyle w:val="TableGrid"/>
        <w:tblW w:w="8545" w:type="dxa"/>
        <w:jc w:val="right"/>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59"/>
        <w:gridCol w:w="1633"/>
        <w:gridCol w:w="2010"/>
        <w:gridCol w:w="1507"/>
        <w:gridCol w:w="1636"/>
      </w:tblGrid>
      <w:tr w:rsidR="00B45E5E" w:rsidRPr="00A31860" w:rsidTr="005943AE">
        <w:trPr>
          <w:trHeight w:val="388"/>
          <w:jc w:val="right"/>
        </w:trPr>
        <w:tc>
          <w:tcPr>
            <w:tcW w:w="1759" w:type="dxa"/>
            <w:tcBorders>
              <w:top w:val="single" w:sz="4" w:space="0" w:color="auto"/>
              <w:bottom w:val="single" w:sz="4" w:space="0" w:color="auto"/>
            </w:tcBorders>
          </w:tcPr>
          <w:p w:rsidR="00B45E5E" w:rsidRPr="004F6C55" w:rsidRDefault="00B45E5E" w:rsidP="004C39E3">
            <w:pPr>
              <w:suppressAutoHyphens/>
              <w:jc w:val="center"/>
              <w:rPr>
                <w:rFonts w:ascii="Arial" w:hAnsi="Arial" w:cs="Arial"/>
                <w:b/>
                <w:sz w:val="16"/>
                <w:szCs w:val="16"/>
              </w:rPr>
            </w:pPr>
            <w:r w:rsidRPr="004F6C55">
              <w:rPr>
                <w:rFonts w:ascii="Arial" w:hAnsi="Arial" w:cs="Arial"/>
                <w:b/>
                <w:sz w:val="16"/>
                <w:szCs w:val="16"/>
              </w:rPr>
              <w:t>Shortfall Due as of Dec. 31, 2017</w:t>
            </w:r>
          </w:p>
        </w:tc>
        <w:tc>
          <w:tcPr>
            <w:tcW w:w="1633" w:type="dxa"/>
            <w:tcBorders>
              <w:top w:val="single" w:sz="4" w:space="0" w:color="auto"/>
              <w:bottom w:val="single" w:sz="4" w:space="0" w:color="auto"/>
            </w:tcBorders>
          </w:tcPr>
          <w:p w:rsidR="00B45E5E" w:rsidRPr="004F6C55" w:rsidRDefault="00B45E5E" w:rsidP="004C39E3">
            <w:pPr>
              <w:suppressAutoHyphens/>
              <w:jc w:val="center"/>
              <w:rPr>
                <w:rFonts w:ascii="Arial" w:hAnsi="Arial" w:cs="Arial"/>
                <w:b/>
                <w:sz w:val="16"/>
                <w:szCs w:val="16"/>
              </w:rPr>
            </w:pPr>
            <w:r w:rsidRPr="004F6C55">
              <w:rPr>
                <w:rFonts w:ascii="Arial" w:hAnsi="Arial" w:cs="Arial"/>
                <w:b/>
                <w:sz w:val="16"/>
                <w:szCs w:val="16"/>
              </w:rPr>
              <w:t>Settlements in 2018</w:t>
            </w:r>
          </w:p>
        </w:tc>
        <w:tc>
          <w:tcPr>
            <w:tcW w:w="2010" w:type="dxa"/>
            <w:tcBorders>
              <w:top w:val="single" w:sz="4" w:space="0" w:color="auto"/>
              <w:bottom w:val="single" w:sz="4" w:space="0" w:color="auto"/>
            </w:tcBorders>
          </w:tcPr>
          <w:p w:rsidR="00B45E5E" w:rsidRPr="004F6C55" w:rsidRDefault="00B45E5E" w:rsidP="004C39E3">
            <w:pPr>
              <w:suppressAutoHyphens/>
              <w:jc w:val="center"/>
              <w:rPr>
                <w:rFonts w:ascii="Arial" w:hAnsi="Arial" w:cs="Arial"/>
                <w:b/>
                <w:sz w:val="16"/>
                <w:szCs w:val="16"/>
              </w:rPr>
            </w:pPr>
            <w:r w:rsidRPr="004F6C55">
              <w:rPr>
                <w:rFonts w:ascii="Arial" w:hAnsi="Arial" w:cs="Arial"/>
                <w:b/>
                <w:sz w:val="16"/>
                <w:szCs w:val="16"/>
              </w:rPr>
              <w:t xml:space="preserve">Shortfall in the amount due to PCSO </w:t>
            </w:r>
          </w:p>
        </w:tc>
        <w:tc>
          <w:tcPr>
            <w:tcW w:w="1507" w:type="dxa"/>
            <w:tcBorders>
              <w:top w:val="single" w:sz="4" w:space="0" w:color="auto"/>
              <w:bottom w:val="single" w:sz="4" w:space="0" w:color="auto"/>
            </w:tcBorders>
          </w:tcPr>
          <w:p w:rsidR="00B45E5E" w:rsidRPr="004F6C55" w:rsidRDefault="00B45E5E" w:rsidP="004C39E3">
            <w:pPr>
              <w:suppressAutoHyphens/>
              <w:jc w:val="both"/>
              <w:rPr>
                <w:rFonts w:ascii="Arial" w:hAnsi="Arial" w:cs="Arial"/>
                <w:b/>
                <w:sz w:val="16"/>
                <w:szCs w:val="16"/>
              </w:rPr>
            </w:pPr>
          </w:p>
          <w:p w:rsidR="00B45E5E" w:rsidRPr="004F6C55" w:rsidRDefault="00B45E5E" w:rsidP="004C39E3">
            <w:pPr>
              <w:suppressAutoHyphens/>
              <w:jc w:val="both"/>
              <w:rPr>
                <w:rFonts w:ascii="Arial" w:hAnsi="Arial" w:cs="Arial"/>
                <w:b/>
                <w:sz w:val="16"/>
                <w:szCs w:val="16"/>
              </w:rPr>
            </w:pPr>
            <w:r w:rsidRPr="004F6C55">
              <w:rPr>
                <w:rFonts w:ascii="Arial" w:hAnsi="Arial" w:cs="Arial"/>
                <w:b/>
                <w:sz w:val="16"/>
                <w:szCs w:val="16"/>
              </w:rPr>
              <w:t>Waived Shortfall</w:t>
            </w:r>
          </w:p>
        </w:tc>
        <w:tc>
          <w:tcPr>
            <w:tcW w:w="1636" w:type="dxa"/>
            <w:tcBorders>
              <w:top w:val="single" w:sz="4" w:space="0" w:color="auto"/>
              <w:bottom w:val="single" w:sz="4" w:space="0" w:color="auto"/>
            </w:tcBorders>
          </w:tcPr>
          <w:p w:rsidR="00B45E5E" w:rsidRPr="004F6C55" w:rsidRDefault="00B45E5E" w:rsidP="004C39E3">
            <w:pPr>
              <w:suppressAutoHyphens/>
              <w:jc w:val="center"/>
              <w:rPr>
                <w:rFonts w:ascii="Arial" w:hAnsi="Arial" w:cs="Arial"/>
                <w:b/>
                <w:sz w:val="16"/>
                <w:szCs w:val="16"/>
              </w:rPr>
            </w:pPr>
          </w:p>
          <w:p w:rsidR="00B45E5E" w:rsidRPr="004F6C55" w:rsidRDefault="00B45E5E" w:rsidP="004C39E3">
            <w:pPr>
              <w:suppressAutoHyphens/>
              <w:jc w:val="center"/>
              <w:rPr>
                <w:rFonts w:ascii="Arial" w:hAnsi="Arial" w:cs="Arial"/>
                <w:sz w:val="16"/>
                <w:szCs w:val="16"/>
              </w:rPr>
            </w:pPr>
            <w:r w:rsidRPr="004F6C55">
              <w:rPr>
                <w:rFonts w:ascii="Arial" w:hAnsi="Arial" w:cs="Arial"/>
                <w:b/>
                <w:sz w:val="16"/>
                <w:szCs w:val="16"/>
              </w:rPr>
              <w:t>Net amount</w:t>
            </w:r>
          </w:p>
        </w:tc>
      </w:tr>
      <w:tr w:rsidR="00B45E5E" w:rsidRPr="00A31860" w:rsidTr="000556EE">
        <w:trPr>
          <w:trHeight w:val="182"/>
          <w:jc w:val="right"/>
        </w:trPr>
        <w:tc>
          <w:tcPr>
            <w:tcW w:w="1759" w:type="dxa"/>
            <w:tcBorders>
              <w:top w:val="single" w:sz="4" w:space="0" w:color="auto"/>
              <w:bottom w:val="single" w:sz="4" w:space="0" w:color="auto"/>
            </w:tcBorders>
          </w:tcPr>
          <w:p w:rsidR="00B45E5E" w:rsidRPr="004F6C55" w:rsidRDefault="00B45E5E" w:rsidP="004C39E3">
            <w:pPr>
              <w:suppressAutoHyphens/>
              <w:jc w:val="right"/>
              <w:rPr>
                <w:rFonts w:ascii="Arial" w:hAnsi="Arial" w:cs="Arial"/>
                <w:sz w:val="16"/>
                <w:szCs w:val="16"/>
              </w:rPr>
            </w:pPr>
            <w:r w:rsidRPr="004F6C55">
              <w:rPr>
                <w:rFonts w:ascii="Arial" w:hAnsi="Arial" w:cs="Arial"/>
                <w:sz w:val="16"/>
                <w:szCs w:val="16"/>
              </w:rPr>
              <w:t>P3,840,576,418.76</w:t>
            </w:r>
          </w:p>
        </w:tc>
        <w:tc>
          <w:tcPr>
            <w:tcW w:w="1633" w:type="dxa"/>
            <w:tcBorders>
              <w:top w:val="single" w:sz="4" w:space="0" w:color="auto"/>
              <w:bottom w:val="single" w:sz="4" w:space="0" w:color="auto"/>
            </w:tcBorders>
          </w:tcPr>
          <w:p w:rsidR="00B45E5E" w:rsidRPr="004F6C55" w:rsidRDefault="00B45E5E" w:rsidP="004C39E3">
            <w:pPr>
              <w:suppressAutoHyphens/>
              <w:jc w:val="right"/>
              <w:rPr>
                <w:rFonts w:ascii="Arial" w:hAnsi="Arial" w:cs="Arial"/>
                <w:sz w:val="16"/>
                <w:szCs w:val="16"/>
              </w:rPr>
            </w:pPr>
            <w:r w:rsidRPr="004F6C55">
              <w:rPr>
                <w:rFonts w:ascii="Arial" w:hAnsi="Arial" w:cs="Arial"/>
                <w:sz w:val="16"/>
                <w:szCs w:val="16"/>
              </w:rPr>
              <w:t>P857,677,402.63</w:t>
            </w:r>
          </w:p>
        </w:tc>
        <w:tc>
          <w:tcPr>
            <w:tcW w:w="2010" w:type="dxa"/>
            <w:tcBorders>
              <w:top w:val="single" w:sz="4" w:space="0" w:color="auto"/>
              <w:bottom w:val="single" w:sz="4" w:space="0" w:color="auto"/>
            </w:tcBorders>
          </w:tcPr>
          <w:p w:rsidR="00B45E5E" w:rsidRPr="004F6C55" w:rsidRDefault="00B45E5E" w:rsidP="004C39E3">
            <w:pPr>
              <w:suppressAutoHyphens/>
              <w:ind w:left="-108"/>
              <w:jc w:val="right"/>
              <w:rPr>
                <w:rFonts w:ascii="Arial" w:hAnsi="Arial" w:cs="Arial"/>
                <w:sz w:val="16"/>
                <w:szCs w:val="16"/>
              </w:rPr>
            </w:pPr>
            <w:r w:rsidRPr="004F6C55">
              <w:rPr>
                <w:rFonts w:ascii="Arial" w:hAnsi="Arial" w:cs="Arial"/>
                <w:sz w:val="16"/>
                <w:szCs w:val="16"/>
              </w:rPr>
              <w:t>P2,982,899,016.14 (net)</w:t>
            </w:r>
          </w:p>
        </w:tc>
        <w:tc>
          <w:tcPr>
            <w:tcW w:w="1507" w:type="dxa"/>
            <w:tcBorders>
              <w:top w:val="single" w:sz="4" w:space="0" w:color="auto"/>
              <w:bottom w:val="single" w:sz="4" w:space="0" w:color="auto"/>
            </w:tcBorders>
          </w:tcPr>
          <w:p w:rsidR="00B45E5E" w:rsidRPr="004F6C55" w:rsidRDefault="00B45E5E" w:rsidP="004C39E3">
            <w:pPr>
              <w:suppressAutoHyphens/>
              <w:jc w:val="right"/>
              <w:rPr>
                <w:rFonts w:ascii="Arial" w:hAnsi="Arial" w:cs="Arial"/>
                <w:sz w:val="16"/>
                <w:szCs w:val="16"/>
              </w:rPr>
            </w:pPr>
            <w:r w:rsidRPr="004F6C55">
              <w:rPr>
                <w:rFonts w:ascii="Arial" w:hAnsi="Arial" w:cs="Arial"/>
                <w:sz w:val="16"/>
                <w:szCs w:val="16"/>
              </w:rPr>
              <w:t>P665,200,496.33</w:t>
            </w:r>
          </w:p>
        </w:tc>
        <w:tc>
          <w:tcPr>
            <w:tcW w:w="1636" w:type="dxa"/>
            <w:tcBorders>
              <w:top w:val="single" w:sz="4" w:space="0" w:color="auto"/>
              <w:bottom w:val="single" w:sz="4" w:space="0" w:color="auto"/>
            </w:tcBorders>
          </w:tcPr>
          <w:p w:rsidR="00B45E5E" w:rsidRPr="004F6C55" w:rsidRDefault="00B45E5E" w:rsidP="004C39E3">
            <w:pPr>
              <w:suppressAutoHyphens/>
              <w:jc w:val="right"/>
              <w:rPr>
                <w:rFonts w:ascii="Arial" w:hAnsi="Arial" w:cs="Arial"/>
                <w:sz w:val="16"/>
                <w:szCs w:val="16"/>
              </w:rPr>
            </w:pPr>
            <w:r w:rsidRPr="004F6C55">
              <w:rPr>
                <w:rFonts w:ascii="Arial" w:hAnsi="Arial" w:cs="Arial"/>
                <w:sz w:val="16"/>
                <w:szCs w:val="16"/>
              </w:rPr>
              <w:t>P2,317,698,519.81</w:t>
            </w:r>
          </w:p>
        </w:tc>
      </w:tr>
      <w:tr w:rsidR="000556EE" w:rsidRPr="00A31860" w:rsidTr="000556EE">
        <w:trPr>
          <w:trHeight w:val="182"/>
          <w:jc w:val="right"/>
        </w:trPr>
        <w:tc>
          <w:tcPr>
            <w:tcW w:w="1759" w:type="dxa"/>
            <w:tcBorders>
              <w:top w:val="single" w:sz="4" w:space="0" w:color="auto"/>
              <w:bottom w:val="double" w:sz="4" w:space="0" w:color="auto"/>
            </w:tcBorders>
          </w:tcPr>
          <w:p w:rsidR="000556EE" w:rsidRPr="004F6C55" w:rsidRDefault="000556EE" w:rsidP="004C39E3">
            <w:pPr>
              <w:suppressAutoHyphens/>
              <w:jc w:val="right"/>
              <w:rPr>
                <w:rFonts w:ascii="Arial" w:hAnsi="Arial" w:cs="Arial"/>
                <w:sz w:val="16"/>
                <w:szCs w:val="16"/>
              </w:rPr>
            </w:pPr>
          </w:p>
        </w:tc>
        <w:tc>
          <w:tcPr>
            <w:tcW w:w="1633" w:type="dxa"/>
            <w:tcBorders>
              <w:top w:val="single" w:sz="4" w:space="0" w:color="auto"/>
              <w:bottom w:val="double" w:sz="4" w:space="0" w:color="auto"/>
            </w:tcBorders>
          </w:tcPr>
          <w:p w:rsidR="000556EE" w:rsidRPr="004F6C55" w:rsidRDefault="000556EE" w:rsidP="004C39E3">
            <w:pPr>
              <w:suppressAutoHyphens/>
              <w:jc w:val="right"/>
              <w:rPr>
                <w:rFonts w:ascii="Arial" w:hAnsi="Arial" w:cs="Arial"/>
                <w:sz w:val="16"/>
                <w:szCs w:val="16"/>
              </w:rPr>
            </w:pPr>
          </w:p>
        </w:tc>
        <w:tc>
          <w:tcPr>
            <w:tcW w:w="2010" w:type="dxa"/>
            <w:tcBorders>
              <w:top w:val="single" w:sz="4" w:space="0" w:color="auto"/>
              <w:bottom w:val="double" w:sz="4" w:space="0" w:color="auto"/>
            </w:tcBorders>
          </w:tcPr>
          <w:p w:rsidR="000556EE" w:rsidRPr="004F6C55" w:rsidRDefault="000556EE" w:rsidP="004C39E3">
            <w:pPr>
              <w:suppressAutoHyphens/>
              <w:ind w:left="-108"/>
              <w:jc w:val="right"/>
              <w:rPr>
                <w:rFonts w:ascii="Arial" w:hAnsi="Arial" w:cs="Arial"/>
                <w:sz w:val="16"/>
                <w:szCs w:val="16"/>
              </w:rPr>
            </w:pPr>
          </w:p>
        </w:tc>
        <w:tc>
          <w:tcPr>
            <w:tcW w:w="1507" w:type="dxa"/>
            <w:tcBorders>
              <w:top w:val="single" w:sz="4" w:space="0" w:color="auto"/>
              <w:bottom w:val="double" w:sz="4" w:space="0" w:color="auto"/>
            </w:tcBorders>
          </w:tcPr>
          <w:p w:rsidR="000556EE" w:rsidRDefault="000556EE" w:rsidP="004C39E3">
            <w:pPr>
              <w:suppressAutoHyphens/>
              <w:jc w:val="right"/>
              <w:rPr>
                <w:rFonts w:ascii="Arial" w:hAnsi="Arial" w:cs="Arial"/>
                <w:b/>
                <w:sz w:val="16"/>
                <w:szCs w:val="16"/>
              </w:rPr>
            </w:pPr>
          </w:p>
          <w:p w:rsidR="000556EE" w:rsidRPr="004F6C55" w:rsidRDefault="000556EE" w:rsidP="004C39E3">
            <w:pPr>
              <w:suppressAutoHyphens/>
              <w:jc w:val="right"/>
              <w:rPr>
                <w:rFonts w:ascii="Arial" w:hAnsi="Arial" w:cs="Arial"/>
                <w:sz w:val="16"/>
                <w:szCs w:val="16"/>
              </w:rPr>
            </w:pPr>
            <w:r w:rsidRPr="004F6C55">
              <w:rPr>
                <w:rFonts w:ascii="Arial" w:hAnsi="Arial" w:cs="Arial"/>
                <w:b/>
                <w:sz w:val="16"/>
                <w:szCs w:val="16"/>
              </w:rPr>
              <w:t xml:space="preserve">TOTAL      </w:t>
            </w:r>
            <w:r>
              <w:rPr>
                <w:rFonts w:ascii="Arial" w:hAnsi="Arial" w:cs="Arial"/>
                <w:b/>
                <w:sz w:val="16"/>
                <w:szCs w:val="16"/>
              </w:rPr>
              <w:t xml:space="preserve">  </w:t>
            </w:r>
          </w:p>
        </w:tc>
        <w:tc>
          <w:tcPr>
            <w:tcW w:w="1636" w:type="dxa"/>
            <w:tcBorders>
              <w:top w:val="single" w:sz="4" w:space="0" w:color="auto"/>
              <w:bottom w:val="double" w:sz="4" w:space="0" w:color="auto"/>
            </w:tcBorders>
          </w:tcPr>
          <w:p w:rsidR="000556EE" w:rsidRDefault="000556EE" w:rsidP="004C39E3">
            <w:pPr>
              <w:suppressAutoHyphens/>
              <w:jc w:val="right"/>
              <w:rPr>
                <w:rFonts w:ascii="Arial" w:hAnsi="Arial" w:cs="Arial"/>
                <w:b/>
                <w:sz w:val="16"/>
                <w:szCs w:val="16"/>
                <w:u w:val="single"/>
              </w:rPr>
            </w:pPr>
          </w:p>
          <w:p w:rsidR="000556EE" w:rsidRPr="000556EE" w:rsidRDefault="000556EE" w:rsidP="004C39E3">
            <w:pPr>
              <w:suppressAutoHyphens/>
              <w:jc w:val="right"/>
              <w:rPr>
                <w:rFonts w:ascii="Arial" w:hAnsi="Arial" w:cs="Arial"/>
                <w:sz w:val="16"/>
                <w:szCs w:val="16"/>
              </w:rPr>
            </w:pPr>
            <w:r w:rsidRPr="000556EE">
              <w:rPr>
                <w:rFonts w:ascii="Arial" w:hAnsi="Arial" w:cs="Arial"/>
                <w:b/>
                <w:sz w:val="16"/>
                <w:szCs w:val="16"/>
              </w:rPr>
              <w:t>P4,606,980,461.50</w:t>
            </w:r>
          </w:p>
        </w:tc>
      </w:tr>
    </w:tbl>
    <w:p w:rsidR="00061DD0" w:rsidRDefault="00A31860" w:rsidP="004F6C55">
      <w:pPr>
        <w:spacing w:after="0" w:line="240" w:lineRule="auto"/>
        <w:rPr>
          <w:rFonts w:ascii="Arial Narrow" w:hAnsi="Arial Narrow" w:cs="Arial"/>
          <w:b/>
          <w:i/>
          <w:sz w:val="16"/>
          <w:szCs w:val="16"/>
        </w:rPr>
      </w:pPr>
      <w:r>
        <w:rPr>
          <w:rFonts w:ascii="Arial Narrow" w:hAnsi="Arial Narrow" w:cs="Arial"/>
          <w:sz w:val="16"/>
          <w:szCs w:val="16"/>
        </w:rPr>
        <w:tab/>
      </w:r>
      <w:r w:rsidR="006D7859" w:rsidRPr="004F6C55">
        <w:rPr>
          <w:rFonts w:ascii="Arial Narrow" w:hAnsi="Arial Narrow" w:cs="Arial"/>
          <w:b/>
          <w:i/>
          <w:sz w:val="16"/>
          <w:szCs w:val="16"/>
        </w:rPr>
        <w:t xml:space="preserve">              </w:t>
      </w:r>
      <w:r w:rsidR="00B45E5E" w:rsidRPr="004F6C55">
        <w:rPr>
          <w:rFonts w:ascii="Arial Narrow" w:hAnsi="Arial Narrow" w:cs="Arial"/>
          <w:b/>
          <w:i/>
          <w:sz w:val="16"/>
          <w:szCs w:val="16"/>
        </w:rPr>
        <w:t xml:space="preserve">           </w:t>
      </w:r>
      <w:r w:rsidR="006D7859" w:rsidRPr="004F6C55">
        <w:rPr>
          <w:rFonts w:ascii="Arial Narrow" w:hAnsi="Arial Narrow" w:cs="Arial"/>
          <w:b/>
          <w:i/>
          <w:sz w:val="16"/>
          <w:szCs w:val="16"/>
        </w:rPr>
        <w:t xml:space="preserve">           </w:t>
      </w:r>
    </w:p>
    <w:p w:rsidR="00B45E5E" w:rsidRPr="004F6C55" w:rsidRDefault="006D7859" w:rsidP="004F6C55">
      <w:pPr>
        <w:spacing w:after="0" w:line="240" w:lineRule="auto"/>
        <w:rPr>
          <w:rFonts w:ascii="Arial" w:hAnsi="Arial" w:cs="Arial"/>
          <w:b/>
          <w:sz w:val="16"/>
          <w:szCs w:val="16"/>
          <w:u w:val="single"/>
        </w:rPr>
      </w:pPr>
      <w:r w:rsidRPr="004F6C55">
        <w:rPr>
          <w:rFonts w:ascii="Arial Narrow" w:hAnsi="Arial Narrow" w:cs="Arial"/>
          <w:b/>
          <w:i/>
          <w:sz w:val="16"/>
          <w:szCs w:val="16"/>
        </w:rPr>
        <w:t xml:space="preserve">     </w:t>
      </w:r>
      <w:r w:rsidR="00B45E5E" w:rsidRPr="004F6C55">
        <w:rPr>
          <w:rFonts w:ascii="Arial Narrow" w:hAnsi="Arial Narrow" w:cs="Arial"/>
          <w:b/>
          <w:i/>
          <w:sz w:val="16"/>
          <w:szCs w:val="16"/>
        </w:rPr>
        <w:t xml:space="preserve">    </w:t>
      </w:r>
      <w:r w:rsidR="00A31860">
        <w:rPr>
          <w:rFonts w:ascii="Arial Narrow" w:hAnsi="Arial Narrow" w:cs="Arial"/>
          <w:b/>
          <w:i/>
          <w:sz w:val="16"/>
          <w:szCs w:val="16"/>
        </w:rPr>
        <w:tab/>
      </w:r>
      <w:r w:rsidR="000C3B54">
        <w:rPr>
          <w:rFonts w:ascii="Arial Narrow" w:hAnsi="Arial Narrow" w:cs="Arial"/>
          <w:b/>
          <w:i/>
          <w:sz w:val="16"/>
          <w:szCs w:val="16"/>
        </w:rPr>
        <w:tab/>
      </w:r>
      <w:r w:rsidR="000C3B54">
        <w:rPr>
          <w:rFonts w:ascii="Arial Narrow" w:hAnsi="Arial Narrow" w:cs="Arial"/>
          <w:b/>
          <w:i/>
          <w:sz w:val="16"/>
          <w:szCs w:val="16"/>
        </w:rPr>
        <w:tab/>
      </w:r>
      <w:r w:rsidR="00A31860">
        <w:rPr>
          <w:rFonts w:ascii="Arial Narrow" w:hAnsi="Arial Narrow" w:cs="Arial"/>
          <w:b/>
          <w:i/>
          <w:sz w:val="16"/>
          <w:szCs w:val="16"/>
        </w:rPr>
        <w:tab/>
      </w:r>
      <w:r w:rsidR="00A31860">
        <w:rPr>
          <w:rFonts w:ascii="Arial" w:hAnsi="Arial" w:cs="Arial"/>
          <w:b/>
          <w:sz w:val="16"/>
          <w:szCs w:val="16"/>
        </w:rPr>
        <w:tab/>
      </w:r>
    </w:p>
    <w:p w:rsidR="0066326C" w:rsidRPr="000556EE" w:rsidRDefault="00FD4CC1" w:rsidP="00DA78B4">
      <w:pPr>
        <w:pStyle w:val="ListParagraph"/>
        <w:numPr>
          <w:ilvl w:val="1"/>
          <w:numId w:val="21"/>
        </w:numPr>
        <w:ind w:left="1440"/>
        <w:jc w:val="both"/>
        <w:rPr>
          <w:rFonts w:ascii="Arial" w:hAnsi="Arial" w:cs="Arial"/>
          <w:sz w:val="22"/>
          <w:szCs w:val="22"/>
        </w:rPr>
      </w:pPr>
      <w:r w:rsidRPr="000556EE">
        <w:rPr>
          <w:rFonts w:ascii="Arial" w:hAnsi="Arial" w:cs="Arial"/>
          <w:sz w:val="22"/>
          <w:szCs w:val="22"/>
        </w:rPr>
        <w:t xml:space="preserve">As can be gleaned </w:t>
      </w:r>
      <w:r w:rsidR="0067148D" w:rsidRPr="000556EE">
        <w:rPr>
          <w:rFonts w:ascii="Arial" w:hAnsi="Arial" w:cs="Arial"/>
          <w:sz w:val="22"/>
          <w:szCs w:val="22"/>
        </w:rPr>
        <w:t xml:space="preserve">from </w:t>
      </w:r>
      <w:r w:rsidR="00745EA1" w:rsidRPr="000556EE">
        <w:rPr>
          <w:rFonts w:ascii="Arial" w:hAnsi="Arial" w:cs="Arial"/>
          <w:sz w:val="22"/>
          <w:szCs w:val="22"/>
        </w:rPr>
        <w:t>Table 12</w:t>
      </w:r>
      <w:r w:rsidRPr="000556EE">
        <w:rPr>
          <w:rFonts w:ascii="Arial" w:hAnsi="Arial" w:cs="Arial"/>
          <w:sz w:val="22"/>
          <w:szCs w:val="22"/>
        </w:rPr>
        <w:t>, t</w:t>
      </w:r>
      <w:r w:rsidR="0067148D" w:rsidRPr="000556EE">
        <w:rPr>
          <w:rFonts w:ascii="Arial" w:hAnsi="Arial" w:cs="Arial"/>
          <w:sz w:val="22"/>
          <w:szCs w:val="22"/>
        </w:rPr>
        <w:t>he remaining unsettled</w:t>
      </w:r>
      <w:r w:rsidR="0066326C" w:rsidRPr="000556EE">
        <w:rPr>
          <w:rFonts w:ascii="Arial" w:hAnsi="Arial" w:cs="Arial"/>
          <w:sz w:val="22"/>
          <w:szCs w:val="22"/>
        </w:rPr>
        <w:t xml:space="preserve"> PMRR Shortfall</w:t>
      </w:r>
      <w:r w:rsidR="00745EA1" w:rsidRPr="000556EE">
        <w:rPr>
          <w:rFonts w:ascii="Arial" w:hAnsi="Arial" w:cs="Arial"/>
          <w:sz w:val="22"/>
          <w:szCs w:val="22"/>
        </w:rPr>
        <w:t>s</w:t>
      </w:r>
      <w:r w:rsidR="0066326C" w:rsidRPr="000556EE">
        <w:rPr>
          <w:rFonts w:ascii="Arial" w:hAnsi="Arial" w:cs="Arial"/>
          <w:sz w:val="22"/>
          <w:szCs w:val="22"/>
        </w:rPr>
        <w:t xml:space="preserve"> Due to PCSO in the amount of P2</w:t>
      </w:r>
      <w:r w:rsidR="00B367AB" w:rsidRPr="000556EE">
        <w:rPr>
          <w:rFonts w:ascii="Arial" w:hAnsi="Arial" w:cs="Arial"/>
          <w:sz w:val="22"/>
          <w:szCs w:val="22"/>
        </w:rPr>
        <w:t>.</w:t>
      </w:r>
      <w:r w:rsidR="0066326C" w:rsidRPr="000556EE">
        <w:rPr>
          <w:rFonts w:ascii="Arial" w:hAnsi="Arial" w:cs="Arial"/>
          <w:sz w:val="22"/>
          <w:szCs w:val="22"/>
        </w:rPr>
        <w:t>31</w:t>
      </w:r>
      <w:r w:rsidR="000556EE">
        <w:rPr>
          <w:rFonts w:ascii="Arial" w:hAnsi="Arial" w:cs="Arial"/>
          <w:sz w:val="22"/>
          <w:szCs w:val="22"/>
        </w:rPr>
        <w:t>8</w:t>
      </w:r>
      <w:r w:rsidR="00B367AB" w:rsidRPr="000556EE">
        <w:rPr>
          <w:rFonts w:ascii="Arial" w:hAnsi="Arial" w:cs="Arial"/>
          <w:sz w:val="22"/>
          <w:szCs w:val="22"/>
        </w:rPr>
        <w:t xml:space="preserve"> billion</w:t>
      </w:r>
      <w:r w:rsidR="0066326C" w:rsidRPr="000556EE">
        <w:rPr>
          <w:rFonts w:ascii="Arial" w:hAnsi="Arial" w:cs="Arial"/>
          <w:sz w:val="22"/>
          <w:szCs w:val="22"/>
        </w:rPr>
        <w:t xml:space="preserve"> was part of the PMRR Shortfall</w:t>
      </w:r>
      <w:r w:rsidR="00745EA1" w:rsidRPr="000556EE">
        <w:rPr>
          <w:rFonts w:ascii="Arial" w:hAnsi="Arial" w:cs="Arial"/>
          <w:sz w:val="22"/>
          <w:szCs w:val="22"/>
        </w:rPr>
        <w:t>s</w:t>
      </w:r>
      <w:r w:rsidR="0066326C" w:rsidRPr="000556EE">
        <w:rPr>
          <w:rFonts w:ascii="Arial" w:hAnsi="Arial" w:cs="Arial"/>
          <w:sz w:val="22"/>
          <w:szCs w:val="22"/>
        </w:rPr>
        <w:t xml:space="preserve"> from </w:t>
      </w:r>
      <w:r w:rsidR="008E5A1B" w:rsidRPr="000556EE">
        <w:rPr>
          <w:rFonts w:ascii="Arial" w:hAnsi="Arial" w:cs="Arial"/>
          <w:sz w:val="22"/>
          <w:szCs w:val="22"/>
        </w:rPr>
        <w:t>CY 2017</w:t>
      </w:r>
      <w:r w:rsidR="0066326C" w:rsidRPr="000556EE">
        <w:rPr>
          <w:rFonts w:ascii="Arial" w:hAnsi="Arial" w:cs="Arial"/>
          <w:sz w:val="22"/>
          <w:szCs w:val="22"/>
        </w:rPr>
        <w:t xml:space="preserve"> STL operations, which was brought to the </w:t>
      </w:r>
      <w:r w:rsidR="0066326C" w:rsidRPr="000556EE">
        <w:rPr>
          <w:rFonts w:ascii="Arial" w:hAnsi="Arial" w:cs="Arial"/>
          <w:sz w:val="22"/>
          <w:szCs w:val="22"/>
        </w:rPr>
        <w:lastRenderedPageBreak/>
        <w:t>attention of PCSO Management through AOM No</w:t>
      </w:r>
      <w:r w:rsidR="0067148D" w:rsidRPr="000556EE">
        <w:rPr>
          <w:rFonts w:ascii="Arial" w:hAnsi="Arial" w:cs="Arial"/>
          <w:sz w:val="22"/>
          <w:szCs w:val="22"/>
        </w:rPr>
        <w:t xml:space="preserve">. 18-003 dated March 22, 2018. </w:t>
      </w:r>
      <w:r w:rsidR="0066326C" w:rsidRPr="000556EE">
        <w:rPr>
          <w:rFonts w:ascii="Arial" w:hAnsi="Arial" w:cs="Arial"/>
          <w:sz w:val="22"/>
          <w:szCs w:val="22"/>
        </w:rPr>
        <w:t xml:space="preserve">Despite the recommendation for its immediate collection, only 22.34% of the total shortfall due in 2017 was remitted by the concerned AACs during CY 2018.    </w:t>
      </w:r>
    </w:p>
    <w:p w:rsidR="0066326C" w:rsidRPr="00EF4855" w:rsidRDefault="0066326C" w:rsidP="004C39E3">
      <w:pPr>
        <w:pStyle w:val="ListParagraph"/>
        <w:suppressAutoHyphens/>
        <w:ind w:left="1140"/>
        <w:jc w:val="both"/>
        <w:rPr>
          <w:rFonts w:ascii="Arial" w:hAnsi="Arial" w:cs="Arial"/>
          <w:sz w:val="22"/>
          <w:szCs w:val="22"/>
        </w:rPr>
      </w:pPr>
    </w:p>
    <w:p w:rsidR="0067148D" w:rsidRPr="000556EE" w:rsidRDefault="0066326C" w:rsidP="00DA78B4">
      <w:pPr>
        <w:pStyle w:val="ListParagraph"/>
        <w:numPr>
          <w:ilvl w:val="1"/>
          <w:numId w:val="21"/>
        </w:numPr>
        <w:ind w:left="1440"/>
        <w:jc w:val="both"/>
        <w:rPr>
          <w:rFonts w:ascii="Arial" w:hAnsi="Arial" w:cs="Arial"/>
          <w:sz w:val="22"/>
          <w:szCs w:val="22"/>
        </w:rPr>
      </w:pPr>
      <w:r w:rsidRPr="000556EE">
        <w:rPr>
          <w:rFonts w:ascii="Arial" w:hAnsi="Arial" w:cs="Arial"/>
          <w:sz w:val="22"/>
          <w:szCs w:val="22"/>
        </w:rPr>
        <w:t>The concerned Branch Operations Sector (BOS) personnel explained</w:t>
      </w:r>
      <w:r w:rsidR="008A49F4" w:rsidRPr="000556EE">
        <w:rPr>
          <w:rFonts w:ascii="Arial" w:hAnsi="Arial" w:cs="Arial"/>
          <w:sz w:val="22"/>
          <w:szCs w:val="22"/>
        </w:rPr>
        <w:t xml:space="preserve"> </w:t>
      </w:r>
      <w:r w:rsidRPr="000556EE">
        <w:rPr>
          <w:rFonts w:ascii="Arial" w:hAnsi="Arial" w:cs="Arial"/>
          <w:sz w:val="22"/>
          <w:szCs w:val="22"/>
        </w:rPr>
        <w:t xml:space="preserve">during </w:t>
      </w:r>
      <w:r w:rsidR="00745EA1" w:rsidRPr="000556EE">
        <w:rPr>
          <w:rFonts w:ascii="Arial" w:hAnsi="Arial" w:cs="Arial"/>
          <w:sz w:val="22"/>
          <w:szCs w:val="22"/>
        </w:rPr>
        <w:t>the Audit Team’s</w:t>
      </w:r>
      <w:r w:rsidR="0067148D" w:rsidRPr="000556EE">
        <w:rPr>
          <w:rFonts w:ascii="Arial" w:hAnsi="Arial" w:cs="Arial"/>
          <w:sz w:val="22"/>
          <w:szCs w:val="22"/>
        </w:rPr>
        <w:t xml:space="preserve"> verbal </w:t>
      </w:r>
      <w:r w:rsidRPr="000556EE">
        <w:rPr>
          <w:rFonts w:ascii="Arial" w:hAnsi="Arial" w:cs="Arial"/>
          <w:sz w:val="22"/>
          <w:szCs w:val="22"/>
        </w:rPr>
        <w:t>inquiry that those AACs with unremitted shortfall due as of December 31, 2018 were already notified to settle their accounts. Thirteen (13) AACs with PMRR shortfall</w:t>
      </w:r>
      <w:r w:rsidR="000556EE">
        <w:rPr>
          <w:rFonts w:ascii="Arial" w:hAnsi="Arial" w:cs="Arial"/>
          <w:sz w:val="22"/>
          <w:szCs w:val="22"/>
        </w:rPr>
        <w:t>s</w:t>
      </w:r>
      <w:r w:rsidRPr="000556EE">
        <w:rPr>
          <w:rFonts w:ascii="Arial" w:hAnsi="Arial" w:cs="Arial"/>
          <w:sz w:val="22"/>
          <w:szCs w:val="22"/>
        </w:rPr>
        <w:t xml:space="preserve"> from CY 2018 operations responded by issuing thirteen (13) post-dated checks (PD</w:t>
      </w:r>
      <w:r w:rsidR="00B367AB" w:rsidRPr="000556EE">
        <w:rPr>
          <w:rFonts w:ascii="Arial" w:hAnsi="Arial" w:cs="Arial"/>
          <w:sz w:val="22"/>
          <w:szCs w:val="22"/>
        </w:rPr>
        <w:t>Cs) in the total amount of P164.</w:t>
      </w:r>
      <w:r w:rsidRPr="000556EE">
        <w:rPr>
          <w:rFonts w:ascii="Arial" w:hAnsi="Arial" w:cs="Arial"/>
          <w:sz w:val="22"/>
          <w:szCs w:val="22"/>
        </w:rPr>
        <w:t>252</w:t>
      </w:r>
      <w:r w:rsidR="00B367AB" w:rsidRPr="000556EE">
        <w:rPr>
          <w:rFonts w:ascii="Arial" w:hAnsi="Arial" w:cs="Arial"/>
          <w:sz w:val="22"/>
          <w:szCs w:val="22"/>
        </w:rPr>
        <w:t xml:space="preserve"> million</w:t>
      </w:r>
      <w:r w:rsidRPr="000556EE">
        <w:rPr>
          <w:rFonts w:ascii="Arial" w:hAnsi="Arial" w:cs="Arial"/>
          <w:sz w:val="22"/>
          <w:szCs w:val="22"/>
        </w:rPr>
        <w:t xml:space="preserve"> as guarantee of payment for their shortfalls.  However, the rest did not take any action.   </w:t>
      </w:r>
    </w:p>
    <w:p w:rsidR="0067148D" w:rsidRPr="0067148D" w:rsidRDefault="0067148D" w:rsidP="0067148D">
      <w:pPr>
        <w:pStyle w:val="ListParagraph"/>
        <w:rPr>
          <w:rFonts w:ascii="Arial" w:hAnsi="Arial" w:cs="Arial"/>
          <w:sz w:val="22"/>
          <w:szCs w:val="22"/>
        </w:rPr>
      </w:pPr>
    </w:p>
    <w:p w:rsidR="0066326C" w:rsidRDefault="0066326C" w:rsidP="00DA78B4">
      <w:pPr>
        <w:pStyle w:val="ListParagraph"/>
        <w:numPr>
          <w:ilvl w:val="1"/>
          <w:numId w:val="21"/>
        </w:numPr>
        <w:ind w:left="1440"/>
        <w:jc w:val="both"/>
        <w:rPr>
          <w:rFonts w:ascii="Arial" w:hAnsi="Arial" w:cs="Arial"/>
          <w:sz w:val="22"/>
          <w:szCs w:val="22"/>
        </w:rPr>
      </w:pPr>
      <w:r w:rsidRPr="00EF4855">
        <w:rPr>
          <w:rFonts w:ascii="Arial" w:hAnsi="Arial" w:cs="Arial"/>
          <w:sz w:val="22"/>
          <w:szCs w:val="22"/>
        </w:rPr>
        <w:t>As provided under Article III Section 27 (f &amp; g) of the 2016 R</w:t>
      </w:r>
      <w:r w:rsidR="000556EE">
        <w:rPr>
          <w:rFonts w:ascii="Arial" w:hAnsi="Arial" w:cs="Arial"/>
          <w:sz w:val="22"/>
          <w:szCs w:val="22"/>
        </w:rPr>
        <w:t xml:space="preserve">evised </w:t>
      </w:r>
      <w:r w:rsidRPr="00EF4855">
        <w:rPr>
          <w:rFonts w:ascii="Arial" w:hAnsi="Arial" w:cs="Arial"/>
          <w:sz w:val="22"/>
          <w:szCs w:val="22"/>
        </w:rPr>
        <w:t>IRR for</w:t>
      </w:r>
      <w:r w:rsidR="00FD4CC1" w:rsidRPr="00EF4855">
        <w:rPr>
          <w:rFonts w:ascii="Arial" w:hAnsi="Arial" w:cs="Arial"/>
          <w:sz w:val="22"/>
          <w:szCs w:val="22"/>
        </w:rPr>
        <w:t xml:space="preserve"> STL, the non-r</w:t>
      </w:r>
      <w:r w:rsidRPr="00EF4855">
        <w:rPr>
          <w:rFonts w:ascii="Arial" w:hAnsi="Arial" w:cs="Arial"/>
          <w:sz w:val="22"/>
          <w:szCs w:val="22"/>
        </w:rPr>
        <w:t xml:space="preserve">emittance or under-remittance by the AACs/ASAs of STL proceeds due to PCSO at any given time is a ground for suspension, cancellation or revocation of STL Agency Agreements. It </w:t>
      </w:r>
      <w:r w:rsidR="00894792">
        <w:rPr>
          <w:rFonts w:ascii="Arial" w:hAnsi="Arial" w:cs="Arial"/>
          <w:sz w:val="22"/>
          <w:szCs w:val="22"/>
        </w:rPr>
        <w:t xml:space="preserve">just </w:t>
      </w:r>
      <w:r w:rsidR="00CE48A8">
        <w:rPr>
          <w:rFonts w:ascii="Arial" w:hAnsi="Arial" w:cs="Arial"/>
          <w:sz w:val="22"/>
          <w:szCs w:val="22"/>
        </w:rPr>
        <w:t xml:space="preserve">showed </w:t>
      </w:r>
      <w:r w:rsidRPr="00EF4855">
        <w:rPr>
          <w:rFonts w:ascii="Arial" w:hAnsi="Arial" w:cs="Arial"/>
          <w:sz w:val="22"/>
          <w:szCs w:val="22"/>
        </w:rPr>
        <w:t>that this provision is not being implemented.</w:t>
      </w:r>
    </w:p>
    <w:p w:rsidR="00745EA1" w:rsidRPr="00745EA1" w:rsidRDefault="00745EA1" w:rsidP="00745EA1">
      <w:pPr>
        <w:pStyle w:val="ListParagraph"/>
        <w:rPr>
          <w:rFonts w:ascii="Arial" w:hAnsi="Arial" w:cs="Arial"/>
          <w:sz w:val="22"/>
          <w:szCs w:val="22"/>
        </w:rPr>
      </w:pPr>
    </w:p>
    <w:p w:rsidR="00626658" w:rsidRDefault="00B1323D" w:rsidP="00DA78B4">
      <w:pPr>
        <w:pStyle w:val="ListParagraph"/>
        <w:numPr>
          <w:ilvl w:val="1"/>
          <w:numId w:val="21"/>
        </w:numPr>
        <w:ind w:left="1440"/>
        <w:jc w:val="both"/>
        <w:rPr>
          <w:rFonts w:ascii="Arial" w:hAnsi="Arial" w:cs="Arial"/>
          <w:sz w:val="22"/>
          <w:szCs w:val="22"/>
        </w:rPr>
      </w:pPr>
      <w:r>
        <w:rPr>
          <w:rFonts w:ascii="Arial" w:hAnsi="Arial" w:cs="Arial"/>
          <w:sz w:val="22"/>
          <w:szCs w:val="22"/>
        </w:rPr>
        <w:t xml:space="preserve">Similar observation was noted </w:t>
      </w:r>
      <w:r w:rsidR="0003654A">
        <w:rPr>
          <w:rFonts w:ascii="Arial" w:hAnsi="Arial" w:cs="Arial"/>
          <w:sz w:val="22"/>
          <w:szCs w:val="22"/>
        </w:rPr>
        <w:t>by the respective Audit Team Leaders of the PCSO</w:t>
      </w:r>
      <w:r>
        <w:rPr>
          <w:rFonts w:ascii="Arial" w:hAnsi="Arial" w:cs="Arial"/>
          <w:sz w:val="22"/>
          <w:szCs w:val="22"/>
        </w:rPr>
        <w:t xml:space="preserve"> Rizal, Occidental/Oriental Mindoro, Marinduque, Iloilo, Capiz, South Cotabato, Isabela, Misamis Oriental, Bukidnon, Surigao Del Norte and Agusan Del Norte branches.</w:t>
      </w:r>
    </w:p>
    <w:p w:rsidR="00626658" w:rsidRPr="00626658" w:rsidRDefault="00626658" w:rsidP="00626658">
      <w:pPr>
        <w:pStyle w:val="ListParagraph"/>
        <w:rPr>
          <w:rFonts w:ascii="Arial" w:hAnsi="Arial" w:cs="Arial"/>
          <w:sz w:val="22"/>
          <w:szCs w:val="22"/>
        </w:rPr>
      </w:pPr>
    </w:p>
    <w:p w:rsidR="0066326C" w:rsidRPr="000556EE" w:rsidRDefault="0066326C" w:rsidP="00DA78B4">
      <w:pPr>
        <w:pStyle w:val="ListParagraph"/>
        <w:numPr>
          <w:ilvl w:val="1"/>
          <w:numId w:val="21"/>
        </w:numPr>
        <w:ind w:left="1440"/>
        <w:jc w:val="both"/>
        <w:rPr>
          <w:rFonts w:ascii="Arial" w:hAnsi="Arial" w:cs="Arial"/>
          <w:sz w:val="22"/>
          <w:szCs w:val="22"/>
        </w:rPr>
      </w:pPr>
      <w:r w:rsidRPr="000556EE">
        <w:rPr>
          <w:rFonts w:ascii="Arial" w:hAnsi="Arial" w:cs="Arial"/>
          <w:sz w:val="22"/>
          <w:szCs w:val="22"/>
        </w:rPr>
        <w:t>Had the PMRR Shortfall</w:t>
      </w:r>
      <w:r w:rsidR="00745EA1" w:rsidRPr="000556EE">
        <w:rPr>
          <w:rFonts w:ascii="Arial" w:hAnsi="Arial" w:cs="Arial"/>
          <w:sz w:val="22"/>
          <w:szCs w:val="22"/>
        </w:rPr>
        <w:t>s</w:t>
      </w:r>
      <w:r w:rsidRPr="000556EE">
        <w:rPr>
          <w:rFonts w:ascii="Arial" w:hAnsi="Arial" w:cs="Arial"/>
          <w:sz w:val="22"/>
          <w:szCs w:val="22"/>
        </w:rPr>
        <w:t xml:space="preserve"> due of P4</w:t>
      </w:r>
      <w:r w:rsidR="00B367AB" w:rsidRPr="000556EE">
        <w:rPr>
          <w:rFonts w:ascii="Arial" w:hAnsi="Arial" w:cs="Arial"/>
          <w:sz w:val="22"/>
          <w:szCs w:val="22"/>
        </w:rPr>
        <w:t>.</w:t>
      </w:r>
      <w:r w:rsidRPr="000556EE">
        <w:rPr>
          <w:rFonts w:ascii="Arial" w:hAnsi="Arial" w:cs="Arial"/>
          <w:sz w:val="22"/>
          <w:szCs w:val="22"/>
        </w:rPr>
        <w:t>60</w:t>
      </w:r>
      <w:r w:rsidR="00D07502">
        <w:rPr>
          <w:rFonts w:ascii="Arial" w:hAnsi="Arial" w:cs="Arial"/>
          <w:sz w:val="22"/>
          <w:szCs w:val="22"/>
        </w:rPr>
        <w:t>7</w:t>
      </w:r>
      <w:r w:rsidR="00B367AB" w:rsidRPr="000556EE">
        <w:rPr>
          <w:rFonts w:ascii="Arial" w:hAnsi="Arial" w:cs="Arial"/>
          <w:sz w:val="22"/>
          <w:szCs w:val="22"/>
        </w:rPr>
        <w:t xml:space="preserve"> billion</w:t>
      </w:r>
      <w:r w:rsidRPr="000556EE">
        <w:rPr>
          <w:rFonts w:ascii="Arial" w:hAnsi="Arial" w:cs="Arial"/>
          <w:sz w:val="22"/>
          <w:szCs w:val="22"/>
        </w:rPr>
        <w:t xml:space="preserve"> been promptly remitted to the PCSO, it could have been utilized to finance its various charity programs, particularly the Individual Medical Assistance Program (IMAP), where many less fortunate individuals depend for their medical needs. </w:t>
      </w:r>
    </w:p>
    <w:p w:rsidR="0066326C" w:rsidRPr="00EF4855" w:rsidRDefault="0066326C" w:rsidP="004C39E3">
      <w:pPr>
        <w:pStyle w:val="ListParagraph"/>
        <w:suppressAutoHyphens/>
        <w:ind w:left="1140"/>
        <w:jc w:val="both"/>
        <w:rPr>
          <w:rFonts w:ascii="Arial" w:hAnsi="Arial" w:cs="Arial"/>
          <w:b/>
          <w:i/>
          <w:sz w:val="22"/>
          <w:szCs w:val="22"/>
        </w:rPr>
      </w:pPr>
    </w:p>
    <w:p w:rsidR="0066326C" w:rsidRPr="00EF4855" w:rsidRDefault="0066326C" w:rsidP="00DA78B4">
      <w:pPr>
        <w:pStyle w:val="ListParagraph"/>
        <w:numPr>
          <w:ilvl w:val="1"/>
          <w:numId w:val="21"/>
        </w:numPr>
        <w:ind w:left="1440"/>
        <w:jc w:val="both"/>
        <w:rPr>
          <w:rFonts w:ascii="Arial" w:hAnsi="Arial" w:cs="Arial"/>
          <w:b/>
          <w:sz w:val="22"/>
          <w:szCs w:val="22"/>
        </w:rPr>
      </w:pPr>
      <w:r w:rsidRPr="00A31860">
        <w:rPr>
          <w:rFonts w:ascii="Arial" w:hAnsi="Arial" w:cs="Arial"/>
          <w:b/>
          <w:sz w:val="22"/>
          <w:szCs w:val="22"/>
        </w:rPr>
        <w:t xml:space="preserve">We </w:t>
      </w:r>
      <w:r w:rsidRPr="005943AE">
        <w:rPr>
          <w:rFonts w:ascii="Arial" w:hAnsi="Arial" w:cs="Arial"/>
          <w:b/>
          <w:sz w:val="22"/>
          <w:szCs w:val="22"/>
        </w:rPr>
        <w:t>recommend</w:t>
      </w:r>
      <w:r w:rsidR="008A49F4" w:rsidRPr="005943AE">
        <w:rPr>
          <w:rFonts w:ascii="Arial" w:hAnsi="Arial" w:cs="Arial"/>
          <w:b/>
          <w:sz w:val="22"/>
          <w:szCs w:val="22"/>
        </w:rPr>
        <w:t>ed</w:t>
      </w:r>
      <w:r w:rsidRPr="00EF4855">
        <w:rPr>
          <w:rFonts w:ascii="Arial" w:hAnsi="Arial" w:cs="Arial"/>
          <w:b/>
          <w:sz w:val="22"/>
          <w:szCs w:val="22"/>
        </w:rPr>
        <w:t xml:space="preserve"> that Management intensify collection of the PMRR shortfall</w:t>
      </w:r>
      <w:r w:rsidR="000556EE">
        <w:rPr>
          <w:rFonts w:ascii="Arial" w:hAnsi="Arial" w:cs="Arial"/>
          <w:b/>
          <w:sz w:val="22"/>
          <w:szCs w:val="22"/>
        </w:rPr>
        <w:t>s</w:t>
      </w:r>
      <w:r w:rsidRPr="00EF4855">
        <w:rPr>
          <w:rFonts w:ascii="Arial" w:hAnsi="Arial" w:cs="Arial"/>
          <w:b/>
          <w:sz w:val="22"/>
          <w:szCs w:val="22"/>
        </w:rPr>
        <w:t xml:space="preserve"> due from the concerned AACs/ASAs in the total amount of P4</w:t>
      </w:r>
      <w:r w:rsidR="00B367AB" w:rsidRPr="00EF4855">
        <w:rPr>
          <w:rFonts w:ascii="Arial" w:hAnsi="Arial" w:cs="Arial"/>
          <w:b/>
          <w:sz w:val="22"/>
          <w:szCs w:val="22"/>
        </w:rPr>
        <w:t>.</w:t>
      </w:r>
      <w:r w:rsidR="00806D17">
        <w:rPr>
          <w:rFonts w:ascii="Arial" w:hAnsi="Arial" w:cs="Arial"/>
          <w:b/>
          <w:sz w:val="22"/>
          <w:szCs w:val="22"/>
        </w:rPr>
        <w:t>607</w:t>
      </w:r>
      <w:r w:rsidR="00B367AB" w:rsidRPr="00EF4855">
        <w:rPr>
          <w:rFonts w:ascii="Arial" w:hAnsi="Arial" w:cs="Arial"/>
          <w:b/>
          <w:sz w:val="22"/>
          <w:szCs w:val="22"/>
        </w:rPr>
        <w:t xml:space="preserve"> billion</w:t>
      </w:r>
      <w:r w:rsidRPr="00EF4855">
        <w:rPr>
          <w:rFonts w:ascii="Arial" w:hAnsi="Arial" w:cs="Arial"/>
          <w:b/>
          <w:sz w:val="22"/>
          <w:szCs w:val="22"/>
        </w:rPr>
        <w:t xml:space="preserve"> so that the same can be utilized for the various charitable programs of the PCSO, particularly the IMAP.  Otherwise, implement Section 27 (f &amp; g) of the R</w:t>
      </w:r>
      <w:r w:rsidR="000556EE">
        <w:rPr>
          <w:rFonts w:ascii="Arial" w:hAnsi="Arial" w:cs="Arial"/>
          <w:b/>
          <w:sz w:val="22"/>
          <w:szCs w:val="22"/>
        </w:rPr>
        <w:t xml:space="preserve">evised </w:t>
      </w:r>
      <w:r w:rsidRPr="00EF4855">
        <w:rPr>
          <w:rFonts w:ascii="Arial" w:hAnsi="Arial" w:cs="Arial"/>
          <w:b/>
          <w:sz w:val="22"/>
          <w:szCs w:val="22"/>
        </w:rPr>
        <w:t xml:space="preserve">IRR for STL and suspend and/or revoke their Authorities to Operate (ATO) and forfeit their cash bonds corresponding to the amount of their PMRR Shortfalls.  </w:t>
      </w:r>
    </w:p>
    <w:p w:rsidR="00D97472" w:rsidRPr="00EF4855" w:rsidRDefault="00D97472" w:rsidP="004C39E3">
      <w:pPr>
        <w:pStyle w:val="ListParagraph"/>
        <w:ind w:left="1140"/>
        <w:jc w:val="both"/>
        <w:rPr>
          <w:rFonts w:ascii="Arial" w:hAnsi="Arial" w:cs="Arial"/>
          <w:sz w:val="22"/>
          <w:szCs w:val="22"/>
        </w:rPr>
      </w:pPr>
    </w:p>
    <w:p w:rsidR="00D91460" w:rsidRPr="000556EE" w:rsidRDefault="00D97472" w:rsidP="00DA78B4">
      <w:pPr>
        <w:pStyle w:val="ListParagraph"/>
        <w:numPr>
          <w:ilvl w:val="1"/>
          <w:numId w:val="21"/>
        </w:numPr>
        <w:ind w:left="1440"/>
        <w:jc w:val="both"/>
        <w:rPr>
          <w:rFonts w:ascii="Arial" w:hAnsi="Arial" w:cs="Arial"/>
          <w:sz w:val="22"/>
          <w:szCs w:val="22"/>
        </w:rPr>
      </w:pPr>
      <w:r w:rsidRPr="000556EE">
        <w:rPr>
          <w:rFonts w:ascii="Arial" w:hAnsi="Arial" w:cs="Arial"/>
          <w:sz w:val="22"/>
          <w:szCs w:val="22"/>
        </w:rPr>
        <w:t>Management explained that prior to</w:t>
      </w:r>
      <w:r w:rsidR="0003654A" w:rsidRPr="000556EE">
        <w:rPr>
          <w:rFonts w:ascii="Arial" w:hAnsi="Arial" w:cs="Arial"/>
          <w:sz w:val="22"/>
          <w:szCs w:val="22"/>
        </w:rPr>
        <w:t xml:space="preserve"> the </w:t>
      </w:r>
      <w:r w:rsidRPr="000556EE">
        <w:rPr>
          <w:rFonts w:ascii="Arial" w:hAnsi="Arial" w:cs="Arial"/>
          <w:sz w:val="22"/>
          <w:szCs w:val="22"/>
        </w:rPr>
        <w:t xml:space="preserve">issuance of the AOM, the Office of the AGM-BOS had already issued Memorandum </w:t>
      </w:r>
      <w:r w:rsidR="008B74FA" w:rsidRPr="000556EE">
        <w:rPr>
          <w:rFonts w:ascii="Arial" w:hAnsi="Arial" w:cs="Arial"/>
          <w:sz w:val="22"/>
          <w:szCs w:val="22"/>
        </w:rPr>
        <w:t xml:space="preserve">dated April 30, 2019 </w:t>
      </w:r>
      <w:r w:rsidRPr="000556EE">
        <w:rPr>
          <w:rFonts w:ascii="Arial" w:hAnsi="Arial" w:cs="Arial"/>
          <w:sz w:val="22"/>
          <w:szCs w:val="22"/>
        </w:rPr>
        <w:t>directing all Department and Branch Managers to strictly monitor the PMRR compliance within their respective area</w:t>
      </w:r>
      <w:r w:rsidR="008B74FA" w:rsidRPr="000556EE">
        <w:rPr>
          <w:rFonts w:ascii="Arial" w:hAnsi="Arial" w:cs="Arial"/>
          <w:sz w:val="22"/>
          <w:szCs w:val="22"/>
        </w:rPr>
        <w:t>s</w:t>
      </w:r>
      <w:r w:rsidRPr="000556EE">
        <w:rPr>
          <w:rFonts w:ascii="Arial" w:hAnsi="Arial" w:cs="Arial"/>
          <w:sz w:val="22"/>
          <w:szCs w:val="22"/>
        </w:rPr>
        <w:t>, more particularly sales sh</w:t>
      </w:r>
      <w:r w:rsidR="008B74FA" w:rsidRPr="000556EE">
        <w:rPr>
          <w:rFonts w:ascii="Arial" w:hAnsi="Arial" w:cs="Arial"/>
          <w:sz w:val="22"/>
          <w:szCs w:val="22"/>
        </w:rPr>
        <w:t xml:space="preserve">ortfall and under remittances. </w:t>
      </w:r>
      <w:r w:rsidRPr="000556EE">
        <w:rPr>
          <w:rFonts w:ascii="Arial" w:hAnsi="Arial" w:cs="Arial"/>
          <w:sz w:val="22"/>
          <w:szCs w:val="22"/>
        </w:rPr>
        <w:t>The same Memorandum had provided for the process flo</w:t>
      </w:r>
      <w:r w:rsidR="0065111A" w:rsidRPr="000556EE">
        <w:rPr>
          <w:rFonts w:ascii="Arial" w:hAnsi="Arial" w:cs="Arial"/>
          <w:sz w:val="22"/>
          <w:szCs w:val="22"/>
        </w:rPr>
        <w:t>w to</w:t>
      </w:r>
      <w:r w:rsidRPr="000556EE">
        <w:rPr>
          <w:rFonts w:ascii="Arial" w:hAnsi="Arial" w:cs="Arial"/>
          <w:sz w:val="22"/>
          <w:szCs w:val="22"/>
        </w:rPr>
        <w:t xml:space="preserve"> be observe</w:t>
      </w:r>
      <w:r w:rsidR="0065111A" w:rsidRPr="000556EE">
        <w:rPr>
          <w:rFonts w:ascii="Arial" w:hAnsi="Arial" w:cs="Arial"/>
          <w:sz w:val="22"/>
          <w:szCs w:val="22"/>
        </w:rPr>
        <w:t>d</w:t>
      </w:r>
      <w:r w:rsidRPr="000556EE">
        <w:rPr>
          <w:rFonts w:ascii="Arial" w:hAnsi="Arial" w:cs="Arial"/>
          <w:sz w:val="22"/>
          <w:szCs w:val="22"/>
        </w:rPr>
        <w:t xml:space="preserve"> in cases of non-</w:t>
      </w:r>
      <w:r w:rsidR="0065111A" w:rsidRPr="000556EE">
        <w:rPr>
          <w:rFonts w:ascii="Arial" w:hAnsi="Arial" w:cs="Arial"/>
          <w:sz w:val="22"/>
          <w:szCs w:val="22"/>
        </w:rPr>
        <w:t>compliance</w:t>
      </w:r>
      <w:r w:rsidRPr="000556EE">
        <w:rPr>
          <w:rFonts w:ascii="Arial" w:hAnsi="Arial" w:cs="Arial"/>
          <w:sz w:val="22"/>
          <w:szCs w:val="22"/>
        </w:rPr>
        <w:t xml:space="preserve"> and the actions to b</w:t>
      </w:r>
      <w:r w:rsidR="008B74FA" w:rsidRPr="000556EE">
        <w:rPr>
          <w:rFonts w:ascii="Arial" w:hAnsi="Arial" w:cs="Arial"/>
          <w:sz w:val="22"/>
          <w:szCs w:val="22"/>
        </w:rPr>
        <w:t xml:space="preserve">e taken in case of infraction. </w:t>
      </w:r>
      <w:r w:rsidRPr="000556EE">
        <w:rPr>
          <w:rFonts w:ascii="Arial" w:hAnsi="Arial" w:cs="Arial"/>
          <w:sz w:val="22"/>
          <w:szCs w:val="22"/>
        </w:rPr>
        <w:t xml:space="preserve">Another directive </w:t>
      </w:r>
      <w:r w:rsidR="000F1D77" w:rsidRPr="000556EE">
        <w:rPr>
          <w:rFonts w:ascii="Arial" w:hAnsi="Arial" w:cs="Arial"/>
          <w:sz w:val="22"/>
          <w:szCs w:val="22"/>
        </w:rPr>
        <w:t xml:space="preserve">was also issued </w:t>
      </w:r>
      <w:r w:rsidRPr="000556EE">
        <w:rPr>
          <w:rFonts w:ascii="Arial" w:hAnsi="Arial" w:cs="Arial"/>
          <w:sz w:val="22"/>
          <w:szCs w:val="22"/>
        </w:rPr>
        <w:t xml:space="preserve">to all Department &amp; Branch Managers in line with the directive of the Chairperson and </w:t>
      </w:r>
      <w:r w:rsidR="000F1D77" w:rsidRPr="000556EE">
        <w:rPr>
          <w:rFonts w:ascii="Arial" w:hAnsi="Arial" w:cs="Arial"/>
          <w:sz w:val="22"/>
          <w:szCs w:val="22"/>
        </w:rPr>
        <w:t>I</w:t>
      </w:r>
      <w:r w:rsidRPr="000556EE">
        <w:rPr>
          <w:rFonts w:ascii="Arial" w:hAnsi="Arial" w:cs="Arial"/>
          <w:sz w:val="22"/>
          <w:szCs w:val="22"/>
        </w:rPr>
        <w:t>nterim G</w:t>
      </w:r>
      <w:r w:rsidR="000303DC">
        <w:rPr>
          <w:rFonts w:ascii="Arial" w:hAnsi="Arial" w:cs="Arial"/>
          <w:sz w:val="22"/>
          <w:szCs w:val="22"/>
        </w:rPr>
        <w:t xml:space="preserve">eneral </w:t>
      </w:r>
      <w:r w:rsidRPr="000556EE">
        <w:rPr>
          <w:rFonts w:ascii="Arial" w:hAnsi="Arial" w:cs="Arial"/>
          <w:sz w:val="22"/>
          <w:szCs w:val="22"/>
        </w:rPr>
        <w:t>M</w:t>
      </w:r>
      <w:r w:rsidR="000303DC">
        <w:rPr>
          <w:rFonts w:ascii="Arial" w:hAnsi="Arial" w:cs="Arial"/>
          <w:sz w:val="22"/>
          <w:szCs w:val="22"/>
        </w:rPr>
        <w:t>anager (GM)</w:t>
      </w:r>
      <w:r w:rsidRPr="000556EE">
        <w:rPr>
          <w:rFonts w:ascii="Arial" w:hAnsi="Arial" w:cs="Arial"/>
          <w:sz w:val="22"/>
          <w:szCs w:val="22"/>
        </w:rPr>
        <w:t xml:space="preserve"> to conduct aggressive and sustained collection of shortfalls of identified STL ASAs</w:t>
      </w:r>
      <w:r w:rsidR="008B74FA" w:rsidRPr="000556EE">
        <w:rPr>
          <w:rFonts w:ascii="Arial" w:hAnsi="Arial" w:cs="Arial"/>
          <w:sz w:val="22"/>
          <w:szCs w:val="22"/>
        </w:rPr>
        <w:t xml:space="preserve">. The </w:t>
      </w:r>
      <w:r w:rsidR="0065111A" w:rsidRPr="000556EE">
        <w:rPr>
          <w:rFonts w:ascii="Arial" w:hAnsi="Arial" w:cs="Arial"/>
          <w:sz w:val="22"/>
          <w:szCs w:val="22"/>
        </w:rPr>
        <w:t xml:space="preserve">directive </w:t>
      </w:r>
      <w:r w:rsidR="008B74FA" w:rsidRPr="000556EE">
        <w:rPr>
          <w:rFonts w:ascii="Arial" w:hAnsi="Arial" w:cs="Arial"/>
          <w:sz w:val="22"/>
          <w:szCs w:val="22"/>
        </w:rPr>
        <w:t xml:space="preserve">of the BOS </w:t>
      </w:r>
      <w:r w:rsidR="0065111A" w:rsidRPr="000556EE">
        <w:rPr>
          <w:rFonts w:ascii="Arial" w:hAnsi="Arial" w:cs="Arial"/>
          <w:sz w:val="22"/>
          <w:szCs w:val="22"/>
        </w:rPr>
        <w:t xml:space="preserve">emphasized the strict implementation of </w:t>
      </w:r>
      <w:r w:rsidR="000F1D77" w:rsidRPr="000556EE">
        <w:rPr>
          <w:rFonts w:ascii="Arial" w:hAnsi="Arial" w:cs="Arial"/>
          <w:sz w:val="22"/>
          <w:szCs w:val="22"/>
        </w:rPr>
        <w:t>penalties</w:t>
      </w:r>
      <w:r w:rsidR="0065111A" w:rsidRPr="000556EE">
        <w:rPr>
          <w:rFonts w:ascii="Arial" w:hAnsi="Arial" w:cs="Arial"/>
          <w:sz w:val="22"/>
          <w:szCs w:val="22"/>
        </w:rPr>
        <w:t xml:space="preserve"> against ASAs who shall fail to comply with their</w:t>
      </w:r>
      <w:r w:rsidR="008B74FA" w:rsidRPr="000556EE">
        <w:rPr>
          <w:rFonts w:ascii="Arial" w:hAnsi="Arial" w:cs="Arial"/>
          <w:sz w:val="22"/>
          <w:szCs w:val="22"/>
        </w:rPr>
        <w:t xml:space="preserve"> respective </w:t>
      </w:r>
      <w:r w:rsidR="00666E32" w:rsidRPr="000556EE">
        <w:rPr>
          <w:rFonts w:ascii="Arial" w:hAnsi="Arial" w:cs="Arial"/>
          <w:sz w:val="22"/>
          <w:szCs w:val="22"/>
        </w:rPr>
        <w:t xml:space="preserve">PMMR </w:t>
      </w:r>
      <w:r w:rsidR="00745EA1" w:rsidRPr="000556EE">
        <w:rPr>
          <w:rFonts w:ascii="Arial" w:hAnsi="Arial" w:cs="Arial"/>
          <w:sz w:val="22"/>
          <w:szCs w:val="22"/>
        </w:rPr>
        <w:t>[</w:t>
      </w:r>
      <w:r w:rsidR="00666E32" w:rsidRPr="000556EE">
        <w:rPr>
          <w:rFonts w:ascii="Arial" w:hAnsi="Arial" w:cs="Arial"/>
          <w:sz w:val="22"/>
          <w:szCs w:val="22"/>
        </w:rPr>
        <w:t xml:space="preserve">now </w:t>
      </w:r>
      <w:r w:rsidR="00745EA1" w:rsidRPr="000556EE">
        <w:rPr>
          <w:rFonts w:ascii="Arial" w:hAnsi="Arial" w:cs="Arial"/>
          <w:sz w:val="22"/>
          <w:szCs w:val="22"/>
        </w:rPr>
        <w:t>Guaranteed Minimum Monthly Retail Receipt (</w:t>
      </w:r>
      <w:r w:rsidR="008B74FA" w:rsidRPr="000556EE">
        <w:rPr>
          <w:rFonts w:ascii="Arial" w:hAnsi="Arial" w:cs="Arial"/>
          <w:sz w:val="22"/>
          <w:szCs w:val="22"/>
        </w:rPr>
        <w:t>GMMRR</w:t>
      </w:r>
      <w:r w:rsidR="00666E32" w:rsidRPr="000556EE">
        <w:rPr>
          <w:rFonts w:ascii="Arial" w:hAnsi="Arial" w:cs="Arial"/>
          <w:sz w:val="22"/>
          <w:szCs w:val="22"/>
        </w:rPr>
        <w:t>)</w:t>
      </w:r>
      <w:r w:rsidR="000303DC">
        <w:rPr>
          <w:rFonts w:ascii="Arial" w:hAnsi="Arial" w:cs="Arial"/>
          <w:sz w:val="22"/>
          <w:szCs w:val="22"/>
        </w:rPr>
        <w:t>]</w:t>
      </w:r>
      <w:r w:rsidR="008B74FA" w:rsidRPr="000556EE">
        <w:rPr>
          <w:rFonts w:ascii="Arial" w:hAnsi="Arial" w:cs="Arial"/>
          <w:sz w:val="22"/>
          <w:szCs w:val="22"/>
        </w:rPr>
        <w:t xml:space="preserve"> remittances. </w:t>
      </w:r>
      <w:r w:rsidR="0065111A" w:rsidRPr="000556EE">
        <w:rPr>
          <w:rFonts w:ascii="Arial" w:hAnsi="Arial" w:cs="Arial"/>
          <w:sz w:val="22"/>
          <w:szCs w:val="22"/>
        </w:rPr>
        <w:t xml:space="preserve">In </w:t>
      </w:r>
      <w:r w:rsidR="0065111A" w:rsidRPr="000556EE">
        <w:rPr>
          <w:rFonts w:ascii="Arial" w:hAnsi="Arial" w:cs="Arial"/>
          <w:sz w:val="22"/>
          <w:szCs w:val="22"/>
        </w:rPr>
        <w:lastRenderedPageBreak/>
        <w:t xml:space="preserve">addition, </w:t>
      </w:r>
      <w:r w:rsidR="008B74FA" w:rsidRPr="000556EE">
        <w:rPr>
          <w:rFonts w:ascii="Arial" w:hAnsi="Arial" w:cs="Arial"/>
          <w:sz w:val="22"/>
          <w:szCs w:val="22"/>
        </w:rPr>
        <w:t xml:space="preserve">the Department and </w:t>
      </w:r>
      <w:r w:rsidR="0065111A" w:rsidRPr="000556EE">
        <w:rPr>
          <w:rFonts w:ascii="Arial" w:hAnsi="Arial" w:cs="Arial"/>
          <w:sz w:val="22"/>
          <w:szCs w:val="22"/>
        </w:rPr>
        <w:t>Branch Managers were likewise directed to endorse to the Legal Department cases of ASAs</w:t>
      </w:r>
      <w:r w:rsidR="00B94D5F" w:rsidRPr="000556EE">
        <w:rPr>
          <w:rFonts w:ascii="Arial" w:hAnsi="Arial" w:cs="Arial"/>
          <w:sz w:val="22"/>
          <w:szCs w:val="22"/>
        </w:rPr>
        <w:t xml:space="preserve"> </w:t>
      </w:r>
      <w:r w:rsidR="0065111A" w:rsidRPr="000556EE">
        <w:rPr>
          <w:rFonts w:ascii="Arial" w:hAnsi="Arial" w:cs="Arial"/>
          <w:sz w:val="22"/>
          <w:szCs w:val="22"/>
        </w:rPr>
        <w:t>who failed to settle their obligation within the prescribed period.</w:t>
      </w:r>
      <w:r w:rsidRPr="000556EE">
        <w:rPr>
          <w:rFonts w:ascii="Arial" w:hAnsi="Arial" w:cs="Arial"/>
          <w:sz w:val="22"/>
          <w:szCs w:val="22"/>
        </w:rPr>
        <w:t xml:space="preserve"> </w:t>
      </w:r>
    </w:p>
    <w:p w:rsidR="00432DA9" w:rsidRDefault="00432DA9">
      <w:pPr>
        <w:rPr>
          <w:rFonts w:ascii="Arial" w:eastAsia="Calibri" w:hAnsi="Arial" w:cs="Arial"/>
          <w:b/>
        </w:rPr>
      </w:pPr>
    </w:p>
    <w:p w:rsidR="00E97C2B" w:rsidRPr="000303DC" w:rsidRDefault="00E97C2B" w:rsidP="00DA78B4">
      <w:pPr>
        <w:pStyle w:val="NoSpacing"/>
        <w:numPr>
          <w:ilvl w:val="0"/>
          <w:numId w:val="21"/>
        </w:numPr>
        <w:ind w:left="720" w:hanging="720"/>
        <w:jc w:val="both"/>
        <w:rPr>
          <w:rFonts w:ascii="Arial" w:hAnsi="Arial" w:cs="Arial"/>
          <w:b/>
        </w:rPr>
      </w:pPr>
      <w:r w:rsidRPr="000303DC">
        <w:rPr>
          <w:rFonts w:ascii="Arial" w:hAnsi="Arial" w:cs="Arial"/>
          <w:b/>
        </w:rPr>
        <w:t xml:space="preserve">Unremitted shortfalls in the PMRR as of December 31, 2018 </w:t>
      </w:r>
      <w:r w:rsidR="00745EA1" w:rsidRPr="000303DC">
        <w:rPr>
          <w:rFonts w:ascii="Arial" w:hAnsi="Arial" w:cs="Arial"/>
          <w:b/>
        </w:rPr>
        <w:t>were</w:t>
      </w:r>
      <w:r w:rsidRPr="000303DC">
        <w:rPr>
          <w:rFonts w:ascii="Arial" w:hAnsi="Arial" w:cs="Arial"/>
          <w:b/>
        </w:rPr>
        <w:t xml:space="preserve"> reduced by a total amount of P1</w:t>
      </w:r>
      <w:r w:rsidR="00B367AB" w:rsidRPr="000303DC">
        <w:rPr>
          <w:rFonts w:ascii="Arial" w:hAnsi="Arial" w:cs="Arial"/>
          <w:b/>
        </w:rPr>
        <w:t>.</w:t>
      </w:r>
      <w:r w:rsidRPr="000303DC">
        <w:rPr>
          <w:rFonts w:ascii="Arial" w:hAnsi="Arial" w:cs="Arial"/>
          <w:b/>
        </w:rPr>
        <w:t>427</w:t>
      </w:r>
      <w:r w:rsidR="00B367AB" w:rsidRPr="000303DC">
        <w:rPr>
          <w:rFonts w:ascii="Arial" w:hAnsi="Arial" w:cs="Arial"/>
          <w:b/>
        </w:rPr>
        <w:t xml:space="preserve"> billion</w:t>
      </w:r>
      <w:r w:rsidR="00E27CD4" w:rsidRPr="000303DC">
        <w:rPr>
          <w:rFonts w:ascii="Arial" w:hAnsi="Arial" w:cs="Arial"/>
          <w:b/>
        </w:rPr>
        <w:t xml:space="preserve"> due to</w:t>
      </w:r>
      <w:r w:rsidR="00430F66">
        <w:rPr>
          <w:rFonts w:ascii="Arial" w:hAnsi="Arial" w:cs="Arial"/>
          <w:b/>
        </w:rPr>
        <w:t>:</w:t>
      </w:r>
      <w:r w:rsidR="00E27CD4" w:rsidRPr="000303DC">
        <w:rPr>
          <w:rFonts w:ascii="Arial" w:hAnsi="Arial" w:cs="Arial"/>
          <w:b/>
        </w:rPr>
        <w:t xml:space="preserve"> (a) </w:t>
      </w:r>
      <w:r w:rsidR="00430F66">
        <w:rPr>
          <w:rFonts w:ascii="Arial" w:hAnsi="Arial" w:cs="Arial"/>
          <w:b/>
        </w:rPr>
        <w:t>w</w:t>
      </w:r>
      <w:r w:rsidR="00E27CD4" w:rsidRPr="000303DC">
        <w:rPr>
          <w:rFonts w:ascii="Arial" w:hAnsi="Arial" w:cs="Arial"/>
          <w:b/>
        </w:rPr>
        <w:t>aived PMRR shortfall</w:t>
      </w:r>
      <w:r w:rsidR="00B367AB" w:rsidRPr="000303DC">
        <w:rPr>
          <w:rFonts w:ascii="Arial" w:hAnsi="Arial" w:cs="Arial"/>
          <w:b/>
        </w:rPr>
        <w:t>s due to PCSO amounting to P665.</w:t>
      </w:r>
      <w:r w:rsidR="00E27CD4" w:rsidRPr="000303DC">
        <w:rPr>
          <w:rFonts w:ascii="Arial" w:hAnsi="Arial" w:cs="Arial"/>
          <w:b/>
        </w:rPr>
        <w:t>200</w:t>
      </w:r>
      <w:r w:rsidR="00B367AB" w:rsidRPr="000303DC">
        <w:rPr>
          <w:rFonts w:ascii="Arial" w:hAnsi="Arial" w:cs="Arial"/>
          <w:b/>
        </w:rPr>
        <w:t xml:space="preserve"> million</w:t>
      </w:r>
      <w:r w:rsidR="00430F66">
        <w:rPr>
          <w:rFonts w:ascii="Arial" w:hAnsi="Arial" w:cs="Arial"/>
          <w:b/>
        </w:rPr>
        <w:t xml:space="preserve"> based on various Board Resolutions;</w:t>
      </w:r>
      <w:r w:rsidR="00E27CD4" w:rsidRPr="000303DC">
        <w:rPr>
          <w:rFonts w:ascii="Arial" w:hAnsi="Arial" w:cs="Arial"/>
          <w:b/>
        </w:rPr>
        <w:t xml:space="preserve"> and (b) reduced PMRR as a result of implementation of Board Resolution No. 401</w:t>
      </w:r>
      <w:r w:rsidR="00430F66">
        <w:rPr>
          <w:rFonts w:ascii="Arial" w:hAnsi="Arial" w:cs="Arial"/>
          <w:b/>
        </w:rPr>
        <w:t>,</w:t>
      </w:r>
      <w:r w:rsidR="00E27CD4" w:rsidRPr="000303DC">
        <w:rPr>
          <w:rFonts w:ascii="Arial" w:hAnsi="Arial" w:cs="Arial"/>
          <w:b/>
        </w:rPr>
        <w:t xml:space="preserve"> series 2018 in the amount of P761.909 million</w:t>
      </w:r>
      <w:r w:rsidR="009F68DB" w:rsidRPr="000303DC">
        <w:rPr>
          <w:rFonts w:ascii="Arial" w:hAnsi="Arial" w:cs="Arial"/>
          <w:b/>
        </w:rPr>
        <w:t>.</w:t>
      </w:r>
    </w:p>
    <w:p w:rsidR="009F68DB" w:rsidRPr="00EF4855" w:rsidRDefault="009F68DB" w:rsidP="004C39E3">
      <w:pPr>
        <w:pStyle w:val="ListParagraph"/>
        <w:suppressAutoHyphens/>
        <w:ind w:left="1440"/>
        <w:jc w:val="both"/>
        <w:rPr>
          <w:rFonts w:ascii="Arial" w:hAnsi="Arial" w:cs="Arial"/>
          <w:sz w:val="22"/>
          <w:szCs w:val="22"/>
        </w:rPr>
      </w:pPr>
    </w:p>
    <w:p w:rsidR="009F68DB" w:rsidRPr="00EF4855" w:rsidRDefault="008B74FA" w:rsidP="00DA78B4">
      <w:pPr>
        <w:pStyle w:val="ListParagraph"/>
        <w:numPr>
          <w:ilvl w:val="1"/>
          <w:numId w:val="21"/>
        </w:numPr>
        <w:ind w:left="1440"/>
        <w:jc w:val="both"/>
        <w:rPr>
          <w:rFonts w:ascii="Arial" w:hAnsi="Arial" w:cs="Arial"/>
          <w:sz w:val="22"/>
          <w:szCs w:val="22"/>
        </w:rPr>
      </w:pPr>
      <w:r>
        <w:rPr>
          <w:rFonts w:ascii="Arial" w:hAnsi="Arial" w:cs="Arial"/>
          <w:sz w:val="22"/>
          <w:szCs w:val="22"/>
        </w:rPr>
        <w:t xml:space="preserve">Verification </w:t>
      </w:r>
      <w:r w:rsidR="008A49F4" w:rsidRPr="00EF4855">
        <w:rPr>
          <w:rFonts w:ascii="Arial" w:hAnsi="Arial" w:cs="Arial"/>
          <w:sz w:val="22"/>
          <w:szCs w:val="22"/>
        </w:rPr>
        <w:t>of</w:t>
      </w:r>
      <w:r>
        <w:rPr>
          <w:rFonts w:ascii="Arial" w:hAnsi="Arial" w:cs="Arial"/>
          <w:sz w:val="22"/>
          <w:szCs w:val="22"/>
        </w:rPr>
        <w:t xml:space="preserve"> the </w:t>
      </w:r>
      <w:r w:rsidR="008A49F4" w:rsidRPr="00EF4855">
        <w:rPr>
          <w:rFonts w:ascii="Arial" w:hAnsi="Arial" w:cs="Arial"/>
          <w:sz w:val="22"/>
          <w:szCs w:val="22"/>
        </w:rPr>
        <w:t>reports furnished by the Branch Operations Sector</w:t>
      </w:r>
      <w:r w:rsidR="00B04106" w:rsidRPr="00EF4855">
        <w:rPr>
          <w:rFonts w:ascii="Arial" w:hAnsi="Arial" w:cs="Arial"/>
          <w:sz w:val="22"/>
          <w:szCs w:val="22"/>
        </w:rPr>
        <w:t xml:space="preserve"> disclosed </w:t>
      </w:r>
      <w:r w:rsidR="00C44FBB" w:rsidRPr="00EF4855">
        <w:rPr>
          <w:rFonts w:ascii="Arial" w:hAnsi="Arial" w:cs="Arial"/>
          <w:sz w:val="22"/>
          <w:szCs w:val="22"/>
        </w:rPr>
        <w:t xml:space="preserve">that the unremitted shortfalls in the PMRR </w:t>
      </w:r>
      <w:r w:rsidR="00894792">
        <w:rPr>
          <w:rFonts w:ascii="Arial" w:hAnsi="Arial" w:cs="Arial"/>
          <w:sz w:val="22"/>
          <w:szCs w:val="22"/>
        </w:rPr>
        <w:t xml:space="preserve">for CY 2018 </w:t>
      </w:r>
      <w:r w:rsidR="00C44FBB" w:rsidRPr="00EF4855">
        <w:rPr>
          <w:rFonts w:ascii="Arial" w:hAnsi="Arial" w:cs="Arial"/>
          <w:sz w:val="22"/>
          <w:szCs w:val="22"/>
        </w:rPr>
        <w:t>was reduced by P1</w:t>
      </w:r>
      <w:r w:rsidR="00B367AB" w:rsidRPr="00EF4855">
        <w:rPr>
          <w:rFonts w:ascii="Arial" w:hAnsi="Arial" w:cs="Arial"/>
          <w:sz w:val="22"/>
          <w:szCs w:val="22"/>
        </w:rPr>
        <w:t>.</w:t>
      </w:r>
      <w:r w:rsidR="00C44FBB" w:rsidRPr="00EF4855">
        <w:rPr>
          <w:rFonts w:ascii="Arial" w:hAnsi="Arial" w:cs="Arial"/>
          <w:sz w:val="22"/>
          <w:szCs w:val="22"/>
        </w:rPr>
        <w:t>427</w:t>
      </w:r>
      <w:r w:rsidR="00B367AB" w:rsidRPr="00EF4855">
        <w:rPr>
          <w:rFonts w:ascii="Arial" w:hAnsi="Arial" w:cs="Arial"/>
          <w:sz w:val="22"/>
          <w:szCs w:val="22"/>
        </w:rPr>
        <w:t xml:space="preserve"> billion</w:t>
      </w:r>
      <w:r w:rsidR="00C44FBB" w:rsidRPr="00EF4855">
        <w:rPr>
          <w:rFonts w:ascii="Arial" w:hAnsi="Arial" w:cs="Arial"/>
          <w:sz w:val="22"/>
          <w:szCs w:val="22"/>
        </w:rPr>
        <w:t xml:space="preserve"> as discussed below.</w:t>
      </w:r>
      <w:r w:rsidR="00B04106" w:rsidRPr="00EF4855">
        <w:rPr>
          <w:rFonts w:ascii="Arial" w:hAnsi="Arial" w:cs="Arial"/>
          <w:sz w:val="22"/>
          <w:szCs w:val="22"/>
        </w:rPr>
        <w:t xml:space="preserve">  </w:t>
      </w:r>
    </w:p>
    <w:p w:rsidR="00320EFC" w:rsidRPr="00EF4855" w:rsidRDefault="00320EFC" w:rsidP="004C39E3">
      <w:pPr>
        <w:pStyle w:val="ListParagraph"/>
        <w:suppressAutoHyphens/>
        <w:ind w:left="1140"/>
        <w:jc w:val="both"/>
        <w:rPr>
          <w:rFonts w:ascii="Arial" w:hAnsi="Arial" w:cs="Arial"/>
          <w:sz w:val="22"/>
          <w:szCs w:val="22"/>
        </w:rPr>
      </w:pPr>
    </w:p>
    <w:p w:rsidR="0072271F" w:rsidRPr="004F6C55" w:rsidRDefault="0072271F" w:rsidP="00430F66">
      <w:pPr>
        <w:pStyle w:val="ListParagraph"/>
        <w:ind w:right="3600"/>
        <w:rPr>
          <w:rFonts w:ascii="Arial" w:hAnsi="Arial" w:cs="Arial"/>
          <w:i/>
          <w:sz w:val="22"/>
          <w:szCs w:val="22"/>
        </w:rPr>
      </w:pPr>
      <w:r w:rsidRPr="000C3B54">
        <w:rPr>
          <w:rFonts w:ascii="Arial" w:hAnsi="Arial" w:cs="Arial"/>
          <w:i/>
          <w:sz w:val="22"/>
          <w:szCs w:val="22"/>
        </w:rPr>
        <w:t>Waived PMRR shortfalls due to PCS</w:t>
      </w:r>
      <w:r w:rsidR="00664683" w:rsidRPr="000C3B54">
        <w:rPr>
          <w:rFonts w:ascii="Arial" w:hAnsi="Arial" w:cs="Arial"/>
          <w:i/>
          <w:sz w:val="22"/>
          <w:szCs w:val="22"/>
        </w:rPr>
        <w:t xml:space="preserve">O </w:t>
      </w:r>
      <w:r w:rsidR="00430F66">
        <w:rPr>
          <w:rFonts w:ascii="Arial" w:hAnsi="Arial" w:cs="Arial"/>
          <w:i/>
          <w:sz w:val="22"/>
          <w:szCs w:val="22"/>
        </w:rPr>
        <w:t>a</w:t>
      </w:r>
      <w:r w:rsidR="00664683" w:rsidRPr="000C3B54">
        <w:rPr>
          <w:rFonts w:ascii="Arial" w:hAnsi="Arial" w:cs="Arial"/>
          <w:i/>
          <w:sz w:val="22"/>
          <w:szCs w:val="22"/>
        </w:rPr>
        <w:t>mounting to P665</w:t>
      </w:r>
      <w:r w:rsidR="00B367AB" w:rsidRPr="000C3B54">
        <w:rPr>
          <w:rFonts w:ascii="Arial" w:hAnsi="Arial" w:cs="Arial"/>
          <w:i/>
          <w:sz w:val="22"/>
          <w:szCs w:val="22"/>
        </w:rPr>
        <w:t>.</w:t>
      </w:r>
      <w:r w:rsidR="00664683" w:rsidRPr="000C3B54">
        <w:rPr>
          <w:rFonts w:ascii="Arial" w:hAnsi="Arial" w:cs="Arial"/>
          <w:i/>
          <w:sz w:val="22"/>
          <w:szCs w:val="22"/>
        </w:rPr>
        <w:t>200</w:t>
      </w:r>
      <w:r w:rsidR="00B367AB" w:rsidRPr="000C3B54">
        <w:rPr>
          <w:rFonts w:ascii="Arial" w:hAnsi="Arial" w:cs="Arial"/>
          <w:i/>
          <w:sz w:val="22"/>
          <w:szCs w:val="22"/>
        </w:rPr>
        <w:t xml:space="preserve"> million</w:t>
      </w:r>
      <w:r w:rsidR="00664683" w:rsidRPr="004F6C55">
        <w:rPr>
          <w:rFonts w:ascii="Arial" w:hAnsi="Arial" w:cs="Arial"/>
          <w:i/>
          <w:sz w:val="22"/>
          <w:szCs w:val="22"/>
        </w:rPr>
        <w:t xml:space="preserve"> </w:t>
      </w:r>
    </w:p>
    <w:p w:rsidR="00664683" w:rsidRPr="004F6C55" w:rsidRDefault="00664683" w:rsidP="004C39E3">
      <w:pPr>
        <w:pStyle w:val="ListParagraph"/>
        <w:jc w:val="both"/>
        <w:rPr>
          <w:rFonts w:ascii="Arial" w:hAnsi="Arial" w:cs="Arial"/>
          <w:i/>
          <w:sz w:val="22"/>
          <w:szCs w:val="22"/>
        </w:rPr>
      </w:pPr>
    </w:p>
    <w:p w:rsidR="00B367AB" w:rsidRPr="00EF4855" w:rsidRDefault="00417DC7" w:rsidP="00DA78B4">
      <w:pPr>
        <w:pStyle w:val="ListParagraph"/>
        <w:numPr>
          <w:ilvl w:val="1"/>
          <w:numId w:val="21"/>
        </w:numPr>
        <w:ind w:left="1440"/>
        <w:jc w:val="both"/>
        <w:rPr>
          <w:rFonts w:ascii="Arial" w:hAnsi="Arial" w:cs="Arial"/>
          <w:sz w:val="22"/>
          <w:szCs w:val="22"/>
        </w:rPr>
      </w:pPr>
      <w:r w:rsidRPr="00EF4855">
        <w:rPr>
          <w:rFonts w:ascii="Arial" w:hAnsi="Arial" w:cs="Arial"/>
          <w:sz w:val="22"/>
          <w:szCs w:val="22"/>
        </w:rPr>
        <w:t>As provided under the</w:t>
      </w:r>
      <w:r w:rsidR="00430F66">
        <w:rPr>
          <w:rFonts w:ascii="Arial" w:hAnsi="Arial" w:cs="Arial"/>
          <w:sz w:val="22"/>
          <w:szCs w:val="22"/>
        </w:rPr>
        <w:t xml:space="preserve"> Revised</w:t>
      </w:r>
      <w:r w:rsidRPr="00EF4855">
        <w:rPr>
          <w:rFonts w:ascii="Arial" w:hAnsi="Arial" w:cs="Arial"/>
          <w:sz w:val="22"/>
          <w:szCs w:val="22"/>
        </w:rPr>
        <w:t xml:space="preserve"> IRR for the STL, each AAC shall undergo a probationary period of one year before it could be regularized upon meeting all the requirements. Verification disclosed that 64 AACs were able to fulfill the said probationary period during CY 2018 although fifty two (52) of them have unremitted PMRR shortfalls as of December 31, 2018.  Out of the 52 AACs that were delinquent in the remittances of their PMRR shortfalls, the Authorities to Operate (ATOs) of nine (9) AACs were terminated.  </w:t>
      </w:r>
    </w:p>
    <w:p w:rsidR="00B367AB" w:rsidRPr="00EF4855" w:rsidRDefault="00B367AB" w:rsidP="00B367AB">
      <w:pPr>
        <w:pStyle w:val="ListParagraph"/>
        <w:ind w:left="1296"/>
        <w:jc w:val="both"/>
        <w:rPr>
          <w:rFonts w:ascii="Arial" w:hAnsi="Arial" w:cs="Arial"/>
          <w:sz w:val="22"/>
          <w:szCs w:val="22"/>
        </w:rPr>
      </w:pPr>
    </w:p>
    <w:p w:rsidR="00417DC7" w:rsidRPr="00EF4855" w:rsidRDefault="008B74FA" w:rsidP="00DA78B4">
      <w:pPr>
        <w:pStyle w:val="ListParagraph"/>
        <w:numPr>
          <w:ilvl w:val="1"/>
          <w:numId w:val="21"/>
        </w:numPr>
        <w:ind w:left="1440"/>
        <w:jc w:val="both"/>
        <w:rPr>
          <w:rFonts w:ascii="Arial" w:hAnsi="Arial" w:cs="Arial"/>
          <w:sz w:val="22"/>
          <w:szCs w:val="22"/>
        </w:rPr>
      </w:pPr>
      <w:r>
        <w:rPr>
          <w:rFonts w:ascii="Arial" w:hAnsi="Arial" w:cs="Arial"/>
          <w:sz w:val="22"/>
          <w:szCs w:val="22"/>
        </w:rPr>
        <w:t>However</w:t>
      </w:r>
      <w:r w:rsidR="001C2E43" w:rsidRPr="00EF4855">
        <w:rPr>
          <w:rFonts w:ascii="Arial" w:hAnsi="Arial" w:cs="Arial"/>
          <w:sz w:val="22"/>
          <w:szCs w:val="22"/>
        </w:rPr>
        <w:t xml:space="preserve">, </w:t>
      </w:r>
      <w:r w:rsidR="00417DC7" w:rsidRPr="00EF4855">
        <w:rPr>
          <w:rFonts w:ascii="Arial" w:hAnsi="Arial" w:cs="Arial"/>
          <w:sz w:val="22"/>
          <w:szCs w:val="22"/>
        </w:rPr>
        <w:t>instead of revoking the ATOs of the remaining 43 delinquent AACs pursuant to Section 27 of the 2016 STL R</w:t>
      </w:r>
      <w:r w:rsidR="00430F66">
        <w:rPr>
          <w:rFonts w:ascii="Arial" w:hAnsi="Arial" w:cs="Arial"/>
          <w:sz w:val="22"/>
          <w:szCs w:val="22"/>
        </w:rPr>
        <w:t xml:space="preserve">evised </w:t>
      </w:r>
      <w:r w:rsidR="00417DC7" w:rsidRPr="00EF4855">
        <w:rPr>
          <w:rFonts w:ascii="Arial" w:hAnsi="Arial" w:cs="Arial"/>
          <w:sz w:val="22"/>
          <w:szCs w:val="22"/>
        </w:rPr>
        <w:t xml:space="preserve">IRR, </w:t>
      </w:r>
      <w:r w:rsidR="009912F7">
        <w:rPr>
          <w:rFonts w:ascii="Arial" w:hAnsi="Arial" w:cs="Arial"/>
          <w:sz w:val="22"/>
          <w:szCs w:val="22"/>
        </w:rPr>
        <w:t>Board R</w:t>
      </w:r>
      <w:r w:rsidR="00417DC7" w:rsidRPr="00EF4855">
        <w:rPr>
          <w:rFonts w:ascii="Arial" w:hAnsi="Arial" w:cs="Arial"/>
          <w:sz w:val="22"/>
          <w:szCs w:val="22"/>
        </w:rPr>
        <w:t xml:space="preserve">esolutions </w:t>
      </w:r>
      <w:r w:rsidR="009E6251">
        <w:rPr>
          <w:rFonts w:ascii="Arial" w:hAnsi="Arial" w:cs="Arial"/>
          <w:sz w:val="22"/>
          <w:szCs w:val="22"/>
        </w:rPr>
        <w:t>n</w:t>
      </w:r>
      <w:r w:rsidR="00B367AB" w:rsidRPr="00EF4855">
        <w:rPr>
          <w:rFonts w:ascii="Arial" w:hAnsi="Arial" w:cs="Arial"/>
          <w:sz w:val="22"/>
          <w:szCs w:val="22"/>
        </w:rPr>
        <w:t>os. 110, 127, 242 and 400 dated April 18, 2018, May 8, 2018, Au</w:t>
      </w:r>
      <w:r>
        <w:rPr>
          <w:rFonts w:ascii="Arial" w:hAnsi="Arial" w:cs="Arial"/>
          <w:sz w:val="22"/>
          <w:szCs w:val="22"/>
        </w:rPr>
        <w:t>gust 8, 2018 and Nov</w:t>
      </w:r>
      <w:r w:rsidR="009912F7">
        <w:rPr>
          <w:rFonts w:ascii="Arial" w:hAnsi="Arial" w:cs="Arial"/>
          <w:sz w:val="22"/>
          <w:szCs w:val="22"/>
        </w:rPr>
        <w:t>ember</w:t>
      </w:r>
      <w:r>
        <w:rPr>
          <w:rFonts w:ascii="Arial" w:hAnsi="Arial" w:cs="Arial"/>
          <w:sz w:val="22"/>
          <w:szCs w:val="22"/>
        </w:rPr>
        <w:t xml:space="preserve"> 22, 2018, respectively, </w:t>
      </w:r>
      <w:r w:rsidR="00417DC7" w:rsidRPr="00EF4855">
        <w:rPr>
          <w:rFonts w:ascii="Arial" w:hAnsi="Arial" w:cs="Arial"/>
          <w:sz w:val="22"/>
          <w:szCs w:val="22"/>
        </w:rPr>
        <w:t>were issued providing for certain reconsiderations to the said erring AACs</w:t>
      </w:r>
      <w:r w:rsidR="00B367AB" w:rsidRPr="00EF4855">
        <w:rPr>
          <w:rFonts w:ascii="Arial" w:hAnsi="Arial" w:cs="Arial"/>
          <w:sz w:val="22"/>
          <w:szCs w:val="22"/>
        </w:rPr>
        <w:t xml:space="preserve"> which </w:t>
      </w:r>
      <w:r w:rsidR="00B367AB" w:rsidRPr="009912F7">
        <w:rPr>
          <w:rFonts w:ascii="Arial" w:hAnsi="Arial" w:cs="Arial"/>
          <w:sz w:val="22"/>
          <w:szCs w:val="22"/>
        </w:rPr>
        <w:t xml:space="preserve">included, </w:t>
      </w:r>
      <w:r w:rsidR="00417DC7" w:rsidRPr="009912F7">
        <w:rPr>
          <w:rFonts w:ascii="Arial" w:hAnsi="Arial" w:cs="Arial"/>
          <w:sz w:val="22"/>
          <w:szCs w:val="22"/>
        </w:rPr>
        <w:t xml:space="preserve">among others, </w:t>
      </w:r>
      <w:r w:rsidR="00B367AB" w:rsidRPr="009912F7">
        <w:rPr>
          <w:rFonts w:ascii="Arial" w:hAnsi="Arial" w:cs="Arial"/>
          <w:sz w:val="22"/>
          <w:szCs w:val="22"/>
        </w:rPr>
        <w:t>w</w:t>
      </w:r>
      <w:r w:rsidR="00417DC7" w:rsidRPr="009912F7">
        <w:rPr>
          <w:rFonts w:ascii="Arial" w:hAnsi="Arial" w:cs="Arial"/>
          <w:sz w:val="22"/>
          <w:szCs w:val="22"/>
        </w:rPr>
        <w:t>aiver of their PMRR shortfall</w:t>
      </w:r>
      <w:r w:rsidR="00745EA1" w:rsidRPr="009912F7">
        <w:rPr>
          <w:rFonts w:ascii="Arial" w:hAnsi="Arial" w:cs="Arial"/>
          <w:sz w:val="22"/>
          <w:szCs w:val="22"/>
        </w:rPr>
        <w:t>s</w:t>
      </w:r>
      <w:r w:rsidR="00417DC7" w:rsidRPr="009912F7">
        <w:rPr>
          <w:rFonts w:ascii="Arial" w:hAnsi="Arial" w:cs="Arial"/>
          <w:sz w:val="22"/>
          <w:szCs w:val="22"/>
        </w:rPr>
        <w:t xml:space="preserve"> on the 1</w:t>
      </w:r>
      <w:r w:rsidR="00417DC7" w:rsidRPr="009912F7">
        <w:rPr>
          <w:rFonts w:ascii="Arial" w:hAnsi="Arial" w:cs="Arial"/>
          <w:sz w:val="22"/>
          <w:szCs w:val="22"/>
          <w:vertAlign w:val="superscript"/>
        </w:rPr>
        <w:t>st</w:t>
      </w:r>
      <w:r w:rsidR="00417DC7" w:rsidRPr="009912F7">
        <w:rPr>
          <w:rFonts w:ascii="Arial" w:hAnsi="Arial" w:cs="Arial"/>
          <w:sz w:val="22"/>
          <w:szCs w:val="22"/>
        </w:rPr>
        <w:t xml:space="preserve"> three months of operations for the computation of final amount of settlement nec</w:t>
      </w:r>
      <w:r w:rsidR="00B367AB" w:rsidRPr="009912F7">
        <w:rPr>
          <w:rFonts w:ascii="Arial" w:hAnsi="Arial" w:cs="Arial"/>
          <w:sz w:val="22"/>
          <w:szCs w:val="22"/>
        </w:rPr>
        <w:t>essary for renewal of authority.</w:t>
      </w:r>
    </w:p>
    <w:p w:rsidR="00417DC7" w:rsidRPr="00EF4855" w:rsidRDefault="00417DC7" w:rsidP="004C39E3">
      <w:pPr>
        <w:pStyle w:val="ListParagraph"/>
        <w:ind w:left="1560"/>
        <w:jc w:val="both"/>
        <w:rPr>
          <w:rFonts w:ascii="Arial" w:hAnsi="Arial" w:cs="Arial"/>
          <w:sz w:val="22"/>
          <w:szCs w:val="22"/>
        </w:rPr>
      </w:pPr>
    </w:p>
    <w:p w:rsidR="00417DC7" w:rsidRPr="009912F7" w:rsidRDefault="00700077" w:rsidP="00DA78B4">
      <w:pPr>
        <w:pStyle w:val="ListParagraph"/>
        <w:numPr>
          <w:ilvl w:val="1"/>
          <w:numId w:val="21"/>
        </w:numPr>
        <w:ind w:left="1440"/>
        <w:jc w:val="both"/>
        <w:rPr>
          <w:rFonts w:ascii="Arial" w:hAnsi="Arial" w:cs="Arial"/>
          <w:sz w:val="22"/>
          <w:szCs w:val="22"/>
        </w:rPr>
      </w:pPr>
      <w:r w:rsidRPr="009912F7">
        <w:rPr>
          <w:rFonts w:ascii="Arial" w:hAnsi="Arial" w:cs="Arial"/>
          <w:sz w:val="22"/>
          <w:szCs w:val="22"/>
        </w:rPr>
        <w:t>A</w:t>
      </w:r>
      <w:r w:rsidR="00417DC7" w:rsidRPr="009912F7">
        <w:rPr>
          <w:rFonts w:ascii="Arial" w:hAnsi="Arial" w:cs="Arial"/>
          <w:sz w:val="22"/>
          <w:szCs w:val="22"/>
        </w:rPr>
        <w:t>s a result of the above-stated waiver, the 2017 PMRR Shortfall</w:t>
      </w:r>
      <w:r w:rsidR="00745EA1" w:rsidRPr="009912F7">
        <w:rPr>
          <w:rFonts w:ascii="Arial" w:hAnsi="Arial" w:cs="Arial"/>
          <w:sz w:val="22"/>
          <w:szCs w:val="22"/>
        </w:rPr>
        <w:t>s</w:t>
      </w:r>
      <w:r w:rsidR="00417DC7" w:rsidRPr="009912F7">
        <w:rPr>
          <w:rFonts w:ascii="Arial" w:hAnsi="Arial" w:cs="Arial"/>
          <w:sz w:val="22"/>
          <w:szCs w:val="22"/>
        </w:rPr>
        <w:t xml:space="preserve"> due to PCSO in the total amount of P2</w:t>
      </w:r>
      <w:r w:rsidR="00B367AB" w:rsidRPr="009912F7">
        <w:rPr>
          <w:rFonts w:ascii="Arial" w:hAnsi="Arial" w:cs="Arial"/>
          <w:sz w:val="22"/>
          <w:szCs w:val="22"/>
        </w:rPr>
        <w:t>.</w:t>
      </w:r>
      <w:r w:rsidR="00417DC7" w:rsidRPr="009912F7">
        <w:rPr>
          <w:rFonts w:ascii="Arial" w:hAnsi="Arial" w:cs="Arial"/>
          <w:sz w:val="22"/>
          <w:szCs w:val="22"/>
        </w:rPr>
        <w:t>98</w:t>
      </w:r>
      <w:r w:rsidR="0062797D" w:rsidRPr="009912F7">
        <w:rPr>
          <w:rFonts w:ascii="Arial" w:hAnsi="Arial" w:cs="Arial"/>
          <w:sz w:val="22"/>
          <w:szCs w:val="22"/>
        </w:rPr>
        <w:t>3</w:t>
      </w:r>
      <w:r w:rsidR="00B367AB" w:rsidRPr="009912F7">
        <w:rPr>
          <w:rFonts w:ascii="Arial" w:hAnsi="Arial" w:cs="Arial"/>
          <w:sz w:val="22"/>
          <w:szCs w:val="22"/>
        </w:rPr>
        <w:t xml:space="preserve"> billion</w:t>
      </w:r>
      <w:r w:rsidR="00417DC7" w:rsidRPr="009912F7">
        <w:rPr>
          <w:rFonts w:ascii="Arial" w:hAnsi="Arial" w:cs="Arial"/>
          <w:sz w:val="22"/>
          <w:szCs w:val="22"/>
        </w:rPr>
        <w:t xml:space="preserve"> was decreased</w:t>
      </w:r>
      <w:r w:rsidR="009C7A32" w:rsidRPr="009912F7">
        <w:rPr>
          <w:rFonts w:ascii="Arial" w:hAnsi="Arial" w:cs="Arial"/>
          <w:sz w:val="22"/>
          <w:szCs w:val="22"/>
        </w:rPr>
        <w:t>/reduced</w:t>
      </w:r>
      <w:r w:rsidR="00417DC7" w:rsidRPr="009912F7">
        <w:rPr>
          <w:rFonts w:ascii="Arial" w:hAnsi="Arial" w:cs="Arial"/>
          <w:sz w:val="22"/>
          <w:szCs w:val="22"/>
        </w:rPr>
        <w:t xml:space="preserve"> to P2</w:t>
      </w:r>
      <w:r w:rsidR="00B367AB" w:rsidRPr="009912F7">
        <w:rPr>
          <w:rFonts w:ascii="Arial" w:hAnsi="Arial" w:cs="Arial"/>
          <w:sz w:val="22"/>
          <w:szCs w:val="22"/>
        </w:rPr>
        <w:t>.</w:t>
      </w:r>
      <w:r w:rsidR="00417DC7" w:rsidRPr="009912F7">
        <w:rPr>
          <w:rFonts w:ascii="Arial" w:hAnsi="Arial" w:cs="Arial"/>
          <w:sz w:val="22"/>
          <w:szCs w:val="22"/>
        </w:rPr>
        <w:t>31</w:t>
      </w:r>
      <w:r w:rsidR="00806D17" w:rsidRPr="009912F7">
        <w:rPr>
          <w:rFonts w:ascii="Arial" w:hAnsi="Arial" w:cs="Arial"/>
          <w:sz w:val="22"/>
          <w:szCs w:val="22"/>
        </w:rPr>
        <w:t>8</w:t>
      </w:r>
      <w:r w:rsidR="00B367AB" w:rsidRPr="009912F7">
        <w:rPr>
          <w:rFonts w:ascii="Arial" w:hAnsi="Arial" w:cs="Arial"/>
          <w:sz w:val="22"/>
          <w:szCs w:val="22"/>
        </w:rPr>
        <w:t xml:space="preserve"> billion</w:t>
      </w:r>
      <w:r w:rsidR="00417DC7" w:rsidRPr="009912F7">
        <w:rPr>
          <w:rFonts w:ascii="Arial" w:hAnsi="Arial" w:cs="Arial"/>
          <w:sz w:val="22"/>
          <w:szCs w:val="22"/>
        </w:rPr>
        <w:t>, or a reduction of P665</w:t>
      </w:r>
      <w:r w:rsidR="00B367AB" w:rsidRPr="009912F7">
        <w:rPr>
          <w:rFonts w:ascii="Arial" w:hAnsi="Arial" w:cs="Arial"/>
          <w:sz w:val="22"/>
          <w:szCs w:val="22"/>
        </w:rPr>
        <w:t>.</w:t>
      </w:r>
      <w:r w:rsidR="00417DC7" w:rsidRPr="009912F7">
        <w:rPr>
          <w:rFonts w:ascii="Arial" w:hAnsi="Arial" w:cs="Arial"/>
          <w:sz w:val="22"/>
          <w:szCs w:val="22"/>
        </w:rPr>
        <w:t>200</w:t>
      </w:r>
      <w:r w:rsidR="00745EA1" w:rsidRPr="009912F7">
        <w:rPr>
          <w:rFonts w:ascii="Arial" w:hAnsi="Arial" w:cs="Arial"/>
          <w:sz w:val="22"/>
          <w:szCs w:val="22"/>
        </w:rPr>
        <w:t xml:space="preserve"> million</w:t>
      </w:r>
      <w:r w:rsidR="00417DC7" w:rsidRPr="009912F7">
        <w:rPr>
          <w:rFonts w:ascii="Arial" w:hAnsi="Arial" w:cs="Arial"/>
          <w:sz w:val="22"/>
          <w:szCs w:val="22"/>
        </w:rPr>
        <w:t>, which could have gone a long way in funding the various ch</w:t>
      </w:r>
      <w:r w:rsidR="008B74FA" w:rsidRPr="009912F7">
        <w:rPr>
          <w:rFonts w:ascii="Arial" w:hAnsi="Arial" w:cs="Arial"/>
          <w:sz w:val="22"/>
          <w:szCs w:val="22"/>
        </w:rPr>
        <w:t xml:space="preserve">aritable programs of the PCSO. </w:t>
      </w:r>
      <w:r w:rsidR="00417DC7" w:rsidRPr="009912F7">
        <w:rPr>
          <w:rFonts w:ascii="Arial" w:hAnsi="Arial" w:cs="Arial"/>
          <w:sz w:val="22"/>
          <w:szCs w:val="22"/>
        </w:rPr>
        <w:t>Moreover, two (2) AACs with waived shortfalls were granted with extension even though they did not issue the required post-dated checks, which was a clear disregard</w:t>
      </w:r>
      <w:r w:rsidR="00F10A8E">
        <w:rPr>
          <w:rFonts w:ascii="Arial" w:hAnsi="Arial" w:cs="Arial"/>
          <w:sz w:val="22"/>
          <w:szCs w:val="22"/>
        </w:rPr>
        <w:t xml:space="preserve"> or violation</w:t>
      </w:r>
      <w:r w:rsidR="00417DC7" w:rsidRPr="009912F7">
        <w:rPr>
          <w:rFonts w:ascii="Arial" w:hAnsi="Arial" w:cs="Arial"/>
          <w:sz w:val="22"/>
          <w:szCs w:val="22"/>
        </w:rPr>
        <w:t xml:space="preserve"> of existing guidelines.</w:t>
      </w:r>
    </w:p>
    <w:p w:rsidR="00240E12" w:rsidRPr="00EF4855" w:rsidRDefault="00240E12" w:rsidP="004C39E3">
      <w:pPr>
        <w:pStyle w:val="ListParagraph"/>
        <w:ind w:left="1296"/>
        <w:jc w:val="both"/>
        <w:rPr>
          <w:rFonts w:ascii="Arial" w:hAnsi="Arial" w:cs="Arial"/>
          <w:sz w:val="22"/>
          <w:szCs w:val="22"/>
        </w:rPr>
      </w:pPr>
    </w:p>
    <w:p w:rsidR="006E32F4" w:rsidRPr="00EF4855" w:rsidRDefault="00417DC7" w:rsidP="00DA78B4">
      <w:pPr>
        <w:pStyle w:val="ListParagraph"/>
        <w:numPr>
          <w:ilvl w:val="1"/>
          <w:numId w:val="21"/>
        </w:numPr>
        <w:ind w:left="1440"/>
        <w:jc w:val="both"/>
        <w:rPr>
          <w:rFonts w:ascii="Arial" w:hAnsi="Arial" w:cs="Arial"/>
          <w:sz w:val="22"/>
          <w:szCs w:val="22"/>
        </w:rPr>
      </w:pPr>
      <w:r w:rsidRPr="00EF4855">
        <w:rPr>
          <w:rFonts w:ascii="Arial" w:hAnsi="Arial" w:cs="Arial"/>
          <w:sz w:val="22"/>
          <w:szCs w:val="22"/>
        </w:rPr>
        <w:t>Man</w:t>
      </w:r>
      <w:r w:rsidR="008B74FA">
        <w:rPr>
          <w:rFonts w:ascii="Arial" w:hAnsi="Arial" w:cs="Arial"/>
          <w:sz w:val="22"/>
          <w:szCs w:val="22"/>
        </w:rPr>
        <w:t xml:space="preserve">agement informed </w:t>
      </w:r>
      <w:r w:rsidRPr="00EF4855">
        <w:rPr>
          <w:rFonts w:ascii="Arial" w:hAnsi="Arial" w:cs="Arial"/>
          <w:sz w:val="22"/>
          <w:szCs w:val="22"/>
        </w:rPr>
        <w:t>that they decided to waive the subject PMRR shortfalls considering that the concerned AACs were new in the area and have difficulties in penetrating its market due to existence of illegal gambling, opposition of local government leaders and other factors beyond the cont</w:t>
      </w:r>
      <w:r w:rsidR="00D17720">
        <w:rPr>
          <w:rFonts w:ascii="Arial" w:hAnsi="Arial" w:cs="Arial"/>
          <w:sz w:val="22"/>
          <w:szCs w:val="22"/>
        </w:rPr>
        <w:t xml:space="preserve">rol by the AACs and PCSO itself. We noted, though, that the said </w:t>
      </w:r>
      <w:r w:rsidRPr="00EF4855">
        <w:rPr>
          <w:rFonts w:ascii="Arial" w:hAnsi="Arial" w:cs="Arial"/>
          <w:sz w:val="22"/>
          <w:szCs w:val="22"/>
        </w:rPr>
        <w:t xml:space="preserve">considerations were not </w:t>
      </w:r>
      <w:r w:rsidR="00D17720">
        <w:rPr>
          <w:rFonts w:ascii="Arial" w:hAnsi="Arial" w:cs="Arial"/>
          <w:sz w:val="22"/>
          <w:szCs w:val="22"/>
        </w:rPr>
        <w:t xml:space="preserve">embodied </w:t>
      </w:r>
      <w:r w:rsidRPr="00EF4855">
        <w:rPr>
          <w:rFonts w:ascii="Arial" w:hAnsi="Arial" w:cs="Arial"/>
          <w:sz w:val="22"/>
          <w:szCs w:val="22"/>
        </w:rPr>
        <w:t xml:space="preserve">in the </w:t>
      </w:r>
      <w:r w:rsidR="00D17720">
        <w:rPr>
          <w:rFonts w:ascii="Arial" w:hAnsi="Arial" w:cs="Arial"/>
          <w:sz w:val="22"/>
          <w:szCs w:val="22"/>
        </w:rPr>
        <w:t xml:space="preserve">subject board resolutions as justifications for the </w:t>
      </w:r>
      <w:r w:rsidRPr="00EF4855">
        <w:rPr>
          <w:rFonts w:ascii="Arial" w:hAnsi="Arial" w:cs="Arial"/>
          <w:sz w:val="22"/>
          <w:szCs w:val="22"/>
        </w:rPr>
        <w:t xml:space="preserve">waiver.  </w:t>
      </w:r>
    </w:p>
    <w:p w:rsidR="006E32F4" w:rsidRPr="00EF4855" w:rsidRDefault="006E32F4" w:rsidP="004C39E3">
      <w:pPr>
        <w:pStyle w:val="ListParagraph"/>
        <w:ind w:left="1296"/>
        <w:jc w:val="both"/>
        <w:rPr>
          <w:rFonts w:ascii="Arial" w:hAnsi="Arial" w:cs="Arial"/>
          <w:sz w:val="22"/>
          <w:szCs w:val="22"/>
        </w:rPr>
      </w:pPr>
    </w:p>
    <w:p w:rsidR="00417DC7" w:rsidRPr="00EF4855" w:rsidRDefault="00D17720" w:rsidP="00DA78B4">
      <w:pPr>
        <w:pStyle w:val="ListParagraph"/>
        <w:numPr>
          <w:ilvl w:val="1"/>
          <w:numId w:val="21"/>
        </w:numPr>
        <w:ind w:left="1440"/>
        <w:jc w:val="both"/>
        <w:rPr>
          <w:rFonts w:ascii="Arial" w:hAnsi="Arial" w:cs="Arial"/>
          <w:sz w:val="22"/>
          <w:szCs w:val="22"/>
        </w:rPr>
      </w:pPr>
      <w:r>
        <w:rPr>
          <w:rFonts w:ascii="Arial" w:hAnsi="Arial" w:cs="Arial"/>
          <w:sz w:val="22"/>
          <w:szCs w:val="22"/>
        </w:rPr>
        <w:t>T</w:t>
      </w:r>
      <w:r w:rsidR="00417DC7" w:rsidRPr="00EF4855">
        <w:rPr>
          <w:rFonts w:ascii="Arial" w:hAnsi="Arial" w:cs="Arial"/>
          <w:sz w:val="22"/>
          <w:szCs w:val="22"/>
        </w:rPr>
        <w:t>he subject AACs submitted a feasibility study and retail receipt proposal as basis for their respective PMRRs, for evaluation by PCSO. These requirements were supposed to be based on study of existence of number games in the area, financial statistics, and other pertinent factors. Hence, said</w:t>
      </w:r>
      <w:r>
        <w:rPr>
          <w:rFonts w:ascii="Arial" w:hAnsi="Arial" w:cs="Arial"/>
          <w:sz w:val="22"/>
          <w:szCs w:val="22"/>
        </w:rPr>
        <w:t xml:space="preserve"> AACs had already determined their capabilities</w:t>
      </w:r>
      <w:r w:rsidR="00417DC7" w:rsidRPr="00EF4855">
        <w:rPr>
          <w:rFonts w:ascii="Arial" w:hAnsi="Arial" w:cs="Arial"/>
          <w:sz w:val="22"/>
          <w:szCs w:val="22"/>
        </w:rPr>
        <w:t xml:space="preserve"> to generate such amount of sales at the time of their applications. </w:t>
      </w:r>
    </w:p>
    <w:p w:rsidR="007B6562" w:rsidRPr="00EF4855" w:rsidRDefault="007B6562" w:rsidP="004C39E3">
      <w:pPr>
        <w:spacing w:after="0" w:line="240" w:lineRule="auto"/>
        <w:ind w:firstLine="567"/>
        <w:jc w:val="both"/>
        <w:rPr>
          <w:rFonts w:ascii="Arial" w:hAnsi="Arial" w:cs="Arial"/>
        </w:rPr>
      </w:pPr>
    </w:p>
    <w:p w:rsidR="00417DC7" w:rsidRPr="00EF4855" w:rsidRDefault="00417DC7" w:rsidP="00DA78B4">
      <w:pPr>
        <w:pStyle w:val="ListParagraph"/>
        <w:numPr>
          <w:ilvl w:val="1"/>
          <w:numId w:val="21"/>
        </w:numPr>
        <w:ind w:left="1440"/>
        <w:jc w:val="both"/>
        <w:rPr>
          <w:rFonts w:ascii="Arial" w:hAnsi="Arial" w:cs="Arial"/>
          <w:sz w:val="22"/>
          <w:szCs w:val="22"/>
        </w:rPr>
      </w:pPr>
      <w:r w:rsidRPr="00EF4855">
        <w:rPr>
          <w:rFonts w:ascii="Arial" w:hAnsi="Arial" w:cs="Arial"/>
          <w:sz w:val="22"/>
          <w:szCs w:val="22"/>
        </w:rPr>
        <w:t>In addition, all AACs have the contractual obligation to remit what is due to PCSO by virtue of the STL Agency Agreement executed between them, which covers compliance with the agreed PMRR.  No</w:t>
      </w:r>
      <w:r w:rsidR="00A705FF">
        <w:rPr>
          <w:rFonts w:ascii="Arial" w:hAnsi="Arial" w:cs="Arial"/>
          <w:sz w:val="22"/>
          <w:szCs w:val="22"/>
        </w:rPr>
        <w:t xml:space="preserve"> </w:t>
      </w:r>
      <w:r w:rsidRPr="00EF4855">
        <w:rPr>
          <w:rFonts w:ascii="Arial" w:hAnsi="Arial" w:cs="Arial"/>
          <w:sz w:val="22"/>
          <w:szCs w:val="22"/>
        </w:rPr>
        <w:t>where can you find any provision in the said agreement nor in the STL R</w:t>
      </w:r>
      <w:r w:rsidR="00A705FF">
        <w:rPr>
          <w:rFonts w:ascii="Arial" w:hAnsi="Arial" w:cs="Arial"/>
          <w:sz w:val="22"/>
          <w:szCs w:val="22"/>
        </w:rPr>
        <w:t xml:space="preserve">evised </w:t>
      </w:r>
      <w:r w:rsidRPr="00EF4855">
        <w:rPr>
          <w:rFonts w:ascii="Arial" w:hAnsi="Arial" w:cs="Arial"/>
          <w:sz w:val="22"/>
          <w:szCs w:val="22"/>
        </w:rPr>
        <w:t xml:space="preserve">IRR that the agreed amount of PMRR may be changed during the effectivity of the STL Agency Agreement. Only in cases of renewal thereof that the AAC may request from and submit to the </w:t>
      </w:r>
      <w:r w:rsidR="00A705FF">
        <w:rPr>
          <w:rFonts w:ascii="Arial" w:hAnsi="Arial" w:cs="Arial"/>
          <w:sz w:val="22"/>
          <w:szCs w:val="22"/>
        </w:rPr>
        <w:t>PCSO STL Monitoring Group (</w:t>
      </w:r>
      <w:r w:rsidRPr="00EF4855">
        <w:rPr>
          <w:rFonts w:ascii="Arial" w:hAnsi="Arial" w:cs="Arial"/>
          <w:sz w:val="22"/>
          <w:szCs w:val="22"/>
        </w:rPr>
        <w:t>SMG</w:t>
      </w:r>
      <w:r w:rsidR="00A705FF">
        <w:rPr>
          <w:rFonts w:ascii="Arial" w:hAnsi="Arial" w:cs="Arial"/>
          <w:sz w:val="22"/>
          <w:szCs w:val="22"/>
        </w:rPr>
        <w:t>)</w:t>
      </w:r>
      <w:r w:rsidRPr="00EF4855">
        <w:rPr>
          <w:rFonts w:ascii="Arial" w:hAnsi="Arial" w:cs="Arial"/>
          <w:sz w:val="22"/>
          <w:szCs w:val="22"/>
        </w:rPr>
        <w:t xml:space="preserve"> a new PMRR proposal pursuant to Section 37 of the 2016 STL R</w:t>
      </w:r>
      <w:r w:rsidR="00A705FF">
        <w:rPr>
          <w:rFonts w:ascii="Arial" w:hAnsi="Arial" w:cs="Arial"/>
          <w:sz w:val="22"/>
          <w:szCs w:val="22"/>
        </w:rPr>
        <w:t xml:space="preserve">evised </w:t>
      </w:r>
      <w:r w:rsidRPr="00EF4855">
        <w:rPr>
          <w:rFonts w:ascii="Arial" w:hAnsi="Arial" w:cs="Arial"/>
          <w:sz w:val="22"/>
          <w:szCs w:val="22"/>
        </w:rPr>
        <w:t>IRR.</w:t>
      </w:r>
    </w:p>
    <w:p w:rsidR="007B6562" w:rsidRPr="00EF4855" w:rsidRDefault="007B6562" w:rsidP="004C39E3">
      <w:pPr>
        <w:pStyle w:val="ListParagraph"/>
        <w:ind w:left="1296"/>
        <w:jc w:val="both"/>
        <w:rPr>
          <w:rFonts w:ascii="Arial" w:hAnsi="Arial" w:cs="Arial"/>
          <w:sz w:val="22"/>
          <w:szCs w:val="22"/>
        </w:rPr>
      </w:pPr>
    </w:p>
    <w:p w:rsidR="00417DC7" w:rsidRPr="00A705FF" w:rsidRDefault="00417DC7" w:rsidP="00DA78B4">
      <w:pPr>
        <w:pStyle w:val="ListParagraph"/>
        <w:numPr>
          <w:ilvl w:val="1"/>
          <w:numId w:val="21"/>
        </w:numPr>
        <w:ind w:left="1440"/>
        <w:jc w:val="both"/>
        <w:rPr>
          <w:rFonts w:ascii="Arial" w:hAnsi="Arial" w:cs="Arial"/>
          <w:color w:val="000000" w:themeColor="text1"/>
          <w:sz w:val="22"/>
          <w:szCs w:val="22"/>
        </w:rPr>
      </w:pPr>
      <w:r w:rsidRPr="00A705FF">
        <w:rPr>
          <w:rFonts w:ascii="Arial" w:hAnsi="Arial" w:cs="Arial"/>
          <w:color w:val="000000" w:themeColor="text1"/>
          <w:sz w:val="22"/>
          <w:szCs w:val="22"/>
        </w:rPr>
        <w:t>Furthermore, the waived PMRR Shortfalls in the total amount of P665</w:t>
      </w:r>
      <w:r w:rsidR="001D37BE" w:rsidRPr="00A705FF">
        <w:rPr>
          <w:rFonts w:ascii="Arial" w:hAnsi="Arial" w:cs="Arial"/>
          <w:color w:val="000000" w:themeColor="text1"/>
          <w:sz w:val="22"/>
          <w:szCs w:val="22"/>
        </w:rPr>
        <w:t>.</w:t>
      </w:r>
      <w:r w:rsidRPr="00A705FF">
        <w:rPr>
          <w:rFonts w:ascii="Arial" w:hAnsi="Arial" w:cs="Arial"/>
          <w:color w:val="000000" w:themeColor="text1"/>
          <w:sz w:val="22"/>
          <w:szCs w:val="22"/>
        </w:rPr>
        <w:t>200</w:t>
      </w:r>
      <w:r w:rsidR="001D37BE" w:rsidRPr="00A705FF">
        <w:rPr>
          <w:rFonts w:ascii="Arial" w:hAnsi="Arial" w:cs="Arial"/>
          <w:color w:val="000000" w:themeColor="text1"/>
          <w:sz w:val="22"/>
          <w:szCs w:val="22"/>
        </w:rPr>
        <w:t xml:space="preserve"> million</w:t>
      </w:r>
      <w:r w:rsidRPr="00A705FF">
        <w:rPr>
          <w:rFonts w:ascii="Arial" w:hAnsi="Arial" w:cs="Arial"/>
          <w:color w:val="000000" w:themeColor="text1"/>
          <w:sz w:val="22"/>
          <w:szCs w:val="22"/>
        </w:rPr>
        <w:t xml:space="preserve"> were already settled claims by the PCSO. Hence, only the Congress of the Philippines, with the recommendations of COA and the President of the Philippines, may compromise or release said claims pursuant to </w:t>
      </w:r>
      <w:r w:rsidRPr="001B55A8">
        <w:rPr>
          <w:rFonts w:ascii="Arial" w:hAnsi="Arial" w:cs="Arial"/>
          <w:color w:val="000000" w:themeColor="text1"/>
          <w:sz w:val="22"/>
          <w:szCs w:val="22"/>
        </w:rPr>
        <w:t>Section</w:t>
      </w:r>
      <w:r w:rsidRPr="00A705FF">
        <w:rPr>
          <w:rFonts w:ascii="Arial" w:hAnsi="Arial" w:cs="Arial"/>
          <w:color w:val="000000" w:themeColor="text1"/>
          <w:sz w:val="22"/>
          <w:szCs w:val="22"/>
        </w:rPr>
        <w:t xml:space="preserve"> 36.1 of Presidential Decree </w:t>
      </w:r>
      <w:r w:rsidR="00A705FF">
        <w:rPr>
          <w:rFonts w:ascii="Arial" w:hAnsi="Arial" w:cs="Arial"/>
          <w:color w:val="000000" w:themeColor="text1"/>
          <w:sz w:val="22"/>
          <w:szCs w:val="22"/>
        </w:rPr>
        <w:t xml:space="preserve">(PD) </w:t>
      </w:r>
      <w:r w:rsidRPr="00A705FF">
        <w:rPr>
          <w:rFonts w:ascii="Arial" w:hAnsi="Arial" w:cs="Arial"/>
          <w:color w:val="000000" w:themeColor="text1"/>
          <w:sz w:val="22"/>
          <w:szCs w:val="22"/>
        </w:rPr>
        <w:t>No. 1445</w:t>
      </w:r>
      <w:r w:rsidR="0040097B" w:rsidRPr="00A705FF">
        <w:rPr>
          <w:rFonts w:ascii="Arial" w:hAnsi="Arial" w:cs="Arial"/>
          <w:color w:val="000000" w:themeColor="text1"/>
          <w:sz w:val="22"/>
          <w:szCs w:val="22"/>
        </w:rPr>
        <w:t xml:space="preserve"> </w:t>
      </w:r>
      <w:r w:rsidR="005943AE" w:rsidRPr="00A705FF">
        <w:rPr>
          <w:rFonts w:ascii="Arial" w:hAnsi="Arial" w:cs="Arial"/>
          <w:color w:val="000000" w:themeColor="text1"/>
          <w:sz w:val="22"/>
          <w:szCs w:val="22"/>
        </w:rPr>
        <w:t xml:space="preserve"> /</w:t>
      </w:r>
      <w:r w:rsidR="00A705FF">
        <w:rPr>
          <w:rFonts w:ascii="Arial" w:hAnsi="Arial" w:cs="Arial"/>
          <w:color w:val="000000" w:themeColor="text1"/>
          <w:sz w:val="22"/>
          <w:szCs w:val="22"/>
        </w:rPr>
        <w:t xml:space="preserve"> </w:t>
      </w:r>
      <w:r w:rsidR="005943AE" w:rsidRPr="00A705FF">
        <w:rPr>
          <w:rFonts w:ascii="Arial" w:hAnsi="Arial" w:cs="Arial"/>
          <w:color w:val="000000" w:themeColor="text1"/>
          <w:sz w:val="22"/>
          <w:szCs w:val="22"/>
        </w:rPr>
        <w:t xml:space="preserve">and </w:t>
      </w:r>
      <w:r w:rsidR="0040097B" w:rsidRPr="00A705FF">
        <w:rPr>
          <w:rFonts w:ascii="Arial" w:hAnsi="Arial" w:cs="Arial"/>
          <w:color w:val="000000" w:themeColor="text1"/>
          <w:sz w:val="22"/>
          <w:szCs w:val="22"/>
        </w:rPr>
        <w:t>Section 20(1), Chapter 4, Subtitle B, Title I, Book V of Executive Order</w:t>
      </w:r>
      <w:r w:rsidR="00A705FF">
        <w:rPr>
          <w:rFonts w:ascii="Arial" w:hAnsi="Arial" w:cs="Arial"/>
          <w:color w:val="000000" w:themeColor="text1"/>
          <w:sz w:val="22"/>
          <w:szCs w:val="22"/>
        </w:rPr>
        <w:t xml:space="preserve"> (EO)</w:t>
      </w:r>
      <w:r w:rsidR="0040097B" w:rsidRPr="00A705FF">
        <w:rPr>
          <w:rFonts w:ascii="Arial" w:hAnsi="Arial" w:cs="Arial"/>
          <w:color w:val="000000" w:themeColor="text1"/>
          <w:sz w:val="22"/>
          <w:szCs w:val="22"/>
        </w:rPr>
        <w:t xml:space="preserve"> No. 292 or the Administrative Code of 1987</w:t>
      </w:r>
      <w:r w:rsidRPr="00A705FF">
        <w:rPr>
          <w:rFonts w:ascii="Arial" w:hAnsi="Arial" w:cs="Arial"/>
          <w:color w:val="000000" w:themeColor="text1"/>
          <w:sz w:val="22"/>
          <w:szCs w:val="22"/>
        </w:rPr>
        <w:t>. The Board of Directors of the PCSO has no authority to condone or waive valid claims by the PCSO.</w:t>
      </w:r>
    </w:p>
    <w:p w:rsidR="00432DA9" w:rsidRDefault="00432DA9" w:rsidP="001D37BE">
      <w:pPr>
        <w:pStyle w:val="ListParagraph"/>
        <w:ind w:right="2828"/>
        <w:jc w:val="both"/>
        <w:rPr>
          <w:rFonts w:ascii="Arial" w:hAnsi="Arial" w:cs="Arial"/>
          <w:i/>
          <w:sz w:val="22"/>
          <w:szCs w:val="22"/>
        </w:rPr>
      </w:pPr>
    </w:p>
    <w:p w:rsidR="00417DC7" w:rsidRPr="00EF4855" w:rsidRDefault="00417DC7" w:rsidP="001D37BE">
      <w:pPr>
        <w:pStyle w:val="ListParagraph"/>
        <w:ind w:right="2828"/>
        <w:jc w:val="both"/>
        <w:rPr>
          <w:rFonts w:ascii="Arial" w:hAnsi="Arial" w:cs="Arial"/>
          <w:i/>
          <w:sz w:val="22"/>
          <w:szCs w:val="22"/>
        </w:rPr>
      </w:pPr>
      <w:r w:rsidRPr="00EF4855">
        <w:rPr>
          <w:rFonts w:ascii="Arial" w:hAnsi="Arial" w:cs="Arial"/>
          <w:i/>
          <w:sz w:val="22"/>
          <w:szCs w:val="22"/>
        </w:rPr>
        <w:t>Revised basis for the computation of the PMRR on the 13</w:t>
      </w:r>
      <w:r w:rsidRPr="00EF4855">
        <w:rPr>
          <w:rFonts w:ascii="Arial" w:hAnsi="Arial" w:cs="Arial"/>
          <w:i/>
          <w:sz w:val="22"/>
          <w:szCs w:val="22"/>
          <w:vertAlign w:val="superscript"/>
        </w:rPr>
        <w:t>th</w:t>
      </w:r>
      <w:r w:rsidRPr="00EF4855">
        <w:rPr>
          <w:rFonts w:ascii="Arial" w:hAnsi="Arial" w:cs="Arial"/>
          <w:i/>
          <w:sz w:val="22"/>
          <w:szCs w:val="22"/>
        </w:rPr>
        <w:t xml:space="preserve"> month of operation until the signing of a new STL Agency Agreement decreasing the PMRR Shortfalls </w:t>
      </w:r>
      <w:r w:rsidR="00664683" w:rsidRPr="00EF4855">
        <w:rPr>
          <w:rFonts w:ascii="Arial" w:hAnsi="Arial" w:cs="Arial"/>
          <w:i/>
          <w:sz w:val="22"/>
          <w:szCs w:val="22"/>
        </w:rPr>
        <w:t>due to PCSO by P761</w:t>
      </w:r>
      <w:r w:rsidR="001D37BE" w:rsidRPr="00EF4855">
        <w:rPr>
          <w:rFonts w:ascii="Arial" w:hAnsi="Arial" w:cs="Arial"/>
          <w:i/>
          <w:sz w:val="22"/>
          <w:szCs w:val="22"/>
        </w:rPr>
        <w:t>.</w:t>
      </w:r>
      <w:r w:rsidR="00664683" w:rsidRPr="00EF4855">
        <w:rPr>
          <w:rFonts w:ascii="Arial" w:hAnsi="Arial" w:cs="Arial"/>
          <w:i/>
          <w:sz w:val="22"/>
          <w:szCs w:val="22"/>
        </w:rPr>
        <w:t>909</w:t>
      </w:r>
      <w:r w:rsidR="001D37BE" w:rsidRPr="00EF4855">
        <w:rPr>
          <w:rFonts w:ascii="Arial" w:hAnsi="Arial" w:cs="Arial"/>
          <w:i/>
          <w:sz w:val="22"/>
          <w:szCs w:val="22"/>
        </w:rPr>
        <w:t xml:space="preserve"> million</w:t>
      </w:r>
      <w:r w:rsidR="00664683" w:rsidRPr="00EF4855">
        <w:rPr>
          <w:rFonts w:ascii="Arial" w:hAnsi="Arial" w:cs="Arial"/>
          <w:i/>
          <w:sz w:val="22"/>
          <w:szCs w:val="22"/>
        </w:rPr>
        <w:t xml:space="preserve"> </w:t>
      </w:r>
    </w:p>
    <w:p w:rsidR="00664683" w:rsidRPr="00EF4855" w:rsidRDefault="00664683" w:rsidP="004C39E3">
      <w:pPr>
        <w:pStyle w:val="ListParagraph"/>
        <w:jc w:val="both"/>
        <w:rPr>
          <w:rFonts w:ascii="Arial" w:hAnsi="Arial" w:cs="Arial"/>
          <w:i/>
          <w:sz w:val="22"/>
          <w:szCs w:val="22"/>
        </w:rPr>
      </w:pPr>
    </w:p>
    <w:p w:rsidR="00417DC7" w:rsidRPr="00EF4855" w:rsidRDefault="00CF7127" w:rsidP="00DA78B4">
      <w:pPr>
        <w:pStyle w:val="ListParagraph"/>
        <w:numPr>
          <w:ilvl w:val="1"/>
          <w:numId w:val="21"/>
        </w:numPr>
        <w:ind w:left="1440"/>
        <w:jc w:val="both"/>
        <w:rPr>
          <w:rFonts w:ascii="Arial" w:hAnsi="Arial" w:cs="Arial"/>
          <w:sz w:val="22"/>
          <w:szCs w:val="22"/>
        </w:rPr>
      </w:pPr>
      <w:r w:rsidRPr="00EF4855">
        <w:rPr>
          <w:rFonts w:ascii="Arial" w:hAnsi="Arial" w:cs="Arial"/>
          <w:sz w:val="22"/>
          <w:szCs w:val="22"/>
        </w:rPr>
        <w:t xml:space="preserve">Verification of records disclosed that </w:t>
      </w:r>
      <w:r w:rsidR="00417DC7" w:rsidRPr="00EF4855">
        <w:rPr>
          <w:rFonts w:ascii="Arial" w:hAnsi="Arial" w:cs="Arial"/>
          <w:sz w:val="22"/>
          <w:szCs w:val="22"/>
        </w:rPr>
        <w:t xml:space="preserve">the </w:t>
      </w:r>
      <w:r w:rsidR="000B72BD">
        <w:rPr>
          <w:rFonts w:ascii="Arial" w:hAnsi="Arial" w:cs="Arial"/>
          <w:sz w:val="22"/>
          <w:szCs w:val="22"/>
        </w:rPr>
        <w:t>issued</w:t>
      </w:r>
      <w:r w:rsidR="00417DC7" w:rsidRPr="00EF4855">
        <w:rPr>
          <w:rFonts w:ascii="Arial" w:hAnsi="Arial" w:cs="Arial"/>
          <w:sz w:val="22"/>
          <w:szCs w:val="22"/>
        </w:rPr>
        <w:t xml:space="preserve"> Board Resolution (BR) No. 0401 dated November 22, 2018, </w:t>
      </w:r>
      <w:r w:rsidR="0022045B" w:rsidRPr="00EF4855">
        <w:rPr>
          <w:rFonts w:ascii="Arial" w:hAnsi="Arial" w:cs="Arial"/>
          <w:sz w:val="22"/>
          <w:szCs w:val="22"/>
        </w:rPr>
        <w:t>provided</w:t>
      </w:r>
      <w:r w:rsidR="00417DC7" w:rsidRPr="00EF4855">
        <w:rPr>
          <w:rFonts w:ascii="Arial" w:hAnsi="Arial" w:cs="Arial"/>
          <w:sz w:val="22"/>
          <w:szCs w:val="22"/>
        </w:rPr>
        <w:t xml:space="preserve"> among others, that the computation and payment of the AACs/ASAs Sales Shortfall incurred during </w:t>
      </w:r>
      <w:r w:rsidR="000B72BD">
        <w:rPr>
          <w:rFonts w:ascii="Arial" w:hAnsi="Arial" w:cs="Arial"/>
          <w:sz w:val="22"/>
          <w:szCs w:val="22"/>
        </w:rPr>
        <w:t>their</w:t>
      </w:r>
      <w:r w:rsidR="00417DC7" w:rsidRPr="00EF4855">
        <w:rPr>
          <w:rFonts w:ascii="Arial" w:hAnsi="Arial" w:cs="Arial"/>
          <w:sz w:val="22"/>
          <w:szCs w:val="22"/>
        </w:rPr>
        <w:t xml:space="preserve"> 13</w:t>
      </w:r>
      <w:r w:rsidR="00417DC7" w:rsidRPr="00EF4855">
        <w:rPr>
          <w:rFonts w:ascii="Arial" w:hAnsi="Arial" w:cs="Arial"/>
          <w:sz w:val="22"/>
          <w:szCs w:val="22"/>
          <w:vertAlign w:val="superscript"/>
        </w:rPr>
        <w:t>th</w:t>
      </w:r>
      <w:r w:rsidR="00417DC7" w:rsidRPr="00EF4855">
        <w:rPr>
          <w:rFonts w:ascii="Arial" w:hAnsi="Arial" w:cs="Arial"/>
          <w:sz w:val="22"/>
          <w:szCs w:val="22"/>
        </w:rPr>
        <w:t xml:space="preserve"> month of operation until the signing of new STL Agency Agreement be based on the average of three highest monthly sales within </w:t>
      </w:r>
      <w:r w:rsidR="000B72BD">
        <w:rPr>
          <w:rFonts w:ascii="Arial" w:hAnsi="Arial" w:cs="Arial"/>
          <w:sz w:val="22"/>
          <w:szCs w:val="22"/>
        </w:rPr>
        <w:t>the</w:t>
      </w:r>
      <w:r w:rsidR="00417DC7" w:rsidRPr="00EF4855">
        <w:rPr>
          <w:rFonts w:ascii="Arial" w:hAnsi="Arial" w:cs="Arial"/>
          <w:sz w:val="22"/>
          <w:szCs w:val="22"/>
        </w:rPr>
        <w:t xml:space="preserve"> first year of operation. It has been a common industry practice to continue to follow the provision in an expired contract/agreement until the renewal thereof.  Hence, the agreed PMRR should have been observed until the signing of a new STL Agency Agreement.</w:t>
      </w:r>
    </w:p>
    <w:p w:rsidR="000171E9" w:rsidRPr="00EF4855" w:rsidRDefault="000171E9" w:rsidP="004C39E3">
      <w:pPr>
        <w:spacing w:after="0" w:line="240" w:lineRule="auto"/>
        <w:jc w:val="both"/>
        <w:rPr>
          <w:rFonts w:ascii="Arial" w:hAnsi="Arial" w:cs="Arial"/>
        </w:rPr>
      </w:pPr>
    </w:p>
    <w:p w:rsidR="007965F4" w:rsidRPr="00A705FF" w:rsidRDefault="00417DC7" w:rsidP="00DA78B4">
      <w:pPr>
        <w:pStyle w:val="ListParagraph"/>
        <w:numPr>
          <w:ilvl w:val="1"/>
          <w:numId w:val="21"/>
        </w:numPr>
        <w:ind w:left="1440"/>
        <w:jc w:val="both"/>
        <w:rPr>
          <w:rFonts w:ascii="Arial" w:hAnsi="Arial" w:cs="Arial"/>
          <w:sz w:val="22"/>
          <w:szCs w:val="22"/>
        </w:rPr>
      </w:pPr>
      <w:r w:rsidRPr="00A705FF">
        <w:rPr>
          <w:rFonts w:ascii="Arial" w:hAnsi="Arial" w:cs="Arial"/>
          <w:color w:val="000000" w:themeColor="text1"/>
          <w:sz w:val="22"/>
          <w:szCs w:val="22"/>
        </w:rPr>
        <w:t>As a result of the implementation of the said BR, the total amount of PMRR Shortfalls of P7</w:t>
      </w:r>
      <w:r w:rsidR="001D37BE" w:rsidRPr="00A705FF">
        <w:rPr>
          <w:rFonts w:ascii="Arial" w:hAnsi="Arial" w:cs="Arial"/>
          <w:color w:val="000000" w:themeColor="text1"/>
          <w:sz w:val="22"/>
          <w:szCs w:val="22"/>
        </w:rPr>
        <w:t>.</w:t>
      </w:r>
      <w:r w:rsidRPr="00A705FF">
        <w:rPr>
          <w:rFonts w:ascii="Arial" w:hAnsi="Arial" w:cs="Arial"/>
          <w:color w:val="000000" w:themeColor="text1"/>
          <w:sz w:val="22"/>
          <w:szCs w:val="22"/>
        </w:rPr>
        <w:t>308</w:t>
      </w:r>
      <w:r w:rsidR="001D37BE" w:rsidRPr="00A705FF">
        <w:rPr>
          <w:rFonts w:ascii="Arial" w:hAnsi="Arial" w:cs="Arial"/>
          <w:color w:val="000000" w:themeColor="text1"/>
          <w:sz w:val="22"/>
          <w:szCs w:val="22"/>
        </w:rPr>
        <w:t xml:space="preserve"> </w:t>
      </w:r>
      <w:r w:rsidR="002837A0" w:rsidRPr="00A705FF">
        <w:rPr>
          <w:rFonts w:ascii="Arial" w:hAnsi="Arial" w:cs="Arial"/>
          <w:color w:val="000000" w:themeColor="text1"/>
          <w:sz w:val="22"/>
          <w:szCs w:val="22"/>
        </w:rPr>
        <w:t>Billion</w:t>
      </w:r>
      <w:r w:rsidRPr="00A705FF">
        <w:rPr>
          <w:rFonts w:ascii="Arial" w:hAnsi="Arial" w:cs="Arial"/>
          <w:color w:val="000000" w:themeColor="text1"/>
          <w:sz w:val="22"/>
          <w:szCs w:val="22"/>
        </w:rPr>
        <w:t xml:space="preserve"> (net) for CY 2018 operations was decreased to P5</w:t>
      </w:r>
      <w:r w:rsidR="001D37BE" w:rsidRPr="00A705FF">
        <w:rPr>
          <w:rFonts w:ascii="Arial" w:hAnsi="Arial" w:cs="Arial"/>
          <w:color w:val="000000" w:themeColor="text1"/>
          <w:sz w:val="22"/>
          <w:szCs w:val="22"/>
        </w:rPr>
        <w:t>.5</w:t>
      </w:r>
      <w:r w:rsidRPr="00A705FF">
        <w:rPr>
          <w:rFonts w:ascii="Arial" w:hAnsi="Arial" w:cs="Arial"/>
          <w:color w:val="000000" w:themeColor="text1"/>
          <w:sz w:val="22"/>
          <w:szCs w:val="22"/>
        </w:rPr>
        <w:t>32</w:t>
      </w:r>
      <w:r w:rsidR="001D37BE" w:rsidRPr="00A705FF">
        <w:rPr>
          <w:rFonts w:ascii="Arial" w:hAnsi="Arial" w:cs="Arial"/>
          <w:color w:val="000000" w:themeColor="text1"/>
          <w:sz w:val="22"/>
          <w:szCs w:val="22"/>
        </w:rPr>
        <w:t xml:space="preserve"> </w:t>
      </w:r>
      <w:r w:rsidR="002837A0" w:rsidRPr="00A705FF">
        <w:rPr>
          <w:rFonts w:ascii="Arial" w:hAnsi="Arial" w:cs="Arial"/>
          <w:color w:val="000000" w:themeColor="text1"/>
          <w:sz w:val="22"/>
          <w:szCs w:val="22"/>
        </w:rPr>
        <w:t>Billion.</w:t>
      </w:r>
      <w:r w:rsidRPr="00A705FF">
        <w:rPr>
          <w:rFonts w:ascii="Arial" w:hAnsi="Arial" w:cs="Arial"/>
          <w:color w:val="000000" w:themeColor="text1"/>
          <w:sz w:val="22"/>
          <w:szCs w:val="22"/>
        </w:rPr>
        <w:t xml:space="preserve"> </w:t>
      </w:r>
      <w:r w:rsidR="002837A0" w:rsidRPr="00A705FF">
        <w:rPr>
          <w:rFonts w:ascii="Arial" w:hAnsi="Arial" w:cs="Arial"/>
          <w:color w:val="000000" w:themeColor="text1"/>
          <w:sz w:val="22"/>
          <w:szCs w:val="22"/>
        </w:rPr>
        <w:t>This reduction then resulted to foregone</w:t>
      </w:r>
      <w:r w:rsidRPr="00A705FF">
        <w:rPr>
          <w:rFonts w:ascii="Arial" w:hAnsi="Arial" w:cs="Arial"/>
          <w:color w:val="000000" w:themeColor="text1"/>
          <w:sz w:val="22"/>
          <w:szCs w:val="22"/>
        </w:rPr>
        <w:t xml:space="preserve"> PMRR shortfall</w:t>
      </w:r>
      <w:r w:rsidR="000B72BD">
        <w:rPr>
          <w:rFonts w:ascii="Arial" w:hAnsi="Arial" w:cs="Arial"/>
          <w:color w:val="000000" w:themeColor="text1"/>
          <w:sz w:val="22"/>
          <w:szCs w:val="22"/>
        </w:rPr>
        <w:t>s</w:t>
      </w:r>
      <w:r w:rsidRPr="00A705FF">
        <w:rPr>
          <w:rFonts w:ascii="Arial" w:hAnsi="Arial" w:cs="Arial"/>
          <w:color w:val="000000" w:themeColor="text1"/>
          <w:sz w:val="22"/>
          <w:szCs w:val="22"/>
        </w:rPr>
        <w:t xml:space="preserve"> due to </w:t>
      </w:r>
      <w:r w:rsidR="002837A0" w:rsidRPr="00A705FF">
        <w:rPr>
          <w:rFonts w:ascii="Arial" w:hAnsi="Arial" w:cs="Arial"/>
          <w:color w:val="000000" w:themeColor="text1"/>
          <w:sz w:val="22"/>
          <w:szCs w:val="22"/>
        </w:rPr>
        <w:t>P</w:t>
      </w:r>
      <w:r w:rsidRPr="00A705FF">
        <w:rPr>
          <w:rFonts w:ascii="Arial" w:hAnsi="Arial" w:cs="Arial"/>
          <w:color w:val="000000" w:themeColor="text1"/>
          <w:sz w:val="22"/>
          <w:szCs w:val="22"/>
        </w:rPr>
        <w:t>CSO by P761</w:t>
      </w:r>
      <w:r w:rsidR="001D37BE" w:rsidRPr="00A705FF">
        <w:rPr>
          <w:rFonts w:ascii="Arial" w:hAnsi="Arial" w:cs="Arial"/>
          <w:color w:val="000000" w:themeColor="text1"/>
          <w:sz w:val="22"/>
          <w:szCs w:val="22"/>
        </w:rPr>
        <w:t>.</w:t>
      </w:r>
      <w:r w:rsidRPr="00A705FF">
        <w:rPr>
          <w:rFonts w:ascii="Arial" w:hAnsi="Arial" w:cs="Arial"/>
          <w:color w:val="000000" w:themeColor="text1"/>
          <w:sz w:val="22"/>
          <w:szCs w:val="22"/>
        </w:rPr>
        <w:t>909</w:t>
      </w:r>
      <w:r w:rsidR="001D37BE" w:rsidRPr="00A705FF">
        <w:rPr>
          <w:rFonts w:ascii="Arial" w:hAnsi="Arial" w:cs="Arial"/>
          <w:color w:val="000000" w:themeColor="text1"/>
          <w:sz w:val="22"/>
          <w:szCs w:val="22"/>
        </w:rPr>
        <w:t xml:space="preserve"> million</w:t>
      </w:r>
      <w:r w:rsidR="000B72BD">
        <w:rPr>
          <w:rFonts w:ascii="Arial" w:hAnsi="Arial" w:cs="Arial"/>
          <w:color w:val="000000" w:themeColor="text1"/>
          <w:sz w:val="22"/>
          <w:szCs w:val="22"/>
        </w:rPr>
        <w:t xml:space="preserve"> [</w:t>
      </w:r>
      <w:r w:rsidR="00A56354">
        <w:rPr>
          <w:rFonts w:ascii="Arial" w:hAnsi="Arial" w:cs="Arial"/>
          <w:color w:val="000000" w:themeColor="text1"/>
          <w:sz w:val="22"/>
          <w:szCs w:val="22"/>
        </w:rPr>
        <w:t>share of PCSO from P1.776 billion arrived at (P7.308 billion – P5.532 billion)]</w:t>
      </w:r>
      <w:r w:rsidRPr="00A705FF">
        <w:rPr>
          <w:rFonts w:ascii="Arial" w:hAnsi="Arial" w:cs="Arial"/>
          <w:color w:val="000000" w:themeColor="text1"/>
          <w:sz w:val="22"/>
          <w:szCs w:val="22"/>
        </w:rPr>
        <w:t>, which could have been</w:t>
      </w:r>
      <w:r w:rsidRPr="00A705FF">
        <w:rPr>
          <w:rFonts w:ascii="Arial" w:hAnsi="Arial" w:cs="Arial"/>
          <w:sz w:val="22"/>
          <w:szCs w:val="22"/>
        </w:rPr>
        <w:t xml:space="preserve"> collected and utilized for its various charity programs in fulfillment of its mandate. </w:t>
      </w:r>
    </w:p>
    <w:p w:rsidR="007965F4" w:rsidRPr="007965F4" w:rsidRDefault="007965F4" w:rsidP="007965F4">
      <w:pPr>
        <w:pStyle w:val="ListParagraph"/>
        <w:rPr>
          <w:rFonts w:ascii="Arial" w:hAnsi="Arial" w:cs="Arial"/>
          <w:sz w:val="22"/>
          <w:szCs w:val="22"/>
        </w:rPr>
      </w:pPr>
    </w:p>
    <w:p w:rsidR="00417DC7" w:rsidRPr="00EF4855" w:rsidRDefault="00F61C88" w:rsidP="00DA78B4">
      <w:pPr>
        <w:pStyle w:val="ListParagraph"/>
        <w:numPr>
          <w:ilvl w:val="1"/>
          <w:numId w:val="21"/>
        </w:numPr>
        <w:ind w:left="1440"/>
        <w:jc w:val="both"/>
        <w:rPr>
          <w:rFonts w:ascii="Arial" w:hAnsi="Arial" w:cs="Arial"/>
          <w:sz w:val="22"/>
          <w:szCs w:val="22"/>
        </w:rPr>
      </w:pPr>
      <w:r w:rsidRPr="005943AE">
        <w:rPr>
          <w:rFonts w:ascii="Arial" w:hAnsi="Arial" w:cs="Arial"/>
          <w:sz w:val="22"/>
          <w:szCs w:val="22"/>
        </w:rPr>
        <w:lastRenderedPageBreak/>
        <w:t>Clearly</w:t>
      </w:r>
      <w:r>
        <w:rPr>
          <w:rFonts w:ascii="Arial" w:hAnsi="Arial" w:cs="Arial"/>
          <w:sz w:val="22"/>
          <w:szCs w:val="22"/>
        </w:rPr>
        <w:t xml:space="preserve">, </w:t>
      </w:r>
      <w:r w:rsidR="00417DC7" w:rsidRPr="00EF4855">
        <w:rPr>
          <w:rFonts w:ascii="Arial" w:hAnsi="Arial" w:cs="Arial"/>
          <w:sz w:val="22"/>
          <w:szCs w:val="22"/>
        </w:rPr>
        <w:t>therefore</w:t>
      </w:r>
      <w:r>
        <w:rPr>
          <w:rFonts w:ascii="Arial" w:hAnsi="Arial" w:cs="Arial"/>
          <w:sz w:val="22"/>
          <w:szCs w:val="22"/>
        </w:rPr>
        <w:t xml:space="preserve">, </w:t>
      </w:r>
      <w:r w:rsidR="00E61B54">
        <w:rPr>
          <w:rFonts w:ascii="Arial" w:hAnsi="Arial" w:cs="Arial"/>
          <w:sz w:val="22"/>
          <w:szCs w:val="22"/>
        </w:rPr>
        <w:t xml:space="preserve">the </w:t>
      </w:r>
      <w:r w:rsidR="00417DC7" w:rsidRPr="00EF4855">
        <w:rPr>
          <w:rFonts w:ascii="Arial" w:hAnsi="Arial" w:cs="Arial"/>
          <w:sz w:val="22"/>
          <w:szCs w:val="22"/>
        </w:rPr>
        <w:t>issuance of BR No. 0401 was gr</w:t>
      </w:r>
      <w:r>
        <w:rPr>
          <w:rFonts w:ascii="Arial" w:hAnsi="Arial" w:cs="Arial"/>
          <w:sz w:val="22"/>
          <w:szCs w:val="22"/>
        </w:rPr>
        <w:t xml:space="preserve">ossly disadvantageous to PCSO. </w:t>
      </w:r>
      <w:r w:rsidR="00CF7127" w:rsidRPr="00EF4855">
        <w:rPr>
          <w:rFonts w:ascii="Arial" w:hAnsi="Arial" w:cs="Arial"/>
          <w:sz w:val="22"/>
          <w:szCs w:val="22"/>
        </w:rPr>
        <w:t>The c</w:t>
      </w:r>
      <w:r w:rsidR="00417DC7" w:rsidRPr="00EF4855">
        <w:rPr>
          <w:rFonts w:ascii="Arial" w:hAnsi="Arial" w:cs="Arial"/>
          <w:sz w:val="22"/>
          <w:szCs w:val="22"/>
        </w:rPr>
        <w:t>oncerned officials of the PCSO sh</w:t>
      </w:r>
      <w:r>
        <w:rPr>
          <w:rFonts w:ascii="Arial" w:hAnsi="Arial" w:cs="Arial"/>
          <w:sz w:val="22"/>
          <w:szCs w:val="22"/>
        </w:rPr>
        <w:t xml:space="preserve">ould always bear in mind that </w:t>
      </w:r>
      <w:r w:rsidRPr="00EF4855">
        <w:rPr>
          <w:rFonts w:ascii="Arial" w:hAnsi="Arial" w:cs="Arial"/>
          <w:sz w:val="22"/>
          <w:szCs w:val="22"/>
        </w:rPr>
        <w:t>foremost consideration</w:t>
      </w:r>
      <w:r w:rsidR="00417DC7" w:rsidRPr="00EF4855">
        <w:rPr>
          <w:rFonts w:ascii="Arial" w:hAnsi="Arial" w:cs="Arial"/>
          <w:sz w:val="22"/>
          <w:szCs w:val="22"/>
        </w:rPr>
        <w:t xml:space="preserve"> </w:t>
      </w:r>
      <w:r>
        <w:rPr>
          <w:rFonts w:ascii="Arial" w:hAnsi="Arial" w:cs="Arial"/>
          <w:sz w:val="22"/>
          <w:szCs w:val="22"/>
        </w:rPr>
        <w:t xml:space="preserve">in </w:t>
      </w:r>
      <w:r w:rsidR="00E61B54">
        <w:rPr>
          <w:rFonts w:ascii="Arial" w:hAnsi="Arial" w:cs="Arial"/>
          <w:sz w:val="22"/>
          <w:szCs w:val="22"/>
        </w:rPr>
        <w:t>making certain decisions</w:t>
      </w:r>
      <w:r w:rsidR="00417DC7" w:rsidRPr="00EF4855">
        <w:rPr>
          <w:rFonts w:ascii="Arial" w:hAnsi="Arial" w:cs="Arial"/>
          <w:sz w:val="22"/>
          <w:szCs w:val="22"/>
        </w:rPr>
        <w:t xml:space="preserve"> is to protect the interest of the government, in general, and PCSO, in particular. </w:t>
      </w:r>
    </w:p>
    <w:p w:rsidR="00417DC7" w:rsidRPr="00EF4855" w:rsidRDefault="00417DC7" w:rsidP="004C39E3">
      <w:pPr>
        <w:spacing w:after="0" w:line="240" w:lineRule="auto"/>
        <w:jc w:val="both"/>
        <w:rPr>
          <w:rFonts w:ascii="Arial" w:hAnsi="Arial" w:cs="Arial"/>
        </w:rPr>
      </w:pPr>
    </w:p>
    <w:p w:rsidR="005C32D0" w:rsidRDefault="00417DC7" w:rsidP="00DA78B4">
      <w:pPr>
        <w:pStyle w:val="ListParagraph"/>
        <w:numPr>
          <w:ilvl w:val="1"/>
          <w:numId w:val="21"/>
        </w:numPr>
        <w:ind w:left="1440"/>
        <w:jc w:val="both"/>
        <w:rPr>
          <w:rFonts w:ascii="Arial" w:hAnsi="Arial" w:cs="Arial"/>
          <w:b/>
          <w:color w:val="000000" w:themeColor="text1"/>
          <w:sz w:val="22"/>
          <w:szCs w:val="22"/>
        </w:rPr>
      </w:pPr>
      <w:r w:rsidRPr="005C32D0">
        <w:rPr>
          <w:rFonts w:ascii="Arial" w:hAnsi="Arial" w:cs="Arial"/>
          <w:b/>
          <w:color w:val="000000" w:themeColor="text1"/>
          <w:sz w:val="22"/>
          <w:szCs w:val="22"/>
        </w:rPr>
        <w:t>We recommend</w:t>
      </w:r>
      <w:r w:rsidR="00F7031E" w:rsidRPr="005C32D0">
        <w:rPr>
          <w:rFonts w:ascii="Arial" w:hAnsi="Arial" w:cs="Arial"/>
          <w:b/>
          <w:color w:val="000000" w:themeColor="text1"/>
          <w:sz w:val="22"/>
          <w:szCs w:val="22"/>
        </w:rPr>
        <w:t>ed</w:t>
      </w:r>
      <w:r w:rsidRPr="005C32D0">
        <w:rPr>
          <w:rFonts w:ascii="Arial" w:hAnsi="Arial" w:cs="Arial"/>
          <w:b/>
          <w:color w:val="000000" w:themeColor="text1"/>
          <w:sz w:val="22"/>
          <w:szCs w:val="22"/>
        </w:rPr>
        <w:t xml:space="preserve"> that Management</w:t>
      </w:r>
      <w:r w:rsidR="005C32D0">
        <w:rPr>
          <w:rFonts w:ascii="Arial" w:hAnsi="Arial" w:cs="Arial"/>
          <w:b/>
          <w:color w:val="000000" w:themeColor="text1"/>
          <w:sz w:val="22"/>
          <w:szCs w:val="22"/>
        </w:rPr>
        <w:t>:</w:t>
      </w:r>
    </w:p>
    <w:p w:rsidR="005C32D0" w:rsidRPr="005C32D0" w:rsidRDefault="005C32D0" w:rsidP="005C32D0">
      <w:pPr>
        <w:pStyle w:val="ListParagraph"/>
        <w:rPr>
          <w:rFonts w:ascii="Arial" w:hAnsi="Arial" w:cs="Arial"/>
          <w:b/>
          <w:color w:val="000000" w:themeColor="text1"/>
          <w:sz w:val="22"/>
          <w:szCs w:val="22"/>
        </w:rPr>
      </w:pPr>
    </w:p>
    <w:p w:rsidR="005C32D0" w:rsidRDefault="005C32D0" w:rsidP="00DA78B4">
      <w:pPr>
        <w:pStyle w:val="ListParagraph"/>
        <w:numPr>
          <w:ilvl w:val="1"/>
          <w:numId w:val="3"/>
        </w:numPr>
        <w:ind w:left="1980" w:hanging="540"/>
        <w:jc w:val="both"/>
        <w:rPr>
          <w:rFonts w:ascii="Arial" w:hAnsi="Arial" w:cs="Arial"/>
          <w:b/>
          <w:color w:val="000000" w:themeColor="text1"/>
          <w:sz w:val="22"/>
          <w:szCs w:val="22"/>
        </w:rPr>
      </w:pPr>
      <w:r>
        <w:rPr>
          <w:rFonts w:ascii="Arial" w:hAnsi="Arial" w:cs="Arial"/>
          <w:b/>
          <w:color w:val="000000" w:themeColor="text1"/>
          <w:sz w:val="22"/>
          <w:szCs w:val="22"/>
        </w:rPr>
        <w:t>N</w:t>
      </w:r>
      <w:r w:rsidR="00417DC7" w:rsidRPr="005C32D0">
        <w:rPr>
          <w:rFonts w:ascii="Arial" w:hAnsi="Arial" w:cs="Arial"/>
          <w:b/>
          <w:color w:val="000000" w:themeColor="text1"/>
          <w:sz w:val="22"/>
          <w:szCs w:val="22"/>
        </w:rPr>
        <w:t>ullify the waiver given to the subject AACs and restore the PMRR shortfall</w:t>
      </w:r>
      <w:r w:rsidR="0040097B" w:rsidRPr="005C32D0">
        <w:rPr>
          <w:rFonts w:ascii="Arial" w:hAnsi="Arial" w:cs="Arial"/>
          <w:b/>
          <w:color w:val="000000" w:themeColor="text1"/>
          <w:sz w:val="22"/>
          <w:szCs w:val="22"/>
        </w:rPr>
        <w:t>s</w:t>
      </w:r>
      <w:r w:rsidR="00417DC7" w:rsidRPr="005C32D0">
        <w:rPr>
          <w:rFonts w:ascii="Arial" w:hAnsi="Arial" w:cs="Arial"/>
          <w:b/>
          <w:color w:val="000000" w:themeColor="text1"/>
          <w:sz w:val="22"/>
          <w:szCs w:val="22"/>
        </w:rPr>
        <w:t xml:space="preserve"> due from them in the total amount of P665</w:t>
      </w:r>
      <w:r w:rsidR="001D37BE" w:rsidRPr="005C32D0">
        <w:rPr>
          <w:rFonts w:ascii="Arial" w:hAnsi="Arial" w:cs="Arial"/>
          <w:b/>
          <w:color w:val="000000" w:themeColor="text1"/>
          <w:sz w:val="22"/>
          <w:szCs w:val="22"/>
        </w:rPr>
        <w:t>.</w:t>
      </w:r>
      <w:r w:rsidR="00417DC7" w:rsidRPr="005C32D0">
        <w:rPr>
          <w:rFonts w:ascii="Arial" w:hAnsi="Arial" w:cs="Arial"/>
          <w:b/>
          <w:color w:val="000000" w:themeColor="text1"/>
          <w:sz w:val="22"/>
          <w:szCs w:val="22"/>
        </w:rPr>
        <w:t>200</w:t>
      </w:r>
      <w:r w:rsidR="001D37BE" w:rsidRPr="005C32D0">
        <w:rPr>
          <w:rFonts w:ascii="Arial" w:hAnsi="Arial" w:cs="Arial"/>
          <w:b/>
          <w:color w:val="000000" w:themeColor="text1"/>
          <w:sz w:val="22"/>
          <w:szCs w:val="22"/>
        </w:rPr>
        <w:t xml:space="preserve"> million</w:t>
      </w:r>
      <w:r w:rsidR="00417DC7" w:rsidRPr="005C32D0">
        <w:rPr>
          <w:rFonts w:ascii="Arial" w:hAnsi="Arial" w:cs="Arial"/>
          <w:b/>
          <w:color w:val="000000" w:themeColor="text1"/>
          <w:sz w:val="22"/>
          <w:szCs w:val="22"/>
        </w:rPr>
        <w:t xml:space="preserve"> considering that the PCSO Board of Directors has no authority to condone or waive valid claims by PCSO pursuant to Sec</w:t>
      </w:r>
      <w:r>
        <w:rPr>
          <w:rFonts w:ascii="Arial" w:hAnsi="Arial" w:cs="Arial"/>
          <w:b/>
          <w:color w:val="000000" w:themeColor="text1"/>
          <w:sz w:val="22"/>
          <w:szCs w:val="22"/>
        </w:rPr>
        <w:t>tion 36.1 of PD</w:t>
      </w:r>
      <w:r w:rsidR="00417DC7" w:rsidRPr="005C32D0">
        <w:rPr>
          <w:rFonts w:ascii="Arial" w:hAnsi="Arial" w:cs="Arial"/>
          <w:b/>
          <w:color w:val="000000" w:themeColor="text1"/>
          <w:sz w:val="22"/>
          <w:szCs w:val="22"/>
        </w:rPr>
        <w:t xml:space="preserve"> No. 1445</w:t>
      </w:r>
      <w:r>
        <w:rPr>
          <w:rFonts w:ascii="Arial" w:hAnsi="Arial" w:cs="Arial"/>
          <w:b/>
          <w:color w:val="000000" w:themeColor="text1"/>
          <w:sz w:val="22"/>
          <w:szCs w:val="22"/>
        </w:rPr>
        <w:t>/</w:t>
      </w:r>
      <w:r w:rsidR="0040097B" w:rsidRPr="005C32D0">
        <w:rPr>
          <w:rFonts w:ascii="Arial" w:hAnsi="Arial" w:cs="Arial"/>
          <w:b/>
          <w:color w:val="000000" w:themeColor="text1"/>
          <w:sz w:val="22"/>
          <w:szCs w:val="22"/>
        </w:rPr>
        <w:t>Section 20(1), Chapter 4, Subtitle B, Title I, Book V of EO No. 292 or the Administrative Code of 1987</w:t>
      </w:r>
      <w:r>
        <w:rPr>
          <w:rFonts w:ascii="Arial" w:hAnsi="Arial" w:cs="Arial"/>
          <w:b/>
          <w:color w:val="000000" w:themeColor="text1"/>
          <w:sz w:val="22"/>
          <w:szCs w:val="22"/>
        </w:rPr>
        <w:t>; and</w:t>
      </w:r>
    </w:p>
    <w:p w:rsidR="005C32D0" w:rsidRDefault="005C32D0" w:rsidP="00257906">
      <w:pPr>
        <w:pStyle w:val="ListParagraph"/>
        <w:ind w:left="1980" w:hanging="540"/>
        <w:jc w:val="both"/>
        <w:rPr>
          <w:rFonts w:ascii="Arial" w:hAnsi="Arial" w:cs="Arial"/>
          <w:b/>
          <w:color w:val="000000" w:themeColor="text1"/>
          <w:sz w:val="22"/>
          <w:szCs w:val="22"/>
        </w:rPr>
      </w:pPr>
    </w:p>
    <w:p w:rsidR="00417DC7" w:rsidRPr="005C32D0" w:rsidRDefault="005C32D0" w:rsidP="00DA78B4">
      <w:pPr>
        <w:pStyle w:val="ListParagraph"/>
        <w:numPr>
          <w:ilvl w:val="1"/>
          <w:numId w:val="3"/>
        </w:numPr>
        <w:ind w:left="1980" w:hanging="540"/>
        <w:jc w:val="both"/>
        <w:rPr>
          <w:rFonts w:ascii="Arial" w:hAnsi="Arial" w:cs="Arial"/>
          <w:b/>
          <w:color w:val="000000" w:themeColor="text1"/>
          <w:sz w:val="22"/>
          <w:szCs w:val="22"/>
        </w:rPr>
      </w:pPr>
      <w:r>
        <w:rPr>
          <w:rFonts w:ascii="Arial" w:hAnsi="Arial" w:cs="Arial"/>
          <w:b/>
          <w:color w:val="000000" w:themeColor="text1"/>
          <w:sz w:val="22"/>
          <w:szCs w:val="22"/>
        </w:rPr>
        <w:t>C</w:t>
      </w:r>
      <w:r w:rsidR="00417DC7" w:rsidRPr="005C32D0">
        <w:rPr>
          <w:rFonts w:ascii="Arial" w:hAnsi="Arial" w:cs="Arial"/>
          <w:b/>
          <w:color w:val="000000" w:themeColor="text1"/>
          <w:sz w:val="22"/>
          <w:szCs w:val="22"/>
        </w:rPr>
        <w:t>onsider the possibility of recalling BR No. 0401</w:t>
      </w:r>
      <w:r w:rsidR="00257906">
        <w:rPr>
          <w:rFonts w:ascii="Arial" w:hAnsi="Arial" w:cs="Arial"/>
          <w:b/>
          <w:color w:val="000000" w:themeColor="text1"/>
          <w:sz w:val="22"/>
          <w:szCs w:val="22"/>
        </w:rPr>
        <w:t>, series of 2018</w:t>
      </w:r>
      <w:r w:rsidR="00417DC7" w:rsidRPr="005C32D0">
        <w:rPr>
          <w:rFonts w:ascii="Arial" w:hAnsi="Arial" w:cs="Arial"/>
          <w:b/>
          <w:color w:val="000000" w:themeColor="text1"/>
          <w:sz w:val="22"/>
          <w:szCs w:val="22"/>
        </w:rPr>
        <w:t xml:space="preserve"> and instead</w:t>
      </w:r>
      <w:r w:rsidR="00257906">
        <w:rPr>
          <w:rFonts w:ascii="Arial" w:hAnsi="Arial" w:cs="Arial"/>
          <w:b/>
          <w:color w:val="000000" w:themeColor="text1"/>
          <w:sz w:val="22"/>
          <w:szCs w:val="22"/>
        </w:rPr>
        <w:t>,</w:t>
      </w:r>
      <w:r w:rsidR="00417DC7" w:rsidRPr="005C32D0">
        <w:rPr>
          <w:rFonts w:ascii="Arial" w:hAnsi="Arial" w:cs="Arial"/>
          <w:b/>
          <w:color w:val="000000" w:themeColor="text1"/>
          <w:sz w:val="22"/>
          <w:szCs w:val="22"/>
        </w:rPr>
        <w:t xml:space="preserve"> follow the provisions in the STL Agency Agreement until its renewal, in view of the undue disadvantage suffered by PCSO on account of its issuance.</w:t>
      </w:r>
    </w:p>
    <w:p w:rsidR="00F74B7D" w:rsidRPr="00EF4855" w:rsidRDefault="00F74B7D" w:rsidP="004C39E3">
      <w:pPr>
        <w:pStyle w:val="ListParagraph"/>
        <w:rPr>
          <w:rFonts w:ascii="Arial" w:hAnsi="Arial" w:cs="Arial"/>
          <w:sz w:val="22"/>
          <w:szCs w:val="22"/>
        </w:rPr>
      </w:pPr>
    </w:p>
    <w:p w:rsidR="00257906" w:rsidRDefault="00B10610" w:rsidP="00DA78B4">
      <w:pPr>
        <w:pStyle w:val="ListParagraph"/>
        <w:numPr>
          <w:ilvl w:val="1"/>
          <w:numId w:val="21"/>
        </w:numPr>
        <w:ind w:left="1440"/>
        <w:jc w:val="both"/>
        <w:rPr>
          <w:rFonts w:ascii="Arial" w:hAnsi="Arial" w:cs="Arial"/>
          <w:sz w:val="22"/>
          <w:szCs w:val="22"/>
        </w:rPr>
      </w:pPr>
      <w:r w:rsidRPr="005943AE">
        <w:rPr>
          <w:rFonts w:ascii="Arial" w:hAnsi="Arial" w:cs="Arial"/>
          <w:sz w:val="22"/>
          <w:szCs w:val="22"/>
        </w:rPr>
        <w:t>Management</w:t>
      </w:r>
      <w:r w:rsidR="00257906">
        <w:rPr>
          <w:rFonts w:ascii="Arial" w:hAnsi="Arial" w:cs="Arial"/>
          <w:sz w:val="22"/>
          <w:szCs w:val="22"/>
        </w:rPr>
        <w:t>, through the PCSO Advisory Committee for the STL, commented that:</w:t>
      </w:r>
    </w:p>
    <w:p w:rsidR="00257906" w:rsidRDefault="00257906" w:rsidP="00257906">
      <w:pPr>
        <w:pStyle w:val="ListParagraph"/>
        <w:ind w:left="1440"/>
        <w:jc w:val="both"/>
        <w:rPr>
          <w:rFonts w:ascii="Arial" w:hAnsi="Arial" w:cs="Arial"/>
          <w:sz w:val="22"/>
          <w:szCs w:val="22"/>
        </w:rPr>
      </w:pPr>
    </w:p>
    <w:p w:rsidR="00534722" w:rsidRPr="00EF4855" w:rsidRDefault="00257906" w:rsidP="00DA78B4">
      <w:pPr>
        <w:pStyle w:val="ListParagraph"/>
        <w:numPr>
          <w:ilvl w:val="0"/>
          <w:numId w:val="26"/>
        </w:numPr>
        <w:tabs>
          <w:tab w:val="left" w:pos="1980"/>
        </w:tabs>
        <w:ind w:left="1980" w:hanging="540"/>
        <w:jc w:val="both"/>
        <w:rPr>
          <w:rFonts w:ascii="Arial" w:hAnsi="Arial" w:cs="Arial"/>
          <w:sz w:val="22"/>
          <w:szCs w:val="22"/>
        </w:rPr>
      </w:pPr>
      <w:r>
        <w:rPr>
          <w:rFonts w:ascii="Arial" w:hAnsi="Arial" w:cs="Arial"/>
          <w:sz w:val="22"/>
          <w:szCs w:val="22"/>
        </w:rPr>
        <w:t>T</w:t>
      </w:r>
      <w:r w:rsidR="00534722" w:rsidRPr="00EF4855">
        <w:rPr>
          <w:rFonts w:ascii="Arial" w:hAnsi="Arial" w:cs="Arial"/>
          <w:sz w:val="22"/>
          <w:szCs w:val="22"/>
        </w:rPr>
        <w:t xml:space="preserve">he Board approved soft payment scheme </w:t>
      </w:r>
      <w:r w:rsidR="00E61B54">
        <w:rPr>
          <w:rFonts w:ascii="Arial" w:hAnsi="Arial" w:cs="Arial"/>
          <w:sz w:val="22"/>
          <w:szCs w:val="22"/>
        </w:rPr>
        <w:t xml:space="preserve">was already </w:t>
      </w:r>
      <w:r w:rsidR="00534722" w:rsidRPr="00EF4855">
        <w:rPr>
          <w:rFonts w:ascii="Arial" w:hAnsi="Arial" w:cs="Arial"/>
          <w:sz w:val="22"/>
          <w:szCs w:val="22"/>
        </w:rPr>
        <w:t>endorsed and awaiting O</w:t>
      </w:r>
      <w:r>
        <w:rPr>
          <w:rFonts w:ascii="Arial" w:hAnsi="Arial" w:cs="Arial"/>
          <w:sz w:val="22"/>
          <w:szCs w:val="22"/>
        </w:rPr>
        <w:t xml:space="preserve">ffice of the </w:t>
      </w:r>
      <w:r w:rsidR="00534722" w:rsidRPr="00EF4855">
        <w:rPr>
          <w:rFonts w:ascii="Arial" w:hAnsi="Arial" w:cs="Arial"/>
          <w:sz w:val="22"/>
          <w:szCs w:val="22"/>
        </w:rPr>
        <w:t>P</w:t>
      </w:r>
      <w:r>
        <w:rPr>
          <w:rFonts w:ascii="Arial" w:hAnsi="Arial" w:cs="Arial"/>
          <w:sz w:val="22"/>
          <w:szCs w:val="22"/>
        </w:rPr>
        <w:t>resident (OP)</w:t>
      </w:r>
      <w:r w:rsidR="00534722" w:rsidRPr="00EF4855">
        <w:rPr>
          <w:rFonts w:ascii="Arial" w:hAnsi="Arial" w:cs="Arial"/>
          <w:sz w:val="22"/>
          <w:szCs w:val="22"/>
        </w:rPr>
        <w:t xml:space="preserve"> approval. The same shall form part of the 2018 STL IRR, as subsequent issuance of the Board to calibrate, manage and </w:t>
      </w:r>
      <w:r w:rsidR="00B10610" w:rsidRPr="00EF4855">
        <w:rPr>
          <w:rFonts w:ascii="Arial" w:hAnsi="Arial" w:cs="Arial"/>
          <w:sz w:val="22"/>
          <w:szCs w:val="22"/>
        </w:rPr>
        <w:t>a</w:t>
      </w:r>
      <w:r w:rsidR="00E61B54">
        <w:rPr>
          <w:rFonts w:ascii="Arial" w:hAnsi="Arial" w:cs="Arial"/>
          <w:sz w:val="22"/>
          <w:szCs w:val="22"/>
        </w:rPr>
        <w:t xml:space="preserve">ddress defaulted STL accounts. </w:t>
      </w:r>
      <w:r w:rsidR="00534722" w:rsidRPr="00EF4855">
        <w:rPr>
          <w:rFonts w:ascii="Arial" w:hAnsi="Arial" w:cs="Arial"/>
          <w:sz w:val="22"/>
          <w:szCs w:val="22"/>
        </w:rPr>
        <w:t xml:space="preserve">PCSO has not been complacent nor did it tolerate erring ASAs, in fact a number has been recommended and were </w:t>
      </w:r>
      <w:r>
        <w:rPr>
          <w:rFonts w:ascii="Arial" w:hAnsi="Arial" w:cs="Arial"/>
          <w:sz w:val="22"/>
          <w:szCs w:val="22"/>
        </w:rPr>
        <w:t>later, approved for termination.</w:t>
      </w:r>
    </w:p>
    <w:p w:rsidR="00534722" w:rsidRPr="00EF4855" w:rsidRDefault="00534722" w:rsidP="00B83E92">
      <w:pPr>
        <w:pStyle w:val="ListParagraph"/>
        <w:ind w:left="1296"/>
        <w:jc w:val="both"/>
        <w:rPr>
          <w:rFonts w:ascii="Arial" w:hAnsi="Arial" w:cs="Arial"/>
          <w:sz w:val="22"/>
          <w:szCs w:val="22"/>
        </w:rPr>
      </w:pPr>
    </w:p>
    <w:p w:rsidR="00534722" w:rsidRDefault="00257906" w:rsidP="00DA78B4">
      <w:pPr>
        <w:pStyle w:val="ListParagraph"/>
        <w:numPr>
          <w:ilvl w:val="0"/>
          <w:numId w:val="26"/>
        </w:numPr>
        <w:tabs>
          <w:tab w:val="left" w:pos="1980"/>
        </w:tabs>
        <w:ind w:left="1980" w:hanging="540"/>
        <w:jc w:val="both"/>
        <w:rPr>
          <w:rFonts w:ascii="Arial" w:hAnsi="Arial" w:cs="Arial"/>
          <w:sz w:val="22"/>
          <w:szCs w:val="22"/>
        </w:rPr>
      </w:pPr>
      <w:r>
        <w:rPr>
          <w:rFonts w:ascii="Arial" w:hAnsi="Arial" w:cs="Arial"/>
          <w:sz w:val="22"/>
          <w:szCs w:val="22"/>
        </w:rPr>
        <w:t>T</w:t>
      </w:r>
      <w:r w:rsidR="00534722" w:rsidRPr="000C3B54">
        <w:rPr>
          <w:rFonts w:ascii="Arial" w:hAnsi="Arial" w:cs="Arial"/>
          <w:sz w:val="22"/>
          <w:szCs w:val="22"/>
        </w:rPr>
        <w:t>he</w:t>
      </w:r>
      <w:r w:rsidR="00534722" w:rsidRPr="00EF4855">
        <w:rPr>
          <w:rFonts w:ascii="Arial" w:hAnsi="Arial" w:cs="Arial"/>
          <w:sz w:val="22"/>
          <w:szCs w:val="22"/>
        </w:rPr>
        <w:t xml:space="preserve"> hands of PCSO is tied to numerous injunctive reliefs (TRO/Writ of Preliminary Injunction) issued by the Courts, at the behest of ASAs that abuse the “arbitration clause” in the</w:t>
      </w:r>
      <w:r w:rsidR="00B83E92" w:rsidRPr="00EF4855">
        <w:rPr>
          <w:rFonts w:ascii="Arial" w:hAnsi="Arial" w:cs="Arial"/>
          <w:sz w:val="22"/>
          <w:szCs w:val="22"/>
        </w:rPr>
        <w:t xml:space="preserve"> agency contract of STL agents. </w:t>
      </w:r>
      <w:r w:rsidR="00534722" w:rsidRPr="00EF4855">
        <w:rPr>
          <w:rFonts w:ascii="Arial" w:hAnsi="Arial" w:cs="Arial"/>
          <w:sz w:val="22"/>
          <w:szCs w:val="22"/>
        </w:rPr>
        <w:t>The “arbitration clause” is a requirement of the Alternative Dispute Resolution Law (RA No. 9285 approved on April 2, 2004), to which PCSO ha</w:t>
      </w:r>
      <w:r>
        <w:rPr>
          <w:rFonts w:ascii="Arial" w:hAnsi="Arial" w:cs="Arial"/>
          <w:sz w:val="22"/>
          <w:szCs w:val="22"/>
        </w:rPr>
        <w:t>s no other option but to comply.</w:t>
      </w:r>
    </w:p>
    <w:p w:rsidR="0040097B" w:rsidRPr="0040097B" w:rsidRDefault="0040097B" w:rsidP="0040097B">
      <w:pPr>
        <w:pStyle w:val="ListParagraph"/>
        <w:rPr>
          <w:rFonts w:ascii="Arial" w:hAnsi="Arial" w:cs="Arial"/>
          <w:sz w:val="22"/>
          <w:szCs w:val="22"/>
        </w:rPr>
      </w:pPr>
    </w:p>
    <w:p w:rsidR="00B51385" w:rsidRDefault="00257906" w:rsidP="00DA78B4">
      <w:pPr>
        <w:pStyle w:val="ListParagraph"/>
        <w:numPr>
          <w:ilvl w:val="0"/>
          <w:numId w:val="26"/>
        </w:numPr>
        <w:tabs>
          <w:tab w:val="left" w:pos="1980"/>
        </w:tabs>
        <w:ind w:left="1980" w:hanging="540"/>
        <w:jc w:val="both"/>
        <w:rPr>
          <w:rFonts w:ascii="Arial" w:hAnsi="Arial" w:cs="Arial"/>
          <w:sz w:val="22"/>
          <w:szCs w:val="22"/>
        </w:rPr>
      </w:pPr>
      <w:r>
        <w:rPr>
          <w:rFonts w:ascii="Arial" w:hAnsi="Arial" w:cs="Arial"/>
          <w:sz w:val="22"/>
          <w:szCs w:val="22"/>
        </w:rPr>
        <w:t>J</w:t>
      </w:r>
      <w:r w:rsidR="00F43119" w:rsidRPr="00EF4855">
        <w:rPr>
          <w:rFonts w:ascii="Arial" w:hAnsi="Arial" w:cs="Arial"/>
          <w:sz w:val="22"/>
          <w:szCs w:val="22"/>
        </w:rPr>
        <w:t xml:space="preserve">ust like any other business that just started its operations, PCSO acknowledged </w:t>
      </w:r>
      <w:r w:rsidR="00E61B54">
        <w:rPr>
          <w:rFonts w:ascii="Arial" w:hAnsi="Arial" w:cs="Arial"/>
          <w:sz w:val="22"/>
          <w:szCs w:val="22"/>
        </w:rPr>
        <w:t xml:space="preserve">the fact </w:t>
      </w:r>
      <w:r w:rsidR="00F43119" w:rsidRPr="00EF4855">
        <w:rPr>
          <w:rFonts w:ascii="Arial" w:hAnsi="Arial" w:cs="Arial"/>
          <w:sz w:val="22"/>
          <w:szCs w:val="22"/>
        </w:rPr>
        <w:t>that it will be hard and almost impossible for the Authorized STL Agents (ASA</w:t>
      </w:r>
      <w:r>
        <w:rPr>
          <w:rFonts w:ascii="Arial" w:hAnsi="Arial" w:cs="Arial"/>
          <w:sz w:val="22"/>
          <w:szCs w:val="22"/>
        </w:rPr>
        <w:t>s</w:t>
      </w:r>
      <w:r w:rsidR="00F43119" w:rsidRPr="00EF4855">
        <w:rPr>
          <w:rFonts w:ascii="Arial" w:hAnsi="Arial" w:cs="Arial"/>
          <w:sz w:val="22"/>
          <w:szCs w:val="22"/>
        </w:rPr>
        <w:t xml:space="preserve">) to attain their PMRR under the 2016 </w:t>
      </w:r>
      <w:r w:rsidR="00666E32">
        <w:rPr>
          <w:rFonts w:ascii="Arial" w:hAnsi="Arial" w:cs="Arial"/>
          <w:sz w:val="22"/>
          <w:szCs w:val="22"/>
        </w:rPr>
        <w:t>R</w:t>
      </w:r>
      <w:r>
        <w:rPr>
          <w:rFonts w:ascii="Arial" w:hAnsi="Arial" w:cs="Arial"/>
          <w:sz w:val="22"/>
          <w:szCs w:val="22"/>
        </w:rPr>
        <w:t xml:space="preserve">evised </w:t>
      </w:r>
      <w:r w:rsidR="00F43119" w:rsidRPr="00EF4855">
        <w:rPr>
          <w:rFonts w:ascii="Arial" w:hAnsi="Arial" w:cs="Arial"/>
          <w:sz w:val="22"/>
          <w:szCs w:val="22"/>
        </w:rPr>
        <w:t>I</w:t>
      </w:r>
      <w:r w:rsidR="00B51385">
        <w:rPr>
          <w:rFonts w:ascii="Arial" w:hAnsi="Arial" w:cs="Arial"/>
          <w:sz w:val="22"/>
          <w:szCs w:val="22"/>
        </w:rPr>
        <w:t>RR during the first few months from the start of their operations. H</w:t>
      </w:r>
      <w:r w:rsidR="00F43119" w:rsidRPr="00EF4855">
        <w:rPr>
          <w:rFonts w:ascii="Arial" w:hAnsi="Arial" w:cs="Arial"/>
          <w:sz w:val="22"/>
          <w:szCs w:val="22"/>
        </w:rPr>
        <w:t>ence</w:t>
      </w:r>
      <w:r w:rsidR="00E61B54">
        <w:rPr>
          <w:rFonts w:ascii="Arial" w:hAnsi="Arial" w:cs="Arial"/>
          <w:sz w:val="22"/>
          <w:szCs w:val="22"/>
        </w:rPr>
        <w:t xml:space="preserve">, </w:t>
      </w:r>
      <w:r w:rsidR="00F43119" w:rsidRPr="00EF4855">
        <w:rPr>
          <w:rFonts w:ascii="Arial" w:hAnsi="Arial" w:cs="Arial"/>
          <w:sz w:val="22"/>
          <w:szCs w:val="22"/>
        </w:rPr>
        <w:t>the waiver of the ASA’s shortfall for their</w:t>
      </w:r>
      <w:r w:rsidR="00E61B54">
        <w:rPr>
          <w:rFonts w:ascii="Arial" w:hAnsi="Arial" w:cs="Arial"/>
          <w:sz w:val="22"/>
          <w:szCs w:val="22"/>
        </w:rPr>
        <w:t xml:space="preserve"> first </w:t>
      </w:r>
      <w:r w:rsidR="00F43119" w:rsidRPr="00EF4855">
        <w:rPr>
          <w:rFonts w:ascii="Arial" w:hAnsi="Arial" w:cs="Arial"/>
          <w:sz w:val="22"/>
          <w:szCs w:val="22"/>
        </w:rPr>
        <w:t>three months of operations.</w:t>
      </w:r>
      <w:r w:rsidR="003F3FC4" w:rsidRPr="00EF4855">
        <w:rPr>
          <w:rFonts w:ascii="Arial" w:hAnsi="Arial" w:cs="Arial"/>
          <w:sz w:val="22"/>
          <w:szCs w:val="22"/>
        </w:rPr>
        <w:t xml:space="preserve"> </w:t>
      </w:r>
    </w:p>
    <w:p w:rsidR="00257906" w:rsidRPr="00B51385" w:rsidRDefault="00257906" w:rsidP="00B51385">
      <w:pPr>
        <w:pStyle w:val="ListParagraph"/>
        <w:rPr>
          <w:rFonts w:ascii="Arial" w:hAnsi="Arial" w:cs="Arial"/>
          <w:sz w:val="22"/>
          <w:szCs w:val="22"/>
        </w:rPr>
      </w:pPr>
    </w:p>
    <w:p w:rsidR="00865455" w:rsidRPr="00EF4855" w:rsidRDefault="00E61B54" w:rsidP="00DA78B4">
      <w:pPr>
        <w:pStyle w:val="ListParagraph"/>
        <w:numPr>
          <w:ilvl w:val="0"/>
          <w:numId w:val="26"/>
        </w:numPr>
        <w:tabs>
          <w:tab w:val="left" w:pos="1980"/>
        </w:tabs>
        <w:ind w:left="1987" w:hanging="547"/>
        <w:jc w:val="both"/>
        <w:rPr>
          <w:rFonts w:ascii="Arial" w:hAnsi="Arial" w:cs="Arial"/>
          <w:sz w:val="22"/>
          <w:szCs w:val="22"/>
        </w:rPr>
      </w:pPr>
      <w:r>
        <w:rPr>
          <w:rFonts w:ascii="Arial" w:hAnsi="Arial" w:cs="Arial"/>
          <w:sz w:val="22"/>
          <w:szCs w:val="22"/>
        </w:rPr>
        <w:t>The</w:t>
      </w:r>
      <w:r w:rsidR="00E24137" w:rsidRPr="00EF4855">
        <w:rPr>
          <w:rFonts w:ascii="Arial" w:hAnsi="Arial" w:cs="Arial"/>
          <w:sz w:val="22"/>
          <w:szCs w:val="22"/>
        </w:rPr>
        <w:t xml:space="preserve"> </w:t>
      </w:r>
      <w:r w:rsidR="00F43119" w:rsidRPr="00EF4855">
        <w:rPr>
          <w:rFonts w:ascii="Arial" w:hAnsi="Arial" w:cs="Arial"/>
          <w:sz w:val="22"/>
          <w:szCs w:val="22"/>
        </w:rPr>
        <w:t>PCSO BR No. 0243</w:t>
      </w:r>
      <w:r w:rsidR="00257906">
        <w:rPr>
          <w:rFonts w:ascii="Arial" w:hAnsi="Arial" w:cs="Arial"/>
          <w:sz w:val="22"/>
          <w:szCs w:val="22"/>
        </w:rPr>
        <w:t>, Series</w:t>
      </w:r>
      <w:r w:rsidR="00F43119" w:rsidRPr="00EF4855">
        <w:rPr>
          <w:rFonts w:ascii="Arial" w:hAnsi="Arial" w:cs="Arial"/>
          <w:sz w:val="22"/>
          <w:szCs w:val="22"/>
        </w:rPr>
        <w:t xml:space="preserve"> 2018 was issued to include the Percentage Compliance for new ASAs in the 2018 STL R</w:t>
      </w:r>
      <w:r w:rsidR="00257906">
        <w:rPr>
          <w:rFonts w:ascii="Arial" w:hAnsi="Arial" w:cs="Arial"/>
          <w:sz w:val="22"/>
          <w:szCs w:val="22"/>
        </w:rPr>
        <w:t>evis</w:t>
      </w:r>
      <w:r w:rsidR="00F43119" w:rsidRPr="00EF4855">
        <w:rPr>
          <w:rFonts w:ascii="Arial" w:hAnsi="Arial" w:cs="Arial"/>
          <w:sz w:val="22"/>
          <w:szCs w:val="22"/>
        </w:rPr>
        <w:t>ed I</w:t>
      </w:r>
      <w:r w:rsidR="00257906">
        <w:rPr>
          <w:rFonts w:ascii="Arial" w:hAnsi="Arial" w:cs="Arial"/>
          <w:sz w:val="22"/>
          <w:szCs w:val="22"/>
        </w:rPr>
        <w:t>RR</w:t>
      </w:r>
      <w:r w:rsidR="00E24137" w:rsidRPr="00EF4855">
        <w:rPr>
          <w:rFonts w:ascii="Arial" w:hAnsi="Arial" w:cs="Arial"/>
          <w:sz w:val="22"/>
          <w:szCs w:val="22"/>
        </w:rPr>
        <w:t xml:space="preserve"> where </w:t>
      </w:r>
      <w:r w:rsidR="00F43119" w:rsidRPr="00EF4855">
        <w:rPr>
          <w:rFonts w:ascii="Arial" w:hAnsi="Arial" w:cs="Arial"/>
          <w:sz w:val="22"/>
          <w:szCs w:val="22"/>
        </w:rPr>
        <w:t>ASA</w:t>
      </w:r>
      <w:r w:rsidR="00666E32">
        <w:rPr>
          <w:rFonts w:ascii="Arial" w:hAnsi="Arial" w:cs="Arial"/>
          <w:sz w:val="22"/>
          <w:szCs w:val="22"/>
        </w:rPr>
        <w:t xml:space="preserve">s </w:t>
      </w:r>
      <w:r w:rsidR="00F43119" w:rsidRPr="00EF4855">
        <w:rPr>
          <w:rFonts w:ascii="Arial" w:hAnsi="Arial" w:cs="Arial"/>
          <w:sz w:val="22"/>
          <w:szCs w:val="22"/>
        </w:rPr>
        <w:t>are required to remit a minimum 20% compliance of their GMMRR for the 1st month of operation, 40% on the 2nd month and 100% on the 3rd month.</w:t>
      </w:r>
      <w:r w:rsidR="00865455" w:rsidRPr="00EF4855">
        <w:rPr>
          <w:rFonts w:ascii="Arial" w:hAnsi="Arial" w:cs="Arial"/>
          <w:sz w:val="22"/>
          <w:szCs w:val="22"/>
        </w:rPr>
        <w:t xml:space="preserve"> Moreover, the PCSO Board will be </w:t>
      </w:r>
      <w:r w:rsidR="00865455" w:rsidRPr="00EF4855">
        <w:rPr>
          <w:rFonts w:ascii="Arial" w:hAnsi="Arial" w:cs="Arial"/>
          <w:sz w:val="22"/>
          <w:szCs w:val="22"/>
        </w:rPr>
        <w:lastRenderedPageBreak/>
        <w:t xml:space="preserve">consulting the OGCC in so far as the recommendation to reverse and set aside the soft payment scheme in view of </w:t>
      </w:r>
      <w:r w:rsidR="00865455" w:rsidRPr="00175DED">
        <w:rPr>
          <w:rFonts w:ascii="Arial" w:hAnsi="Arial" w:cs="Arial"/>
          <w:sz w:val="22"/>
          <w:szCs w:val="22"/>
        </w:rPr>
        <w:t>Sec</w:t>
      </w:r>
      <w:r w:rsidR="0041531C">
        <w:rPr>
          <w:rFonts w:ascii="Arial" w:hAnsi="Arial" w:cs="Arial"/>
          <w:sz w:val="22"/>
          <w:szCs w:val="22"/>
        </w:rPr>
        <w:t>tion</w:t>
      </w:r>
      <w:r w:rsidR="00865455" w:rsidRPr="00175DED">
        <w:rPr>
          <w:rFonts w:ascii="Arial" w:hAnsi="Arial" w:cs="Arial"/>
          <w:sz w:val="22"/>
          <w:szCs w:val="22"/>
        </w:rPr>
        <w:t xml:space="preserve"> 36.</w:t>
      </w:r>
      <w:r w:rsidR="00257906">
        <w:rPr>
          <w:rFonts w:ascii="Arial" w:hAnsi="Arial" w:cs="Arial"/>
          <w:sz w:val="22"/>
          <w:szCs w:val="22"/>
        </w:rPr>
        <w:t>1, PD No. 1445.</w:t>
      </w:r>
    </w:p>
    <w:p w:rsidR="001D37BE" w:rsidRPr="00EF4855" w:rsidRDefault="001D37BE" w:rsidP="001D37BE">
      <w:pPr>
        <w:pStyle w:val="ListParagraph"/>
        <w:ind w:left="1296"/>
        <w:jc w:val="both"/>
        <w:rPr>
          <w:rFonts w:ascii="Arial" w:hAnsi="Arial" w:cs="Arial"/>
          <w:sz w:val="22"/>
          <w:szCs w:val="22"/>
        </w:rPr>
      </w:pPr>
    </w:p>
    <w:p w:rsidR="00F43119" w:rsidRPr="00EF4855" w:rsidRDefault="006F494A" w:rsidP="00DA78B4">
      <w:pPr>
        <w:pStyle w:val="ListParagraph"/>
        <w:numPr>
          <w:ilvl w:val="0"/>
          <w:numId w:val="26"/>
        </w:numPr>
        <w:tabs>
          <w:tab w:val="left" w:pos="1980"/>
        </w:tabs>
        <w:ind w:left="1987" w:hanging="547"/>
        <w:jc w:val="both"/>
        <w:rPr>
          <w:rFonts w:ascii="Arial" w:hAnsi="Arial" w:cs="Arial"/>
          <w:sz w:val="22"/>
          <w:szCs w:val="22"/>
        </w:rPr>
      </w:pPr>
      <w:r w:rsidRPr="00EF4855">
        <w:rPr>
          <w:rFonts w:ascii="Arial" w:hAnsi="Arial" w:cs="Arial"/>
          <w:sz w:val="22"/>
          <w:szCs w:val="22"/>
        </w:rPr>
        <w:t xml:space="preserve">With regard to </w:t>
      </w:r>
      <w:r w:rsidR="00666E32">
        <w:rPr>
          <w:rFonts w:ascii="Arial" w:hAnsi="Arial" w:cs="Arial"/>
          <w:sz w:val="22"/>
          <w:szCs w:val="22"/>
        </w:rPr>
        <w:t xml:space="preserve">the </w:t>
      </w:r>
      <w:r w:rsidRPr="00EF4855">
        <w:rPr>
          <w:rFonts w:ascii="Arial" w:hAnsi="Arial" w:cs="Arial"/>
          <w:sz w:val="22"/>
          <w:szCs w:val="22"/>
        </w:rPr>
        <w:t xml:space="preserve">revised PMRR basis </w:t>
      </w:r>
      <w:r w:rsidR="00666E32">
        <w:rPr>
          <w:rFonts w:ascii="Arial" w:hAnsi="Arial" w:cs="Arial"/>
          <w:sz w:val="22"/>
          <w:szCs w:val="22"/>
        </w:rPr>
        <w:t>for computation of shortfall,</w:t>
      </w:r>
      <w:r w:rsidR="00E24137" w:rsidRPr="00EF4855">
        <w:rPr>
          <w:rFonts w:ascii="Arial" w:hAnsi="Arial" w:cs="Arial"/>
          <w:sz w:val="22"/>
          <w:szCs w:val="22"/>
        </w:rPr>
        <w:t xml:space="preserve"> </w:t>
      </w:r>
      <w:r w:rsidR="00F43119" w:rsidRPr="00EF4855">
        <w:rPr>
          <w:rFonts w:ascii="Arial" w:hAnsi="Arial" w:cs="Arial"/>
          <w:sz w:val="22"/>
          <w:szCs w:val="22"/>
        </w:rPr>
        <w:t>PCSO acknowledged that the PMRR was already unattainable for most ASAs who incurred shortfall from t</w:t>
      </w:r>
      <w:r w:rsidRPr="00EF4855">
        <w:rPr>
          <w:rFonts w:ascii="Arial" w:hAnsi="Arial" w:cs="Arial"/>
          <w:sz w:val="22"/>
          <w:szCs w:val="22"/>
        </w:rPr>
        <w:t>heir first month of operation and t</w:t>
      </w:r>
      <w:r w:rsidR="00F43119" w:rsidRPr="00EF4855">
        <w:rPr>
          <w:rFonts w:ascii="Arial" w:hAnsi="Arial" w:cs="Arial"/>
          <w:sz w:val="22"/>
          <w:szCs w:val="22"/>
        </w:rPr>
        <w:t>his was the product of deliberate expansion of the previous PCSO administration particularly on the indiscriminate approval of PMRR offers of ASAs.  For this reason, the average of three (3) highest monthly sales within the ASAs operation was considered the logical and reasonable GMMRR until its re-evaluation before the signing of their new STL Agency Agreement, coupled with the desire of the B</w:t>
      </w:r>
      <w:r w:rsidR="009877B3">
        <w:rPr>
          <w:rFonts w:ascii="Arial" w:hAnsi="Arial" w:cs="Arial"/>
          <w:sz w:val="22"/>
          <w:szCs w:val="22"/>
        </w:rPr>
        <w:t>oard</w:t>
      </w:r>
      <w:r w:rsidR="00F43119" w:rsidRPr="00EF4855">
        <w:rPr>
          <w:rFonts w:ascii="Arial" w:hAnsi="Arial" w:cs="Arial"/>
          <w:sz w:val="22"/>
          <w:szCs w:val="22"/>
        </w:rPr>
        <w:t xml:space="preserve"> to collect the shortfall and come up with a realistic method.</w:t>
      </w:r>
    </w:p>
    <w:p w:rsidR="00F43119" w:rsidRPr="00EF4855" w:rsidRDefault="00F43119" w:rsidP="004C39E3">
      <w:pPr>
        <w:pStyle w:val="ListParagraph"/>
        <w:ind w:left="420"/>
        <w:jc w:val="both"/>
        <w:rPr>
          <w:rFonts w:ascii="Arial" w:hAnsi="Arial" w:cs="Arial"/>
          <w:sz w:val="22"/>
          <w:szCs w:val="22"/>
        </w:rPr>
      </w:pPr>
    </w:p>
    <w:p w:rsidR="007447D5" w:rsidRPr="00EF4855" w:rsidRDefault="009877B3" w:rsidP="00DA78B4">
      <w:pPr>
        <w:pStyle w:val="ListParagraph"/>
        <w:numPr>
          <w:ilvl w:val="0"/>
          <w:numId w:val="26"/>
        </w:numPr>
        <w:tabs>
          <w:tab w:val="left" w:pos="1980"/>
        </w:tabs>
        <w:ind w:left="1987" w:hanging="547"/>
        <w:jc w:val="both"/>
        <w:rPr>
          <w:rFonts w:ascii="Arial" w:hAnsi="Arial" w:cs="Arial"/>
          <w:sz w:val="22"/>
          <w:szCs w:val="22"/>
        </w:rPr>
      </w:pPr>
      <w:r>
        <w:rPr>
          <w:rFonts w:ascii="Arial" w:hAnsi="Arial" w:cs="Arial"/>
          <w:sz w:val="22"/>
          <w:szCs w:val="22"/>
        </w:rPr>
        <w:t>The</w:t>
      </w:r>
      <w:r w:rsidR="005D5FD0">
        <w:rPr>
          <w:rFonts w:ascii="Arial" w:hAnsi="Arial" w:cs="Arial"/>
          <w:sz w:val="22"/>
          <w:szCs w:val="22"/>
        </w:rPr>
        <w:t xml:space="preserve"> </w:t>
      </w:r>
      <w:r w:rsidR="007447D5" w:rsidRPr="00EF4855">
        <w:rPr>
          <w:rFonts w:ascii="Arial" w:hAnsi="Arial" w:cs="Arial"/>
          <w:sz w:val="22"/>
          <w:szCs w:val="22"/>
        </w:rPr>
        <w:t>Board Resolution No. 0401 dated Nov</w:t>
      </w:r>
      <w:r>
        <w:rPr>
          <w:rFonts w:ascii="Arial" w:hAnsi="Arial" w:cs="Arial"/>
          <w:sz w:val="22"/>
          <w:szCs w:val="22"/>
        </w:rPr>
        <w:t>ember</w:t>
      </w:r>
      <w:r w:rsidR="007447D5" w:rsidRPr="00EF4855">
        <w:rPr>
          <w:rFonts w:ascii="Arial" w:hAnsi="Arial" w:cs="Arial"/>
          <w:sz w:val="22"/>
          <w:szCs w:val="22"/>
        </w:rPr>
        <w:t xml:space="preserve"> 22, 2018 was issued as part of the review of PMRR. New rates were introduced on the 13th Month of operation of ASA considering that most (with the exception of the original 18 STL AAC) failed and continue to fail, to remit their original and proposed PMRR. All ASA</w:t>
      </w:r>
      <w:r w:rsidR="00666E32">
        <w:rPr>
          <w:rFonts w:ascii="Arial" w:hAnsi="Arial" w:cs="Arial"/>
          <w:sz w:val="22"/>
          <w:szCs w:val="22"/>
        </w:rPr>
        <w:t>s</w:t>
      </w:r>
      <w:r w:rsidR="007447D5" w:rsidRPr="00EF4855">
        <w:rPr>
          <w:rFonts w:ascii="Arial" w:hAnsi="Arial" w:cs="Arial"/>
          <w:sz w:val="22"/>
          <w:szCs w:val="22"/>
        </w:rPr>
        <w:t xml:space="preserve"> have already been required to update and replenish their respective cash bonds.</w:t>
      </w:r>
    </w:p>
    <w:p w:rsidR="007447D5" w:rsidRPr="00EF4855" w:rsidRDefault="007447D5" w:rsidP="007447D5">
      <w:pPr>
        <w:pStyle w:val="ListParagraph"/>
        <w:ind w:left="1296"/>
        <w:jc w:val="both"/>
        <w:rPr>
          <w:rFonts w:ascii="Arial" w:hAnsi="Arial" w:cs="Arial"/>
          <w:sz w:val="22"/>
          <w:szCs w:val="22"/>
        </w:rPr>
      </w:pPr>
    </w:p>
    <w:p w:rsidR="00666E32" w:rsidRDefault="007447D5" w:rsidP="00DA78B4">
      <w:pPr>
        <w:pStyle w:val="ListParagraph"/>
        <w:numPr>
          <w:ilvl w:val="0"/>
          <w:numId w:val="26"/>
        </w:numPr>
        <w:tabs>
          <w:tab w:val="left" w:pos="1980"/>
        </w:tabs>
        <w:ind w:left="1987" w:hanging="547"/>
        <w:jc w:val="both"/>
        <w:rPr>
          <w:rFonts w:ascii="Arial" w:hAnsi="Arial" w:cs="Arial"/>
          <w:sz w:val="22"/>
          <w:szCs w:val="22"/>
        </w:rPr>
      </w:pPr>
      <w:r w:rsidRPr="00EF4855">
        <w:rPr>
          <w:rFonts w:ascii="Arial" w:hAnsi="Arial" w:cs="Arial"/>
          <w:sz w:val="22"/>
          <w:szCs w:val="22"/>
        </w:rPr>
        <w:t xml:space="preserve">The </w:t>
      </w:r>
      <w:r w:rsidR="009877B3">
        <w:rPr>
          <w:rFonts w:ascii="Arial" w:hAnsi="Arial" w:cs="Arial"/>
          <w:sz w:val="22"/>
          <w:szCs w:val="22"/>
        </w:rPr>
        <w:t>PCSO</w:t>
      </w:r>
      <w:r w:rsidRPr="00EF4855">
        <w:rPr>
          <w:rFonts w:ascii="Arial" w:hAnsi="Arial" w:cs="Arial"/>
          <w:sz w:val="22"/>
          <w:szCs w:val="22"/>
        </w:rPr>
        <w:t xml:space="preserve"> forfeited the cash bonds of defaulted ASAs</w:t>
      </w:r>
      <w:r w:rsidR="009877B3">
        <w:rPr>
          <w:rFonts w:ascii="Arial" w:hAnsi="Arial" w:cs="Arial"/>
          <w:sz w:val="22"/>
          <w:szCs w:val="22"/>
        </w:rPr>
        <w:t>;</w:t>
      </w:r>
      <w:r w:rsidRPr="00EF4855">
        <w:rPr>
          <w:rFonts w:ascii="Arial" w:hAnsi="Arial" w:cs="Arial"/>
          <w:sz w:val="22"/>
          <w:szCs w:val="22"/>
        </w:rPr>
        <w:t xml:space="preserve"> the reported uncollected cash bonds </w:t>
      </w:r>
      <w:r w:rsidR="00557BC6">
        <w:rPr>
          <w:rFonts w:ascii="Arial" w:hAnsi="Arial" w:cs="Arial"/>
          <w:sz w:val="22"/>
          <w:szCs w:val="22"/>
        </w:rPr>
        <w:t>were</w:t>
      </w:r>
      <w:r w:rsidRPr="00EF4855">
        <w:rPr>
          <w:rFonts w:ascii="Arial" w:hAnsi="Arial" w:cs="Arial"/>
          <w:sz w:val="22"/>
          <w:szCs w:val="22"/>
        </w:rPr>
        <w:t xml:space="preserve"> only subject to accounts reconciliation by the Accounting and Budget Department. Moreover, other stop-gap actions to arrest shortfalls </w:t>
      </w:r>
      <w:r w:rsidR="00557BC6">
        <w:rPr>
          <w:rFonts w:ascii="Arial" w:hAnsi="Arial" w:cs="Arial"/>
          <w:sz w:val="22"/>
          <w:szCs w:val="22"/>
        </w:rPr>
        <w:t>are</w:t>
      </w:r>
      <w:r w:rsidRPr="00EF4855">
        <w:rPr>
          <w:rFonts w:ascii="Arial" w:hAnsi="Arial" w:cs="Arial"/>
          <w:sz w:val="22"/>
          <w:szCs w:val="22"/>
        </w:rPr>
        <w:t xml:space="preserve"> now being studied and seriously considered by PCSO such as </w:t>
      </w:r>
      <w:r w:rsidR="00666E32">
        <w:rPr>
          <w:rFonts w:ascii="Arial" w:hAnsi="Arial" w:cs="Arial"/>
          <w:sz w:val="22"/>
          <w:szCs w:val="22"/>
        </w:rPr>
        <w:t>the following:</w:t>
      </w:r>
    </w:p>
    <w:p w:rsidR="00666E32" w:rsidRPr="00666E32" w:rsidRDefault="00666E32" w:rsidP="00666E32">
      <w:pPr>
        <w:pStyle w:val="ListParagraph"/>
        <w:rPr>
          <w:rFonts w:ascii="Arial" w:hAnsi="Arial" w:cs="Arial"/>
          <w:sz w:val="22"/>
          <w:szCs w:val="22"/>
        </w:rPr>
      </w:pPr>
    </w:p>
    <w:p w:rsidR="005943AE" w:rsidRPr="00557BC6" w:rsidRDefault="007447D5" w:rsidP="00DA78B4">
      <w:pPr>
        <w:pStyle w:val="ListParagraph"/>
        <w:numPr>
          <w:ilvl w:val="0"/>
          <w:numId w:val="27"/>
        </w:numPr>
        <w:ind w:left="2520" w:hanging="540"/>
        <w:jc w:val="both"/>
        <w:rPr>
          <w:rFonts w:ascii="Arial" w:hAnsi="Arial" w:cs="Arial"/>
          <w:sz w:val="22"/>
          <w:szCs w:val="22"/>
        </w:rPr>
      </w:pPr>
      <w:r w:rsidRPr="00557BC6">
        <w:rPr>
          <w:rFonts w:ascii="Arial" w:hAnsi="Arial" w:cs="Arial"/>
          <w:sz w:val="22"/>
          <w:szCs w:val="22"/>
        </w:rPr>
        <w:t xml:space="preserve">Increase of CASH BOND from only one (1) month to three (3) months; </w:t>
      </w:r>
    </w:p>
    <w:p w:rsidR="005943AE" w:rsidRPr="00557BC6" w:rsidRDefault="007447D5" w:rsidP="00DA78B4">
      <w:pPr>
        <w:pStyle w:val="ListParagraph"/>
        <w:numPr>
          <w:ilvl w:val="0"/>
          <w:numId w:val="27"/>
        </w:numPr>
        <w:ind w:left="2520" w:hanging="540"/>
        <w:jc w:val="both"/>
        <w:rPr>
          <w:rFonts w:ascii="Arial" w:hAnsi="Arial" w:cs="Arial"/>
          <w:sz w:val="22"/>
          <w:szCs w:val="22"/>
        </w:rPr>
      </w:pPr>
      <w:r w:rsidRPr="00557BC6">
        <w:rPr>
          <w:rFonts w:ascii="Arial" w:hAnsi="Arial" w:cs="Arial"/>
          <w:sz w:val="22"/>
          <w:szCs w:val="22"/>
        </w:rPr>
        <w:t xml:space="preserve">Limiting duration of STL agency contracts to six (6) months, subject to </w:t>
      </w:r>
      <w:r w:rsidR="00666E32" w:rsidRPr="00557BC6">
        <w:rPr>
          <w:rFonts w:ascii="Arial" w:hAnsi="Arial" w:cs="Arial"/>
          <w:sz w:val="22"/>
          <w:szCs w:val="22"/>
        </w:rPr>
        <w:t xml:space="preserve">  </w:t>
      </w:r>
      <w:r w:rsidRPr="00557BC6">
        <w:rPr>
          <w:rFonts w:ascii="Arial" w:hAnsi="Arial" w:cs="Arial"/>
          <w:sz w:val="22"/>
          <w:szCs w:val="22"/>
        </w:rPr>
        <w:t xml:space="preserve">renewal; </w:t>
      </w:r>
    </w:p>
    <w:p w:rsidR="005943AE" w:rsidRPr="00557BC6" w:rsidRDefault="007447D5" w:rsidP="00DA78B4">
      <w:pPr>
        <w:pStyle w:val="ListParagraph"/>
        <w:numPr>
          <w:ilvl w:val="0"/>
          <w:numId w:val="27"/>
        </w:numPr>
        <w:ind w:left="2520" w:hanging="540"/>
        <w:jc w:val="both"/>
        <w:rPr>
          <w:rFonts w:ascii="Arial" w:hAnsi="Arial" w:cs="Arial"/>
          <w:sz w:val="22"/>
          <w:szCs w:val="22"/>
        </w:rPr>
      </w:pPr>
      <w:r w:rsidRPr="00557BC6">
        <w:rPr>
          <w:rFonts w:ascii="Arial" w:hAnsi="Arial" w:cs="Arial"/>
          <w:sz w:val="22"/>
          <w:szCs w:val="22"/>
        </w:rPr>
        <w:t>Stricter proofs of financial capacity to meet the PMRR</w:t>
      </w:r>
      <w:r w:rsidR="005943AE" w:rsidRPr="00557BC6">
        <w:rPr>
          <w:rFonts w:ascii="Arial" w:hAnsi="Arial" w:cs="Arial"/>
          <w:sz w:val="22"/>
          <w:szCs w:val="22"/>
        </w:rPr>
        <w:t>, now GMMRR, as they become due;</w:t>
      </w:r>
    </w:p>
    <w:p w:rsidR="005943AE" w:rsidRPr="00557BC6" w:rsidRDefault="007447D5" w:rsidP="00DA78B4">
      <w:pPr>
        <w:pStyle w:val="ListParagraph"/>
        <w:numPr>
          <w:ilvl w:val="0"/>
          <w:numId w:val="27"/>
        </w:numPr>
        <w:ind w:left="2520" w:hanging="540"/>
        <w:jc w:val="both"/>
        <w:rPr>
          <w:rFonts w:ascii="Arial" w:hAnsi="Arial" w:cs="Arial"/>
          <w:sz w:val="22"/>
          <w:szCs w:val="22"/>
        </w:rPr>
      </w:pPr>
      <w:r w:rsidRPr="00557BC6">
        <w:rPr>
          <w:rFonts w:ascii="Arial" w:hAnsi="Arial" w:cs="Arial"/>
          <w:sz w:val="22"/>
          <w:szCs w:val="22"/>
        </w:rPr>
        <w:t xml:space="preserve">Adoption of Net Financial Contracting Capacity (NFCC) equivalent to 100% of the proposed GMMRR, based on assets and liabilities, as reported to BIR; </w:t>
      </w:r>
    </w:p>
    <w:p w:rsidR="005943AE" w:rsidRPr="00557BC6" w:rsidRDefault="007447D5" w:rsidP="00DA78B4">
      <w:pPr>
        <w:pStyle w:val="ListParagraph"/>
        <w:numPr>
          <w:ilvl w:val="0"/>
          <w:numId w:val="27"/>
        </w:numPr>
        <w:ind w:left="2520" w:hanging="540"/>
        <w:jc w:val="both"/>
        <w:rPr>
          <w:rFonts w:ascii="Arial" w:hAnsi="Arial" w:cs="Arial"/>
          <w:sz w:val="22"/>
          <w:szCs w:val="22"/>
        </w:rPr>
      </w:pPr>
      <w:r w:rsidRPr="00557BC6">
        <w:rPr>
          <w:rFonts w:ascii="Arial" w:hAnsi="Arial" w:cs="Arial"/>
          <w:sz w:val="22"/>
          <w:szCs w:val="22"/>
        </w:rPr>
        <w:t xml:space="preserve">Adoption of STL Official Retail Receipt (tickets) to enable the BIR to help PCSO track actual STL ticket sales; </w:t>
      </w:r>
    </w:p>
    <w:p w:rsidR="005943AE" w:rsidRPr="00557BC6" w:rsidRDefault="007447D5" w:rsidP="00DA78B4">
      <w:pPr>
        <w:pStyle w:val="ListParagraph"/>
        <w:numPr>
          <w:ilvl w:val="0"/>
          <w:numId w:val="27"/>
        </w:numPr>
        <w:ind w:left="2520" w:hanging="540"/>
        <w:jc w:val="both"/>
        <w:rPr>
          <w:rFonts w:ascii="Arial" w:hAnsi="Arial" w:cs="Arial"/>
          <w:sz w:val="22"/>
          <w:szCs w:val="22"/>
        </w:rPr>
      </w:pPr>
      <w:r w:rsidRPr="00557BC6">
        <w:rPr>
          <w:rFonts w:ascii="Arial" w:hAnsi="Arial" w:cs="Arial"/>
          <w:sz w:val="22"/>
          <w:szCs w:val="22"/>
        </w:rPr>
        <w:t>Request to BIR to consolidate all tax accounts of STL Authorized Agents to the Large Taxpayers Division (LRTD 3) of the BIR Head Office, for efficient tax compliance monitoring;</w:t>
      </w:r>
      <w:r w:rsidR="00962806" w:rsidRPr="00557BC6">
        <w:rPr>
          <w:rFonts w:ascii="Arial" w:hAnsi="Arial" w:cs="Arial"/>
          <w:sz w:val="22"/>
          <w:szCs w:val="22"/>
        </w:rPr>
        <w:t xml:space="preserve"> and </w:t>
      </w:r>
      <w:r w:rsidRPr="00557BC6">
        <w:rPr>
          <w:rFonts w:ascii="Arial" w:hAnsi="Arial" w:cs="Arial"/>
          <w:sz w:val="22"/>
          <w:szCs w:val="22"/>
        </w:rPr>
        <w:t xml:space="preserve"> </w:t>
      </w:r>
    </w:p>
    <w:p w:rsidR="007447D5" w:rsidRDefault="007447D5" w:rsidP="00DA78B4">
      <w:pPr>
        <w:pStyle w:val="ListParagraph"/>
        <w:numPr>
          <w:ilvl w:val="0"/>
          <w:numId w:val="27"/>
        </w:numPr>
        <w:ind w:left="2520" w:hanging="540"/>
        <w:jc w:val="both"/>
        <w:rPr>
          <w:rFonts w:ascii="Arial" w:hAnsi="Arial" w:cs="Arial"/>
          <w:sz w:val="22"/>
          <w:szCs w:val="22"/>
        </w:rPr>
      </w:pPr>
      <w:r w:rsidRPr="00557BC6">
        <w:rPr>
          <w:rFonts w:ascii="Arial" w:hAnsi="Arial" w:cs="Arial"/>
          <w:sz w:val="22"/>
          <w:szCs w:val="22"/>
        </w:rPr>
        <w:t>Re-invigorated coordination with PNP, CIDG, DOJ, NBI, DILG and OP to assist PCSO in crackdowns on competing illegal numbers games; and policy issuance against use of LOTTO Agents (retailers)</w:t>
      </w:r>
      <w:r w:rsidR="008E5B78" w:rsidRPr="00557BC6">
        <w:rPr>
          <w:rFonts w:ascii="Arial" w:hAnsi="Arial" w:cs="Arial"/>
          <w:sz w:val="22"/>
          <w:szCs w:val="22"/>
        </w:rPr>
        <w:t>.</w:t>
      </w:r>
    </w:p>
    <w:p w:rsidR="00B615B3" w:rsidRPr="00557BC6" w:rsidRDefault="00B615B3" w:rsidP="00B615B3">
      <w:pPr>
        <w:pStyle w:val="ListParagraph"/>
        <w:ind w:left="2520"/>
        <w:jc w:val="both"/>
        <w:rPr>
          <w:rFonts w:ascii="Arial" w:hAnsi="Arial" w:cs="Arial"/>
          <w:sz w:val="22"/>
          <w:szCs w:val="22"/>
        </w:rPr>
      </w:pPr>
    </w:p>
    <w:p w:rsidR="00962806" w:rsidRPr="00EF4855" w:rsidRDefault="00B615B3" w:rsidP="00B615B3">
      <w:pPr>
        <w:pStyle w:val="ListParagraph"/>
        <w:tabs>
          <w:tab w:val="left" w:pos="1440"/>
        </w:tabs>
        <w:ind w:left="1440" w:hanging="720"/>
        <w:jc w:val="both"/>
        <w:rPr>
          <w:rFonts w:ascii="Arial" w:hAnsi="Arial" w:cs="Arial"/>
          <w:sz w:val="22"/>
          <w:szCs w:val="22"/>
        </w:rPr>
      </w:pPr>
      <w:r>
        <w:rPr>
          <w:rFonts w:ascii="Arial" w:hAnsi="Arial" w:cs="Arial"/>
          <w:sz w:val="22"/>
          <w:szCs w:val="22"/>
        </w:rPr>
        <w:lastRenderedPageBreak/>
        <w:t xml:space="preserve">13.14 </w:t>
      </w:r>
      <w:r>
        <w:rPr>
          <w:rFonts w:ascii="Arial" w:hAnsi="Arial" w:cs="Arial"/>
          <w:sz w:val="22"/>
          <w:szCs w:val="22"/>
        </w:rPr>
        <w:tab/>
        <w:t>As a rejoinder</w:t>
      </w:r>
      <w:r w:rsidR="00834FC3">
        <w:rPr>
          <w:rFonts w:ascii="Arial" w:hAnsi="Arial" w:cs="Arial"/>
          <w:sz w:val="22"/>
          <w:szCs w:val="22"/>
        </w:rPr>
        <w:t>,</w:t>
      </w:r>
      <w:r>
        <w:rPr>
          <w:rFonts w:ascii="Arial" w:hAnsi="Arial" w:cs="Arial"/>
          <w:sz w:val="22"/>
          <w:szCs w:val="22"/>
        </w:rPr>
        <w:t xml:space="preserve"> we acknowledged the explanation given by Management, however, all actions should be consistent with prescribed laws, rules and regulations to protect foremost the interest of the government and secondly the PCSO.</w:t>
      </w:r>
    </w:p>
    <w:p w:rsidR="007447D5" w:rsidRDefault="007447D5" w:rsidP="007447D5">
      <w:pPr>
        <w:pStyle w:val="ListParagraph"/>
        <w:rPr>
          <w:rFonts w:ascii="Arial" w:hAnsi="Arial" w:cs="Arial"/>
          <w:sz w:val="22"/>
          <w:szCs w:val="22"/>
        </w:rPr>
      </w:pPr>
    </w:p>
    <w:p w:rsidR="004C4BBF" w:rsidRPr="00EF4855" w:rsidRDefault="004C4BBF" w:rsidP="007447D5">
      <w:pPr>
        <w:pStyle w:val="ListParagraph"/>
        <w:rPr>
          <w:rFonts w:ascii="Arial" w:hAnsi="Arial" w:cs="Arial"/>
          <w:sz w:val="22"/>
          <w:szCs w:val="22"/>
        </w:rPr>
      </w:pPr>
    </w:p>
    <w:p w:rsidR="008A230C" w:rsidRPr="00557BC6" w:rsidRDefault="008A230C" w:rsidP="00DA78B4">
      <w:pPr>
        <w:pStyle w:val="NoSpacing"/>
        <w:numPr>
          <w:ilvl w:val="0"/>
          <w:numId w:val="21"/>
        </w:numPr>
        <w:ind w:left="720" w:hanging="720"/>
        <w:jc w:val="both"/>
        <w:rPr>
          <w:rFonts w:ascii="Arial" w:hAnsi="Arial" w:cs="Arial"/>
          <w:b/>
          <w:color w:val="000000" w:themeColor="text1"/>
        </w:rPr>
      </w:pPr>
      <w:r w:rsidRPr="00557BC6">
        <w:rPr>
          <w:rFonts w:ascii="Arial" w:hAnsi="Arial" w:cs="Arial"/>
          <w:b/>
          <w:color w:val="000000" w:themeColor="text1"/>
        </w:rPr>
        <w:t>The total amount of P</w:t>
      </w:r>
      <w:r w:rsidR="005E5E0A">
        <w:rPr>
          <w:rFonts w:ascii="Arial" w:hAnsi="Arial" w:cs="Arial"/>
          <w:b/>
          <w:color w:val="000000" w:themeColor="text1"/>
        </w:rPr>
        <w:t>6</w:t>
      </w:r>
      <w:r w:rsidRPr="00557BC6">
        <w:rPr>
          <w:rFonts w:ascii="Arial" w:hAnsi="Arial" w:cs="Arial"/>
          <w:b/>
          <w:color w:val="000000" w:themeColor="text1"/>
        </w:rPr>
        <w:t xml:space="preserve">84.302 million, consisting of forfeited prizes for Keno games during CYs 2015 to 2017 in the total amount of P184.302 million as well as the remaining balance of the 2017 unutilized operating fund of P500 million, </w:t>
      </w:r>
      <w:r w:rsidR="00AC57E5" w:rsidRPr="00557BC6">
        <w:rPr>
          <w:rFonts w:ascii="Arial" w:hAnsi="Arial" w:cs="Arial"/>
          <w:b/>
          <w:color w:val="000000" w:themeColor="text1"/>
        </w:rPr>
        <w:t>were</w:t>
      </w:r>
      <w:r w:rsidRPr="00557BC6">
        <w:rPr>
          <w:rFonts w:ascii="Arial" w:hAnsi="Arial" w:cs="Arial"/>
          <w:b/>
          <w:color w:val="000000" w:themeColor="text1"/>
        </w:rPr>
        <w:t xml:space="preserve"> not yet transferred to the Charity Fund, contrary to Sections 6.A and 6.D of Republic Act (RA) No. 1169, otherwise known as the PCSO Charter, which could have provided the much-needed fund for the various charitable programs of the PCSO, most specially the Individual Medical Assistance Program (IMAP).</w:t>
      </w:r>
    </w:p>
    <w:p w:rsidR="008A230C" w:rsidRPr="00EF4855" w:rsidRDefault="008A230C" w:rsidP="004C39E3">
      <w:pPr>
        <w:pStyle w:val="ListParagraph"/>
        <w:rPr>
          <w:rFonts w:ascii="Arial" w:hAnsi="Arial" w:cs="Arial"/>
          <w:sz w:val="22"/>
          <w:szCs w:val="22"/>
        </w:rPr>
      </w:pPr>
    </w:p>
    <w:p w:rsidR="00785B30" w:rsidRPr="001635A3" w:rsidRDefault="00785B30" w:rsidP="00DA78B4">
      <w:pPr>
        <w:pStyle w:val="ListParagraph"/>
        <w:numPr>
          <w:ilvl w:val="1"/>
          <w:numId w:val="21"/>
        </w:numPr>
        <w:shd w:val="clear" w:color="auto" w:fill="FFFFFF"/>
        <w:ind w:left="1440"/>
        <w:jc w:val="both"/>
        <w:rPr>
          <w:rFonts w:ascii="Arial" w:hAnsi="Arial" w:cs="Arial"/>
          <w:i/>
          <w:color w:val="333333"/>
          <w:sz w:val="22"/>
          <w:szCs w:val="22"/>
        </w:rPr>
      </w:pPr>
      <w:r w:rsidRPr="001635A3">
        <w:rPr>
          <w:rStyle w:val="Strong"/>
          <w:rFonts w:ascii="Arial" w:hAnsi="Arial" w:cs="Arial"/>
          <w:b w:val="0"/>
          <w:color w:val="333333"/>
          <w:sz w:val="22"/>
          <w:szCs w:val="22"/>
          <w:shd w:val="clear" w:color="auto" w:fill="FFFFFF"/>
        </w:rPr>
        <w:t>Section 6.A of RA No. 1169, otherwise known as the PCSO Charter provides that</w:t>
      </w:r>
      <w:r w:rsidR="001635A3">
        <w:rPr>
          <w:rStyle w:val="Strong"/>
          <w:rFonts w:ascii="Arial" w:hAnsi="Arial" w:cs="Arial"/>
          <w:b w:val="0"/>
          <w:color w:val="333333"/>
          <w:sz w:val="22"/>
          <w:szCs w:val="22"/>
          <w:shd w:val="clear" w:color="auto" w:fill="FFFFFF"/>
        </w:rPr>
        <w:t>, “</w:t>
      </w:r>
      <w:r w:rsidRPr="001635A3">
        <w:rPr>
          <w:rFonts w:ascii="Arial" w:hAnsi="Arial" w:cs="Arial"/>
          <w:i/>
          <w:color w:val="333333"/>
          <w:sz w:val="22"/>
          <w:szCs w:val="22"/>
        </w:rPr>
        <w:t>Prizes not claimed by the public within one year from date of draw shall be considered forfeited, and shall form part of the charity fund f</w:t>
      </w:r>
      <w:r w:rsidR="00765711" w:rsidRPr="001635A3">
        <w:rPr>
          <w:rFonts w:ascii="Arial" w:hAnsi="Arial" w:cs="Arial"/>
          <w:i/>
          <w:color w:val="333333"/>
          <w:sz w:val="22"/>
          <w:szCs w:val="22"/>
        </w:rPr>
        <w:t>or disposition as stated below.</w:t>
      </w:r>
      <w:r w:rsidR="001635A3">
        <w:rPr>
          <w:rFonts w:ascii="Arial" w:hAnsi="Arial" w:cs="Arial"/>
          <w:i/>
          <w:color w:val="333333"/>
          <w:sz w:val="22"/>
          <w:szCs w:val="22"/>
        </w:rPr>
        <w:t>”</w:t>
      </w:r>
    </w:p>
    <w:p w:rsidR="00765711" w:rsidRPr="00EF4855" w:rsidRDefault="00765711" w:rsidP="004C39E3">
      <w:pPr>
        <w:pStyle w:val="NormalWeb"/>
        <w:shd w:val="clear" w:color="auto" w:fill="FFFFFF"/>
        <w:spacing w:before="0" w:beforeAutospacing="0" w:after="0" w:afterAutospacing="0"/>
        <w:ind w:left="2610" w:right="537"/>
        <w:jc w:val="both"/>
        <w:rPr>
          <w:rFonts w:ascii="Arial" w:hAnsi="Arial" w:cs="Arial"/>
          <w:i/>
          <w:color w:val="333333"/>
          <w:sz w:val="22"/>
          <w:szCs w:val="22"/>
        </w:rPr>
      </w:pPr>
    </w:p>
    <w:p w:rsidR="00785B30" w:rsidRPr="00EF4855" w:rsidRDefault="00832AEE" w:rsidP="00DA78B4">
      <w:pPr>
        <w:pStyle w:val="ListParagraph"/>
        <w:numPr>
          <w:ilvl w:val="1"/>
          <w:numId w:val="21"/>
        </w:numPr>
        <w:ind w:left="1440"/>
        <w:jc w:val="both"/>
        <w:rPr>
          <w:rFonts w:ascii="Arial" w:hAnsi="Arial" w:cs="Arial"/>
          <w:sz w:val="22"/>
          <w:szCs w:val="22"/>
        </w:rPr>
      </w:pPr>
      <w:r w:rsidRPr="00EF4855">
        <w:rPr>
          <w:rFonts w:ascii="Arial" w:hAnsi="Arial" w:cs="Arial"/>
          <w:sz w:val="22"/>
          <w:szCs w:val="22"/>
        </w:rPr>
        <w:t xml:space="preserve">Verification of records </w:t>
      </w:r>
      <w:r w:rsidR="00785B30" w:rsidRPr="00EF4855">
        <w:rPr>
          <w:rFonts w:ascii="Arial" w:hAnsi="Arial" w:cs="Arial"/>
          <w:sz w:val="22"/>
          <w:szCs w:val="22"/>
        </w:rPr>
        <w:t xml:space="preserve">however, </w:t>
      </w:r>
      <w:r w:rsidRPr="00EF4855">
        <w:rPr>
          <w:rFonts w:ascii="Arial" w:hAnsi="Arial" w:cs="Arial"/>
          <w:sz w:val="22"/>
          <w:szCs w:val="22"/>
        </w:rPr>
        <w:t xml:space="preserve">disclosed that </w:t>
      </w:r>
      <w:r w:rsidR="00785B30" w:rsidRPr="00EF4855">
        <w:rPr>
          <w:rFonts w:ascii="Arial" w:hAnsi="Arial" w:cs="Arial"/>
          <w:sz w:val="22"/>
          <w:szCs w:val="22"/>
        </w:rPr>
        <w:t>the unclaimed prizes for Keno Games during CYs 2015 to 2017 in the total amount of P184</w:t>
      </w:r>
      <w:r w:rsidR="001D37BE" w:rsidRPr="00EF4855">
        <w:rPr>
          <w:rFonts w:ascii="Arial" w:hAnsi="Arial" w:cs="Arial"/>
          <w:sz w:val="22"/>
          <w:szCs w:val="22"/>
        </w:rPr>
        <w:t>.</w:t>
      </w:r>
      <w:r w:rsidR="00785B30" w:rsidRPr="00EF4855">
        <w:rPr>
          <w:rFonts w:ascii="Arial" w:hAnsi="Arial" w:cs="Arial"/>
          <w:sz w:val="22"/>
          <w:szCs w:val="22"/>
        </w:rPr>
        <w:t>302</w:t>
      </w:r>
      <w:r w:rsidR="001D37BE" w:rsidRPr="00EF4855">
        <w:rPr>
          <w:rFonts w:ascii="Arial" w:hAnsi="Arial" w:cs="Arial"/>
          <w:sz w:val="22"/>
          <w:szCs w:val="22"/>
        </w:rPr>
        <w:t xml:space="preserve"> million</w:t>
      </w:r>
      <w:r w:rsidR="00785B30" w:rsidRPr="00EF4855">
        <w:rPr>
          <w:rFonts w:ascii="Arial" w:hAnsi="Arial" w:cs="Arial"/>
          <w:sz w:val="22"/>
          <w:szCs w:val="22"/>
        </w:rPr>
        <w:t xml:space="preserve"> and deemed forfeited during CYs 2016 to 2018 were not yet transferred to the Charity Fund, which was not in accordance with the above-stated provision of the PCSO Charter.</w:t>
      </w:r>
      <w:r w:rsidRPr="00EF4855">
        <w:rPr>
          <w:rFonts w:ascii="Arial" w:hAnsi="Arial" w:cs="Arial"/>
          <w:sz w:val="22"/>
          <w:szCs w:val="22"/>
        </w:rPr>
        <w:t xml:space="preserve"> Presented in Table </w:t>
      </w:r>
      <w:r w:rsidR="00867479">
        <w:rPr>
          <w:rFonts w:ascii="Arial" w:hAnsi="Arial" w:cs="Arial"/>
          <w:sz w:val="22"/>
          <w:szCs w:val="22"/>
        </w:rPr>
        <w:t>13</w:t>
      </w:r>
      <w:r w:rsidRPr="00EF4855">
        <w:rPr>
          <w:rFonts w:ascii="Arial" w:hAnsi="Arial" w:cs="Arial"/>
          <w:sz w:val="22"/>
          <w:szCs w:val="22"/>
        </w:rPr>
        <w:t xml:space="preserve"> is the </w:t>
      </w:r>
      <w:r w:rsidR="00785B30" w:rsidRPr="00EF4855">
        <w:rPr>
          <w:rFonts w:ascii="Arial" w:hAnsi="Arial" w:cs="Arial"/>
          <w:sz w:val="22"/>
          <w:szCs w:val="22"/>
        </w:rPr>
        <w:t>summary of the subject unclaimed prizes for Keno games, which rightfully belongs to the Charity Fund pursuant to Section 6.A of RA</w:t>
      </w:r>
      <w:r w:rsidR="001635A3">
        <w:rPr>
          <w:rFonts w:ascii="Arial" w:hAnsi="Arial" w:cs="Arial"/>
          <w:sz w:val="22"/>
          <w:szCs w:val="22"/>
        </w:rPr>
        <w:t xml:space="preserve"> No.</w:t>
      </w:r>
      <w:r w:rsidR="00785B30" w:rsidRPr="00EF4855">
        <w:rPr>
          <w:rFonts w:ascii="Arial" w:hAnsi="Arial" w:cs="Arial"/>
          <w:sz w:val="22"/>
          <w:szCs w:val="22"/>
        </w:rPr>
        <w:t xml:space="preserve"> 1169</w:t>
      </w:r>
      <w:r w:rsidR="00280696" w:rsidRPr="00EF4855">
        <w:rPr>
          <w:rFonts w:ascii="Arial" w:hAnsi="Arial" w:cs="Arial"/>
          <w:sz w:val="22"/>
          <w:szCs w:val="22"/>
        </w:rPr>
        <w:t>.</w:t>
      </w:r>
    </w:p>
    <w:p w:rsidR="005A4B18" w:rsidRPr="00EF4855" w:rsidRDefault="005A4B18">
      <w:pPr>
        <w:pStyle w:val="ListParagraph"/>
        <w:ind w:left="1188"/>
        <w:jc w:val="both"/>
        <w:rPr>
          <w:rFonts w:ascii="Arial" w:hAnsi="Arial" w:cs="Arial"/>
          <w:sz w:val="22"/>
          <w:szCs w:val="22"/>
        </w:rPr>
      </w:pPr>
    </w:p>
    <w:p w:rsidR="0080485A" w:rsidRPr="004F6C55" w:rsidRDefault="00280696" w:rsidP="00834FC3">
      <w:pPr>
        <w:spacing w:after="0" w:line="240" w:lineRule="auto"/>
        <w:ind w:left="720"/>
        <w:jc w:val="center"/>
        <w:rPr>
          <w:rFonts w:ascii="Arial" w:hAnsi="Arial" w:cs="Arial"/>
          <w:b/>
          <w:sz w:val="20"/>
          <w:szCs w:val="20"/>
        </w:rPr>
      </w:pPr>
      <w:r w:rsidRPr="004F6C55">
        <w:rPr>
          <w:rFonts w:ascii="Arial" w:hAnsi="Arial" w:cs="Arial"/>
          <w:b/>
          <w:sz w:val="20"/>
          <w:szCs w:val="20"/>
        </w:rPr>
        <w:t xml:space="preserve">Table </w:t>
      </w:r>
      <w:r w:rsidR="00867479">
        <w:rPr>
          <w:rFonts w:ascii="Arial" w:hAnsi="Arial" w:cs="Arial"/>
          <w:b/>
          <w:sz w:val="20"/>
          <w:szCs w:val="20"/>
        </w:rPr>
        <w:t>13</w:t>
      </w:r>
      <w:r w:rsidRPr="004F6C55">
        <w:rPr>
          <w:rFonts w:ascii="Arial" w:hAnsi="Arial" w:cs="Arial"/>
          <w:b/>
          <w:sz w:val="20"/>
          <w:szCs w:val="20"/>
        </w:rPr>
        <w:t xml:space="preserve"> - Summary of Unclaimed Prizes for Keno Games</w:t>
      </w:r>
    </w:p>
    <w:p w:rsidR="00306AEA" w:rsidRPr="004F6C55" w:rsidRDefault="00306AEA">
      <w:pPr>
        <w:spacing w:after="0" w:line="240" w:lineRule="auto"/>
        <w:ind w:left="630"/>
        <w:jc w:val="center"/>
        <w:rPr>
          <w:rFonts w:ascii="Arial" w:hAnsi="Arial" w:cs="Arial"/>
          <w:b/>
          <w:sz w:val="20"/>
          <w:szCs w:val="20"/>
        </w:rPr>
      </w:pPr>
    </w:p>
    <w:tbl>
      <w:tblPr>
        <w:tblW w:w="7479" w:type="dxa"/>
        <w:jc w:val="right"/>
        <w:tblLook w:val="04A0" w:firstRow="1" w:lastRow="0" w:firstColumn="1" w:lastColumn="0" w:noHBand="0" w:noVBand="1"/>
      </w:tblPr>
      <w:tblGrid>
        <w:gridCol w:w="1260"/>
        <w:gridCol w:w="1496"/>
        <w:gridCol w:w="1620"/>
        <w:gridCol w:w="1496"/>
        <w:gridCol w:w="1607"/>
      </w:tblGrid>
      <w:tr w:rsidR="00867479" w:rsidRPr="000C3B54" w:rsidTr="004F6C55">
        <w:trPr>
          <w:trHeight w:val="191"/>
          <w:tblHeader/>
          <w:jc w:val="right"/>
        </w:trPr>
        <w:tc>
          <w:tcPr>
            <w:tcW w:w="7479" w:type="dxa"/>
            <w:gridSpan w:val="5"/>
            <w:tcBorders>
              <w:top w:val="single" w:sz="4" w:space="0" w:color="auto"/>
              <w:bottom w:val="single" w:sz="4" w:space="0" w:color="auto"/>
            </w:tcBorders>
            <w:shd w:val="clear" w:color="auto" w:fill="auto"/>
            <w:noWrap/>
            <w:vAlign w:val="center"/>
            <w:hideMark/>
          </w:tcPr>
          <w:p w:rsidR="0080485A" w:rsidRPr="001635A3" w:rsidRDefault="0080485A">
            <w:pPr>
              <w:spacing w:after="0" w:line="240" w:lineRule="auto"/>
              <w:jc w:val="center"/>
              <w:rPr>
                <w:rFonts w:ascii="Arial Narrow" w:eastAsia="Times New Roman" w:hAnsi="Arial Narrow" w:cs="Arial"/>
                <w:b/>
                <w:bCs/>
                <w:color w:val="000000"/>
                <w:sz w:val="20"/>
                <w:szCs w:val="20"/>
                <w:lang w:eastAsia="en-PH"/>
              </w:rPr>
            </w:pPr>
            <w:r w:rsidRPr="001635A3">
              <w:rPr>
                <w:rFonts w:ascii="Arial Narrow" w:eastAsia="Times New Roman" w:hAnsi="Arial Narrow" w:cs="Arial"/>
                <w:b/>
                <w:bCs/>
                <w:color w:val="000000"/>
                <w:sz w:val="20"/>
                <w:szCs w:val="20"/>
                <w:lang w:eastAsia="en-PH"/>
              </w:rPr>
              <w:t>Year of Forfe</w:t>
            </w:r>
            <w:r w:rsidR="00940DC3" w:rsidRPr="001635A3">
              <w:rPr>
                <w:rFonts w:ascii="Arial Narrow" w:eastAsia="Times New Roman" w:hAnsi="Arial Narrow" w:cs="Arial"/>
                <w:b/>
                <w:bCs/>
                <w:color w:val="000000"/>
                <w:sz w:val="20"/>
                <w:szCs w:val="20"/>
                <w:lang w:eastAsia="en-PH"/>
              </w:rPr>
              <w:t>itures of Unclaimed Keno Prizes</w:t>
            </w:r>
          </w:p>
        </w:tc>
      </w:tr>
      <w:tr w:rsidR="00867479" w:rsidRPr="000C3B54" w:rsidTr="004F6C55">
        <w:trPr>
          <w:trHeight w:val="191"/>
          <w:tblHeader/>
          <w:jc w:val="right"/>
        </w:trPr>
        <w:tc>
          <w:tcPr>
            <w:tcW w:w="1260" w:type="dxa"/>
            <w:tcBorders>
              <w:top w:val="single" w:sz="4" w:space="0" w:color="auto"/>
              <w:bottom w:val="single" w:sz="4" w:space="0" w:color="auto"/>
            </w:tcBorders>
            <w:shd w:val="clear" w:color="auto" w:fill="auto"/>
            <w:noWrap/>
            <w:vAlign w:val="center"/>
            <w:hideMark/>
          </w:tcPr>
          <w:p w:rsidR="0080485A" w:rsidRPr="001635A3" w:rsidRDefault="0080485A" w:rsidP="00834FC3">
            <w:pPr>
              <w:spacing w:after="0" w:line="240" w:lineRule="auto"/>
              <w:ind w:left="-27" w:hanging="90"/>
              <w:rPr>
                <w:rFonts w:ascii="Arial Narrow" w:eastAsia="Times New Roman" w:hAnsi="Arial Narrow" w:cs="Arial"/>
                <w:b/>
                <w:bCs/>
                <w:color w:val="000000"/>
                <w:sz w:val="20"/>
                <w:szCs w:val="20"/>
                <w:lang w:eastAsia="en-PH"/>
              </w:rPr>
            </w:pPr>
            <w:r w:rsidRPr="001635A3">
              <w:rPr>
                <w:rFonts w:ascii="Arial Narrow" w:eastAsia="Times New Roman" w:hAnsi="Arial Narrow" w:cs="Arial"/>
                <w:b/>
                <w:bCs/>
                <w:color w:val="000000"/>
                <w:sz w:val="20"/>
                <w:szCs w:val="20"/>
                <w:lang w:eastAsia="en-PH"/>
              </w:rPr>
              <w:t>Month</w:t>
            </w:r>
          </w:p>
        </w:tc>
        <w:tc>
          <w:tcPr>
            <w:tcW w:w="1496" w:type="dxa"/>
            <w:tcBorders>
              <w:top w:val="single" w:sz="4" w:space="0" w:color="auto"/>
              <w:bottom w:val="single" w:sz="4" w:space="0" w:color="auto"/>
            </w:tcBorders>
            <w:shd w:val="clear" w:color="auto" w:fill="auto"/>
            <w:noWrap/>
            <w:vAlign w:val="center"/>
            <w:hideMark/>
          </w:tcPr>
          <w:p w:rsidR="0080485A" w:rsidRPr="001635A3" w:rsidRDefault="0080485A" w:rsidP="00834FC3">
            <w:pPr>
              <w:spacing w:after="0" w:line="240" w:lineRule="auto"/>
              <w:jc w:val="right"/>
              <w:rPr>
                <w:rFonts w:ascii="Arial Narrow" w:eastAsia="Times New Roman" w:hAnsi="Arial Narrow" w:cs="Arial"/>
                <w:b/>
                <w:bCs/>
                <w:color w:val="000000"/>
                <w:sz w:val="20"/>
                <w:szCs w:val="20"/>
                <w:lang w:eastAsia="en-PH"/>
              </w:rPr>
            </w:pPr>
            <w:r w:rsidRPr="001635A3">
              <w:rPr>
                <w:rFonts w:ascii="Arial Narrow" w:eastAsia="Times New Roman" w:hAnsi="Arial Narrow" w:cs="Arial"/>
                <w:b/>
                <w:bCs/>
                <w:color w:val="000000"/>
                <w:sz w:val="20"/>
                <w:szCs w:val="20"/>
                <w:lang w:eastAsia="en-PH"/>
              </w:rPr>
              <w:t>2018</w:t>
            </w:r>
          </w:p>
        </w:tc>
        <w:tc>
          <w:tcPr>
            <w:tcW w:w="1620" w:type="dxa"/>
            <w:tcBorders>
              <w:top w:val="single" w:sz="4" w:space="0" w:color="auto"/>
              <w:bottom w:val="single" w:sz="4" w:space="0" w:color="auto"/>
            </w:tcBorders>
            <w:shd w:val="clear" w:color="auto" w:fill="auto"/>
            <w:noWrap/>
            <w:vAlign w:val="center"/>
          </w:tcPr>
          <w:p w:rsidR="0080485A" w:rsidRPr="001635A3" w:rsidRDefault="0080485A" w:rsidP="00834FC3">
            <w:pPr>
              <w:spacing w:after="0" w:line="240" w:lineRule="auto"/>
              <w:jc w:val="right"/>
              <w:rPr>
                <w:rFonts w:ascii="Arial Narrow" w:eastAsia="Times New Roman" w:hAnsi="Arial Narrow" w:cs="Arial"/>
                <w:b/>
                <w:bCs/>
                <w:color w:val="000000"/>
                <w:sz w:val="20"/>
                <w:szCs w:val="20"/>
                <w:lang w:eastAsia="en-PH"/>
              </w:rPr>
            </w:pPr>
            <w:r w:rsidRPr="001635A3">
              <w:rPr>
                <w:rFonts w:ascii="Arial Narrow" w:eastAsia="Times New Roman" w:hAnsi="Arial Narrow" w:cs="Arial"/>
                <w:b/>
                <w:bCs/>
                <w:color w:val="000000"/>
                <w:sz w:val="20"/>
                <w:szCs w:val="20"/>
                <w:lang w:eastAsia="en-PH"/>
              </w:rPr>
              <w:t>2017</w:t>
            </w:r>
          </w:p>
        </w:tc>
        <w:tc>
          <w:tcPr>
            <w:tcW w:w="1496" w:type="dxa"/>
            <w:tcBorders>
              <w:top w:val="single" w:sz="4" w:space="0" w:color="auto"/>
              <w:bottom w:val="single" w:sz="4" w:space="0" w:color="auto"/>
            </w:tcBorders>
            <w:shd w:val="clear" w:color="auto" w:fill="auto"/>
            <w:noWrap/>
            <w:vAlign w:val="center"/>
          </w:tcPr>
          <w:p w:rsidR="0080485A" w:rsidRPr="001635A3" w:rsidRDefault="0080485A" w:rsidP="00834FC3">
            <w:pPr>
              <w:spacing w:after="0" w:line="240" w:lineRule="auto"/>
              <w:jc w:val="right"/>
              <w:rPr>
                <w:rFonts w:ascii="Arial Narrow" w:eastAsia="Times New Roman" w:hAnsi="Arial Narrow" w:cs="Arial"/>
                <w:b/>
                <w:bCs/>
                <w:color w:val="000000"/>
                <w:sz w:val="20"/>
                <w:szCs w:val="20"/>
                <w:lang w:eastAsia="en-PH"/>
              </w:rPr>
            </w:pPr>
            <w:r w:rsidRPr="001635A3">
              <w:rPr>
                <w:rFonts w:ascii="Arial Narrow" w:eastAsia="Times New Roman" w:hAnsi="Arial Narrow" w:cs="Arial"/>
                <w:b/>
                <w:bCs/>
                <w:color w:val="000000"/>
                <w:sz w:val="20"/>
                <w:szCs w:val="20"/>
                <w:lang w:eastAsia="en-PH"/>
              </w:rPr>
              <w:t>2016</w:t>
            </w:r>
          </w:p>
        </w:tc>
        <w:tc>
          <w:tcPr>
            <w:tcW w:w="1607" w:type="dxa"/>
            <w:tcBorders>
              <w:top w:val="single" w:sz="4" w:space="0" w:color="auto"/>
              <w:bottom w:val="single" w:sz="4" w:space="0" w:color="auto"/>
            </w:tcBorders>
            <w:shd w:val="clear" w:color="auto" w:fill="auto"/>
            <w:noWrap/>
            <w:vAlign w:val="bottom"/>
            <w:hideMark/>
          </w:tcPr>
          <w:p w:rsidR="0080485A" w:rsidRPr="001635A3" w:rsidRDefault="0080485A" w:rsidP="00834FC3">
            <w:pPr>
              <w:spacing w:after="0" w:line="240" w:lineRule="auto"/>
              <w:ind w:right="-90"/>
              <w:jc w:val="right"/>
              <w:rPr>
                <w:rFonts w:ascii="Arial Narrow" w:eastAsia="Times New Roman" w:hAnsi="Arial Narrow" w:cs="Arial"/>
                <w:b/>
                <w:color w:val="000000"/>
                <w:sz w:val="20"/>
                <w:szCs w:val="20"/>
                <w:lang w:eastAsia="en-PH"/>
              </w:rPr>
            </w:pPr>
            <w:r w:rsidRPr="001635A3">
              <w:rPr>
                <w:rFonts w:ascii="Arial Narrow" w:eastAsia="Times New Roman" w:hAnsi="Arial Narrow" w:cs="Arial"/>
                <w:b/>
                <w:color w:val="000000"/>
                <w:sz w:val="20"/>
                <w:szCs w:val="20"/>
                <w:lang w:eastAsia="en-PH"/>
              </w:rPr>
              <w:t>Tota</w:t>
            </w:r>
            <w:r w:rsidR="000C3B54" w:rsidRPr="001635A3">
              <w:rPr>
                <w:rFonts w:ascii="Arial Narrow" w:eastAsia="Times New Roman" w:hAnsi="Arial Narrow" w:cs="Arial"/>
                <w:b/>
                <w:color w:val="000000"/>
                <w:sz w:val="20"/>
                <w:szCs w:val="20"/>
                <w:lang w:eastAsia="en-PH"/>
              </w:rPr>
              <w:t>l</w:t>
            </w:r>
          </w:p>
        </w:tc>
      </w:tr>
      <w:tr w:rsidR="00867479" w:rsidRPr="000C3B54" w:rsidTr="004F6C55">
        <w:trPr>
          <w:trHeight w:val="191"/>
          <w:jc w:val="right"/>
        </w:trPr>
        <w:tc>
          <w:tcPr>
            <w:tcW w:w="1260" w:type="dxa"/>
            <w:tcBorders>
              <w:top w:val="single" w:sz="4" w:space="0" w:color="auto"/>
            </w:tcBorders>
            <w:shd w:val="clear" w:color="auto" w:fill="auto"/>
            <w:noWrap/>
            <w:vAlign w:val="bottom"/>
            <w:hideMark/>
          </w:tcPr>
          <w:p w:rsidR="0080485A" w:rsidRPr="001635A3" w:rsidRDefault="0080485A" w:rsidP="00834FC3">
            <w:pPr>
              <w:spacing w:after="0" w:line="240" w:lineRule="auto"/>
              <w:ind w:left="-27" w:hanging="90"/>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January</w:t>
            </w:r>
          </w:p>
        </w:tc>
        <w:tc>
          <w:tcPr>
            <w:tcW w:w="1496" w:type="dxa"/>
            <w:tcBorders>
              <w:top w:val="single" w:sz="4" w:space="0" w:color="auto"/>
            </w:tcBorders>
            <w:shd w:val="clear" w:color="auto" w:fill="auto"/>
            <w:noWrap/>
            <w:vAlign w:val="bottom"/>
            <w:hideMark/>
          </w:tcPr>
          <w:p w:rsidR="0080485A" w:rsidRPr="001635A3" w:rsidRDefault="00834FC3" w:rsidP="004F6C55">
            <w:pPr>
              <w:spacing w:after="0" w:line="240" w:lineRule="auto"/>
              <w:jc w:val="right"/>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 xml:space="preserve">P   </w:t>
            </w:r>
            <w:r w:rsidR="0080485A" w:rsidRPr="001635A3">
              <w:rPr>
                <w:rFonts w:ascii="Arial Narrow" w:eastAsia="Times New Roman" w:hAnsi="Arial Narrow" w:cs="Arial"/>
                <w:color w:val="000000"/>
                <w:sz w:val="20"/>
                <w:szCs w:val="20"/>
                <w:lang w:eastAsia="en-PH"/>
              </w:rPr>
              <w:t xml:space="preserve">5,431,585.00 </w:t>
            </w:r>
          </w:p>
        </w:tc>
        <w:tc>
          <w:tcPr>
            <w:tcW w:w="1620" w:type="dxa"/>
            <w:tcBorders>
              <w:top w:val="single" w:sz="4" w:space="0" w:color="auto"/>
            </w:tcBorders>
            <w:shd w:val="clear" w:color="auto" w:fill="auto"/>
            <w:noWrap/>
            <w:vAlign w:val="bottom"/>
          </w:tcPr>
          <w:p w:rsidR="0080485A" w:rsidRPr="001635A3" w:rsidRDefault="00834FC3" w:rsidP="004F6C55">
            <w:pPr>
              <w:spacing w:after="0" w:line="240" w:lineRule="auto"/>
              <w:jc w:val="right"/>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 xml:space="preserve">P   </w:t>
            </w:r>
            <w:r w:rsidR="0080485A" w:rsidRPr="001635A3">
              <w:rPr>
                <w:rFonts w:ascii="Arial Narrow" w:eastAsia="Times New Roman" w:hAnsi="Arial Narrow" w:cs="Arial"/>
                <w:color w:val="000000"/>
                <w:sz w:val="20"/>
                <w:szCs w:val="20"/>
                <w:lang w:eastAsia="en-PH"/>
              </w:rPr>
              <w:t>4,838,745.00</w:t>
            </w:r>
          </w:p>
        </w:tc>
        <w:tc>
          <w:tcPr>
            <w:tcW w:w="1496" w:type="dxa"/>
            <w:tcBorders>
              <w:top w:val="single" w:sz="4" w:space="0" w:color="auto"/>
            </w:tcBorders>
            <w:shd w:val="clear" w:color="auto" w:fill="auto"/>
            <w:noWrap/>
            <w:vAlign w:val="bottom"/>
          </w:tcPr>
          <w:p w:rsidR="0080485A" w:rsidRPr="001635A3" w:rsidRDefault="00834FC3" w:rsidP="004F6C55">
            <w:pPr>
              <w:spacing w:after="0" w:line="240" w:lineRule="auto"/>
              <w:jc w:val="right"/>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 xml:space="preserve">P   </w:t>
            </w:r>
            <w:r w:rsidR="0080485A" w:rsidRPr="001635A3">
              <w:rPr>
                <w:rFonts w:ascii="Arial Narrow" w:eastAsia="Times New Roman" w:hAnsi="Arial Narrow" w:cs="Arial"/>
                <w:color w:val="000000"/>
                <w:sz w:val="20"/>
                <w:szCs w:val="20"/>
                <w:lang w:eastAsia="en-PH"/>
              </w:rPr>
              <w:t>3,446,580.00</w:t>
            </w:r>
          </w:p>
        </w:tc>
        <w:tc>
          <w:tcPr>
            <w:tcW w:w="1607" w:type="dxa"/>
            <w:tcBorders>
              <w:top w:val="single" w:sz="4" w:space="0" w:color="auto"/>
            </w:tcBorders>
            <w:shd w:val="clear" w:color="auto" w:fill="auto"/>
            <w:noWrap/>
            <w:vAlign w:val="bottom"/>
            <w:hideMark/>
          </w:tcPr>
          <w:p w:rsidR="0080485A" w:rsidRPr="001635A3" w:rsidRDefault="00834FC3" w:rsidP="00834FC3">
            <w:pPr>
              <w:spacing w:after="0" w:line="240" w:lineRule="auto"/>
              <w:ind w:right="-90"/>
              <w:jc w:val="right"/>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 xml:space="preserve">P  </w:t>
            </w:r>
            <w:r w:rsidR="0080485A" w:rsidRPr="001635A3">
              <w:rPr>
                <w:rFonts w:ascii="Arial Narrow" w:eastAsia="Times New Roman" w:hAnsi="Arial Narrow" w:cs="Arial"/>
                <w:color w:val="000000"/>
                <w:sz w:val="20"/>
                <w:szCs w:val="20"/>
                <w:lang w:eastAsia="en-PH"/>
              </w:rPr>
              <w:t>13,716,910.00</w:t>
            </w:r>
          </w:p>
        </w:tc>
      </w:tr>
      <w:tr w:rsidR="00867479" w:rsidRPr="000C3B54" w:rsidTr="004F6C55">
        <w:trPr>
          <w:trHeight w:val="191"/>
          <w:jc w:val="right"/>
        </w:trPr>
        <w:tc>
          <w:tcPr>
            <w:tcW w:w="1260" w:type="dxa"/>
            <w:shd w:val="clear" w:color="auto" w:fill="auto"/>
            <w:noWrap/>
            <w:vAlign w:val="bottom"/>
            <w:hideMark/>
          </w:tcPr>
          <w:p w:rsidR="0080485A" w:rsidRPr="001635A3" w:rsidRDefault="0080485A" w:rsidP="00834FC3">
            <w:pPr>
              <w:spacing w:after="0" w:line="240" w:lineRule="auto"/>
              <w:ind w:left="-27" w:hanging="90"/>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February</w:t>
            </w:r>
          </w:p>
        </w:tc>
        <w:tc>
          <w:tcPr>
            <w:tcW w:w="1496" w:type="dxa"/>
            <w:shd w:val="clear" w:color="auto" w:fill="auto"/>
            <w:noWrap/>
            <w:vAlign w:val="bottom"/>
            <w:hideMark/>
          </w:tcPr>
          <w:p w:rsidR="0080485A" w:rsidRPr="001635A3" w:rsidRDefault="0080485A" w:rsidP="004F6C55">
            <w:pPr>
              <w:spacing w:after="0" w:line="240" w:lineRule="auto"/>
              <w:jc w:val="right"/>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 xml:space="preserve">5,302,435.00 </w:t>
            </w:r>
          </w:p>
        </w:tc>
        <w:tc>
          <w:tcPr>
            <w:tcW w:w="1620" w:type="dxa"/>
            <w:shd w:val="clear" w:color="auto" w:fill="auto"/>
            <w:noWrap/>
            <w:vAlign w:val="bottom"/>
          </w:tcPr>
          <w:p w:rsidR="0080485A" w:rsidRPr="001635A3" w:rsidRDefault="0080485A" w:rsidP="004F6C55">
            <w:pPr>
              <w:spacing w:after="0" w:line="240" w:lineRule="auto"/>
              <w:jc w:val="right"/>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4,564,945.00</w:t>
            </w:r>
          </w:p>
        </w:tc>
        <w:tc>
          <w:tcPr>
            <w:tcW w:w="1496" w:type="dxa"/>
            <w:shd w:val="clear" w:color="auto" w:fill="auto"/>
            <w:noWrap/>
            <w:vAlign w:val="bottom"/>
          </w:tcPr>
          <w:p w:rsidR="0080485A" w:rsidRPr="001635A3" w:rsidRDefault="0080485A" w:rsidP="004F6C55">
            <w:pPr>
              <w:spacing w:after="0" w:line="240" w:lineRule="auto"/>
              <w:jc w:val="right"/>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3,183,165.0</w:t>
            </w:r>
            <w:r w:rsidR="00867479" w:rsidRPr="001635A3">
              <w:rPr>
                <w:rFonts w:ascii="Arial Narrow" w:eastAsia="Times New Roman" w:hAnsi="Arial Narrow" w:cs="Arial"/>
                <w:color w:val="000000"/>
                <w:sz w:val="20"/>
                <w:szCs w:val="20"/>
                <w:lang w:eastAsia="en-PH"/>
              </w:rPr>
              <w:t>0</w:t>
            </w:r>
          </w:p>
        </w:tc>
        <w:tc>
          <w:tcPr>
            <w:tcW w:w="1607" w:type="dxa"/>
            <w:shd w:val="clear" w:color="auto" w:fill="auto"/>
            <w:noWrap/>
            <w:vAlign w:val="bottom"/>
            <w:hideMark/>
          </w:tcPr>
          <w:p w:rsidR="0080485A" w:rsidRPr="001635A3" w:rsidRDefault="0080485A" w:rsidP="00834FC3">
            <w:pPr>
              <w:spacing w:after="0" w:line="240" w:lineRule="auto"/>
              <w:ind w:right="-90"/>
              <w:jc w:val="right"/>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13,050,545.0</w:t>
            </w:r>
            <w:r w:rsidR="00867479" w:rsidRPr="001635A3">
              <w:rPr>
                <w:rFonts w:ascii="Arial Narrow" w:eastAsia="Times New Roman" w:hAnsi="Arial Narrow" w:cs="Arial"/>
                <w:color w:val="000000"/>
                <w:sz w:val="20"/>
                <w:szCs w:val="20"/>
                <w:lang w:eastAsia="en-PH"/>
              </w:rPr>
              <w:t>0</w:t>
            </w:r>
          </w:p>
        </w:tc>
      </w:tr>
      <w:tr w:rsidR="00867479" w:rsidRPr="000C3B54" w:rsidTr="004F6C55">
        <w:trPr>
          <w:trHeight w:val="191"/>
          <w:jc w:val="right"/>
        </w:trPr>
        <w:tc>
          <w:tcPr>
            <w:tcW w:w="1260" w:type="dxa"/>
            <w:shd w:val="clear" w:color="auto" w:fill="auto"/>
            <w:noWrap/>
            <w:vAlign w:val="bottom"/>
            <w:hideMark/>
          </w:tcPr>
          <w:p w:rsidR="0080485A" w:rsidRPr="001635A3" w:rsidRDefault="0080485A" w:rsidP="00834FC3">
            <w:pPr>
              <w:spacing w:after="0" w:line="240" w:lineRule="auto"/>
              <w:ind w:left="-27" w:hanging="90"/>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March</w:t>
            </w:r>
          </w:p>
        </w:tc>
        <w:tc>
          <w:tcPr>
            <w:tcW w:w="1496" w:type="dxa"/>
            <w:shd w:val="clear" w:color="auto" w:fill="auto"/>
            <w:noWrap/>
            <w:vAlign w:val="bottom"/>
            <w:hideMark/>
          </w:tcPr>
          <w:p w:rsidR="0080485A" w:rsidRPr="001635A3" w:rsidRDefault="0080485A" w:rsidP="004F6C55">
            <w:pPr>
              <w:spacing w:after="0" w:line="240" w:lineRule="auto"/>
              <w:jc w:val="right"/>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 xml:space="preserve">6,232,415.00 </w:t>
            </w:r>
          </w:p>
        </w:tc>
        <w:tc>
          <w:tcPr>
            <w:tcW w:w="1620" w:type="dxa"/>
            <w:shd w:val="clear" w:color="auto" w:fill="auto"/>
            <w:noWrap/>
            <w:vAlign w:val="bottom"/>
          </w:tcPr>
          <w:p w:rsidR="0080485A" w:rsidRPr="001635A3" w:rsidRDefault="0080485A" w:rsidP="004F6C55">
            <w:pPr>
              <w:spacing w:after="0" w:line="240" w:lineRule="auto"/>
              <w:jc w:val="right"/>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4,417,605.00</w:t>
            </w:r>
          </w:p>
        </w:tc>
        <w:tc>
          <w:tcPr>
            <w:tcW w:w="1496" w:type="dxa"/>
            <w:shd w:val="clear" w:color="auto" w:fill="auto"/>
            <w:noWrap/>
            <w:vAlign w:val="bottom"/>
          </w:tcPr>
          <w:p w:rsidR="0080485A" w:rsidRPr="001635A3" w:rsidRDefault="0080485A" w:rsidP="004F6C55">
            <w:pPr>
              <w:spacing w:after="0" w:line="240" w:lineRule="auto"/>
              <w:jc w:val="right"/>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3,761,090.00</w:t>
            </w:r>
          </w:p>
        </w:tc>
        <w:tc>
          <w:tcPr>
            <w:tcW w:w="1607" w:type="dxa"/>
            <w:shd w:val="clear" w:color="auto" w:fill="auto"/>
            <w:noWrap/>
            <w:vAlign w:val="bottom"/>
            <w:hideMark/>
          </w:tcPr>
          <w:p w:rsidR="0080485A" w:rsidRPr="001635A3" w:rsidRDefault="0080485A" w:rsidP="00834FC3">
            <w:pPr>
              <w:spacing w:after="0" w:line="240" w:lineRule="auto"/>
              <w:ind w:right="-90"/>
              <w:jc w:val="right"/>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14,411,110.0</w:t>
            </w:r>
            <w:r w:rsidR="00867479" w:rsidRPr="001635A3">
              <w:rPr>
                <w:rFonts w:ascii="Arial Narrow" w:eastAsia="Times New Roman" w:hAnsi="Arial Narrow" w:cs="Arial"/>
                <w:color w:val="000000"/>
                <w:sz w:val="20"/>
                <w:szCs w:val="20"/>
                <w:lang w:eastAsia="en-PH"/>
              </w:rPr>
              <w:t>0</w:t>
            </w:r>
            <w:r w:rsidRPr="001635A3">
              <w:rPr>
                <w:rFonts w:ascii="Arial Narrow" w:eastAsia="Times New Roman" w:hAnsi="Arial Narrow" w:cs="Arial"/>
                <w:color w:val="000000"/>
                <w:sz w:val="20"/>
                <w:szCs w:val="20"/>
                <w:lang w:eastAsia="en-PH"/>
              </w:rPr>
              <w:t xml:space="preserve"> </w:t>
            </w:r>
          </w:p>
        </w:tc>
      </w:tr>
      <w:tr w:rsidR="00867479" w:rsidRPr="000C3B54" w:rsidTr="004F6C55">
        <w:trPr>
          <w:trHeight w:val="191"/>
          <w:jc w:val="right"/>
        </w:trPr>
        <w:tc>
          <w:tcPr>
            <w:tcW w:w="1260" w:type="dxa"/>
            <w:shd w:val="clear" w:color="auto" w:fill="auto"/>
            <w:noWrap/>
            <w:vAlign w:val="bottom"/>
            <w:hideMark/>
          </w:tcPr>
          <w:p w:rsidR="0080485A" w:rsidRPr="001635A3" w:rsidRDefault="0080485A" w:rsidP="00834FC3">
            <w:pPr>
              <w:spacing w:after="0" w:line="240" w:lineRule="auto"/>
              <w:ind w:left="-27" w:hanging="90"/>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April</w:t>
            </w:r>
          </w:p>
        </w:tc>
        <w:tc>
          <w:tcPr>
            <w:tcW w:w="1496" w:type="dxa"/>
            <w:shd w:val="clear" w:color="auto" w:fill="auto"/>
            <w:noWrap/>
            <w:vAlign w:val="bottom"/>
            <w:hideMark/>
          </w:tcPr>
          <w:p w:rsidR="0080485A" w:rsidRPr="001635A3" w:rsidRDefault="0080485A" w:rsidP="004F6C55">
            <w:pPr>
              <w:spacing w:after="0" w:line="240" w:lineRule="auto"/>
              <w:jc w:val="right"/>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 xml:space="preserve">4,835,290.00 </w:t>
            </w:r>
          </w:p>
        </w:tc>
        <w:tc>
          <w:tcPr>
            <w:tcW w:w="1620" w:type="dxa"/>
            <w:shd w:val="clear" w:color="auto" w:fill="auto"/>
            <w:noWrap/>
            <w:vAlign w:val="bottom"/>
          </w:tcPr>
          <w:p w:rsidR="0080485A" w:rsidRPr="001635A3" w:rsidRDefault="0080485A" w:rsidP="004F6C55">
            <w:pPr>
              <w:spacing w:after="0" w:line="240" w:lineRule="auto"/>
              <w:jc w:val="right"/>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4,185,570.00</w:t>
            </w:r>
          </w:p>
        </w:tc>
        <w:tc>
          <w:tcPr>
            <w:tcW w:w="1496" w:type="dxa"/>
            <w:shd w:val="clear" w:color="auto" w:fill="auto"/>
            <w:noWrap/>
            <w:vAlign w:val="bottom"/>
          </w:tcPr>
          <w:p w:rsidR="0080485A" w:rsidRPr="001635A3" w:rsidRDefault="0080485A" w:rsidP="004F6C55">
            <w:pPr>
              <w:spacing w:after="0" w:line="240" w:lineRule="auto"/>
              <w:jc w:val="right"/>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3,085,965.00</w:t>
            </w:r>
          </w:p>
        </w:tc>
        <w:tc>
          <w:tcPr>
            <w:tcW w:w="1607" w:type="dxa"/>
            <w:shd w:val="clear" w:color="auto" w:fill="auto"/>
            <w:noWrap/>
            <w:vAlign w:val="bottom"/>
            <w:hideMark/>
          </w:tcPr>
          <w:p w:rsidR="0080485A" w:rsidRPr="001635A3" w:rsidRDefault="0080485A" w:rsidP="00834FC3">
            <w:pPr>
              <w:spacing w:after="0" w:line="240" w:lineRule="auto"/>
              <w:ind w:right="-90"/>
              <w:jc w:val="right"/>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12,106,825.00</w:t>
            </w:r>
          </w:p>
        </w:tc>
      </w:tr>
      <w:tr w:rsidR="00867479" w:rsidRPr="000C3B54" w:rsidTr="004F6C55">
        <w:trPr>
          <w:trHeight w:val="191"/>
          <w:jc w:val="right"/>
        </w:trPr>
        <w:tc>
          <w:tcPr>
            <w:tcW w:w="1260" w:type="dxa"/>
            <w:shd w:val="clear" w:color="auto" w:fill="auto"/>
            <w:noWrap/>
            <w:vAlign w:val="bottom"/>
            <w:hideMark/>
          </w:tcPr>
          <w:p w:rsidR="0080485A" w:rsidRPr="001635A3" w:rsidRDefault="0080485A" w:rsidP="00834FC3">
            <w:pPr>
              <w:spacing w:after="0" w:line="240" w:lineRule="auto"/>
              <w:ind w:left="-27" w:hanging="90"/>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May</w:t>
            </w:r>
          </w:p>
        </w:tc>
        <w:tc>
          <w:tcPr>
            <w:tcW w:w="1496" w:type="dxa"/>
            <w:shd w:val="clear" w:color="auto" w:fill="auto"/>
            <w:noWrap/>
            <w:vAlign w:val="bottom"/>
            <w:hideMark/>
          </w:tcPr>
          <w:p w:rsidR="0080485A" w:rsidRPr="001635A3" w:rsidRDefault="0080485A" w:rsidP="004F6C55">
            <w:pPr>
              <w:spacing w:after="0" w:line="240" w:lineRule="auto"/>
              <w:jc w:val="right"/>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 xml:space="preserve">6,023,075.00 </w:t>
            </w:r>
          </w:p>
        </w:tc>
        <w:tc>
          <w:tcPr>
            <w:tcW w:w="1620" w:type="dxa"/>
            <w:shd w:val="clear" w:color="auto" w:fill="auto"/>
            <w:noWrap/>
            <w:vAlign w:val="bottom"/>
          </w:tcPr>
          <w:p w:rsidR="0080485A" w:rsidRPr="001635A3" w:rsidRDefault="0080485A" w:rsidP="004F6C55">
            <w:pPr>
              <w:spacing w:after="0" w:line="240" w:lineRule="auto"/>
              <w:jc w:val="right"/>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4,665,525.00</w:t>
            </w:r>
          </w:p>
        </w:tc>
        <w:tc>
          <w:tcPr>
            <w:tcW w:w="1496" w:type="dxa"/>
            <w:shd w:val="clear" w:color="auto" w:fill="auto"/>
            <w:noWrap/>
            <w:vAlign w:val="bottom"/>
          </w:tcPr>
          <w:p w:rsidR="0080485A" w:rsidRPr="001635A3" w:rsidRDefault="0080485A" w:rsidP="004F6C55">
            <w:pPr>
              <w:spacing w:after="0" w:line="240" w:lineRule="auto"/>
              <w:jc w:val="right"/>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3,848,025.0</w:t>
            </w:r>
            <w:r w:rsidR="00867479" w:rsidRPr="001635A3">
              <w:rPr>
                <w:rFonts w:ascii="Arial Narrow" w:eastAsia="Times New Roman" w:hAnsi="Arial Narrow" w:cs="Arial"/>
                <w:color w:val="000000"/>
                <w:sz w:val="20"/>
                <w:szCs w:val="20"/>
                <w:lang w:eastAsia="en-PH"/>
              </w:rPr>
              <w:t>0</w:t>
            </w:r>
          </w:p>
        </w:tc>
        <w:tc>
          <w:tcPr>
            <w:tcW w:w="1607" w:type="dxa"/>
            <w:shd w:val="clear" w:color="auto" w:fill="auto"/>
            <w:noWrap/>
            <w:vAlign w:val="bottom"/>
            <w:hideMark/>
          </w:tcPr>
          <w:p w:rsidR="0080485A" w:rsidRPr="001635A3" w:rsidRDefault="0080485A" w:rsidP="00834FC3">
            <w:pPr>
              <w:spacing w:after="0" w:line="240" w:lineRule="auto"/>
              <w:ind w:right="-90"/>
              <w:jc w:val="right"/>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14,536,625.00</w:t>
            </w:r>
          </w:p>
        </w:tc>
      </w:tr>
      <w:tr w:rsidR="00867479" w:rsidRPr="000C3B54" w:rsidTr="004F6C55">
        <w:trPr>
          <w:trHeight w:val="191"/>
          <w:jc w:val="right"/>
        </w:trPr>
        <w:tc>
          <w:tcPr>
            <w:tcW w:w="1260" w:type="dxa"/>
            <w:shd w:val="clear" w:color="auto" w:fill="auto"/>
            <w:noWrap/>
            <w:vAlign w:val="bottom"/>
            <w:hideMark/>
          </w:tcPr>
          <w:p w:rsidR="0080485A" w:rsidRPr="001635A3" w:rsidRDefault="0080485A" w:rsidP="00834FC3">
            <w:pPr>
              <w:spacing w:after="0" w:line="240" w:lineRule="auto"/>
              <w:ind w:left="-27" w:hanging="90"/>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June</w:t>
            </w:r>
          </w:p>
        </w:tc>
        <w:tc>
          <w:tcPr>
            <w:tcW w:w="1496" w:type="dxa"/>
            <w:shd w:val="clear" w:color="auto" w:fill="auto"/>
            <w:noWrap/>
            <w:vAlign w:val="bottom"/>
            <w:hideMark/>
          </w:tcPr>
          <w:p w:rsidR="0080485A" w:rsidRPr="001635A3" w:rsidRDefault="0080485A" w:rsidP="004F6C55">
            <w:pPr>
              <w:spacing w:after="0" w:line="240" w:lineRule="auto"/>
              <w:jc w:val="right"/>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 xml:space="preserve">5,880,410.00 </w:t>
            </w:r>
          </w:p>
        </w:tc>
        <w:tc>
          <w:tcPr>
            <w:tcW w:w="1620" w:type="dxa"/>
            <w:shd w:val="clear" w:color="auto" w:fill="auto"/>
            <w:noWrap/>
            <w:vAlign w:val="bottom"/>
          </w:tcPr>
          <w:p w:rsidR="0080485A" w:rsidRPr="001635A3" w:rsidRDefault="0080485A" w:rsidP="004F6C55">
            <w:pPr>
              <w:spacing w:after="0" w:line="240" w:lineRule="auto"/>
              <w:jc w:val="right"/>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4,665,900.00</w:t>
            </w:r>
          </w:p>
        </w:tc>
        <w:tc>
          <w:tcPr>
            <w:tcW w:w="1496" w:type="dxa"/>
            <w:shd w:val="clear" w:color="auto" w:fill="auto"/>
            <w:noWrap/>
            <w:vAlign w:val="bottom"/>
          </w:tcPr>
          <w:p w:rsidR="0080485A" w:rsidRPr="001635A3" w:rsidRDefault="0080485A" w:rsidP="004F6C55">
            <w:pPr>
              <w:spacing w:after="0" w:line="240" w:lineRule="auto"/>
              <w:jc w:val="right"/>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3,840,310.00</w:t>
            </w:r>
          </w:p>
        </w:tc>
        <w:tc>
          <w:tcPr>
            <w:tcW w:w="1607" w:type="dxa"/>
            <w:shd w:val="clear" w:color="auto" w:fill="auto"/>
            <w:noWrap/>
            <w:vAlign w:val="bottom"/>
            <w:hideMark/>
          </w:tcPr>
          <w:p w:rsidR="0080485A" w:rsidRPr="001635A3" w:rsidRDefault="0080485A" w:rsidP="00834FC3">
            <w:pPr>
              <w:spacing w:after="0" w:line="240" w:lineRule="auto"/>
              <w:ind w:right="-90"/>
              <w:jc w:val="right"/>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14,386,620.00</w:t>
            </w:r>
          </w:p>
        </w:tc>
      </w:tr>
      <w:tr w:rsidR="00867479" w:rsidRPr="000C3B54" w:rsidTr="004F6C55">
        <w:trPr>
          <w:trHeight w:val="191"/>
          <w:jc w:val="right"/>
        </w:trPr>
        <w:tc>
          <w:tcPr>
            <w:tcW w:w="1260" w:type="dxa"/>
            <w:shd w:val="clear" w:color="auto" w:fill="auto"/>
            <w:noWrap/>
            <w:vAlign w:val="bottom"/>
            <w:hideMark/>
          </w:tcPr>
          <w:p w:rsidR="0080485A" w:rsidRPr="001635A3" w:rsidRDefault="0080485A" w:rsidP="00834FC3">
            <w:pPr>
              <w:spacing w:after="0" w:line="240" w:lineRule="auto"/>
              <w:ind w:left="-27" w:hanging="90"/>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July</w:t>
            </w:r>
          </w:p>
        </w:tc>
        <w:tc>
          <w:tcPr>
            <w:tcW w:w="1496" w:type="dxa"/>
            <w:shd w:val="clear" w:color="auto" w:fill="auto"/>
            <w:noWrap/>
            <w:vAlign w:val="bottom"/>
            <w:hideMark/>
          </w:tcPr>
          <w:p w:rsidR="0080485A" w:rsidRPr="001635A3" w:rsidRDefault="0080485A" w:rsidP="004F6C55">
            <w:pPr>
              <w:spacing w:after="0" w:line="240" w:lineRule="auto"/>
              <w:jc w:val="right"/>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 xml:space="preserve">5,965,935.00 </w:t>
            </w:r>
          </w:p>
        </w:tc>
        <w:tc>
          <w:tcPr>
            <w:tcW w:w="1620" w:type="dxa"/>
            <w:shd w:val="clear" w:color="auto" w:fill="auto"/>
            <w:noWrap/>
            <w:vAlign w:val="bottom"/>
          </w:tcPr>
          <w:p w:rsidR="0080485A" w:rsidRPr="001635A3" w:rsidRDefault="0080485A" w:rsidP="004F6C55">
            <w:pPr>
              <w:spacing w:after="0" w:line="240" w:lineRule="auto"/>
              <w:jc w:val="right"/>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4,666,145.00</w:t>
            </w:r>
          </w:p>
        </w:tc>
        <w:tc>
          <w:tcPr>
            <w:tcW w:w="1496" w:type="dxa"/>
            <w:shd w:val="clear" w:color="auto" w:fill="auto"/>
            <w:noWrap/>
            <w:vAlign w:val="bottom"/>
          </w:tcPr>
          <w:p w:rsidR="0080485A" w:rsidRPr="001635A3" w:rsidRDefault="0080485A" w:rsidP="004F6C55">
            <w:pPr>
              <w:spacing w:after="0" w:line="240" w:lineRule="auto"/>
              <w:jc w:val="right"/>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3,841,205.00</w:t>
            </w:r>
          </w:p>
        </w:tc>
        <w:tc>
          <w:tcPr>
            <w:tcW w:w="1607" w:type="dxa"/>
            <w:shd w:val="clear" w:color="auto" w:fill="auto"/>
            <w:noWrap/>
            <w:vAlign w:val="bottom"/>
            <w:hideMark/>
          </w:tcPr>
          <w:p w:rsidR="0080485A" w:rsidRPr="001635A3" w:rsidRDefault="0080485A" w:rsidP="00834FC3">
            <w:pPr>
              <w:spacing w:after="0" w:line="240" w:lineRule="auto"/>
              <w:ind w:right="-90"/>
              <w:jc w:val="right"/>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14,473,285.00</w:t>
            </w:r>
          </w:p>
        </w:tc>
      </w:tr>
      <w:tr w:rsidR="00867479" w:rsidRPr="000C3B54" w:rsidTr="004F6C55">
        <w:trPr>
          <w:trHeight w:val="191"/>
          <w:jc w:val="right"/>
        </w:trPr>
        <w:tc>
          <w:tcPr>
            <w:tcW w:w="1260" w:type="dxa"/>
            <w:shd w:val="clear" w:color="auto" w:fill="auto"/>
            <w:noWrap/>
            <w:vAlign w:val="bottom"/>
            <w:hideMark/>
          </w:tcPr>
          <w:p w:rsidR="0080485A" w:rsidRPr="001635A3" w:rsidRDefault="0080485A" w:rsidP="00834FC3">
            <w:pPr>
              <w:spacing w:after="0" w:line="240" w:lineRule="auto"/>
              <w:ind w:left="-27" w:hanging="90"/>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August</w:t>
            </w:r>
          </w:p>
        </w:tc>
        <w:tc>
          <w:tcPr>
            <w:tcW w:w="1496" w:type="dxa"/>
            <w:shd w:val="clear" w:color="auto" w:fill="auto"/>
            <w:noWrap/>
            <w:vAlign w:val="bottom"/>
            <w:hideMark/>
          </w:tcPr>
          <w:p w:rsidR="0080485A" w:rsidRPr="001635A3" w:rsidRDefault="0080485A" w:rsidP="004F6C55">
            <w:pPr>
              <w:spacing w:after="0" w:line="240" w:lineRule="auto"/>
              <w:jc w:val="right"/>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 xml:space="preserve">6,178,950.00 </w:t>
            </w:r>
          </w:p>
        </w:tc>
        <w:tc>
          <w:tcPr>
            <w:tcW w:w="1620" w:type="dxa"/>
            <w:shd w:val="clear" w:color="auto" w:fill="auto"/>
            <w:noWrap/>
            <w:vAlign w:val="bottom"/>
          </w:tcPr>
          <w:p w:rsidR="0080485A" w:rsidRPr="001635A3" w:rsidRDefault="0080485A" w:rsidP="004F6C55">
            <w:pPr>
              <w:spacing w:after="0" w:line="240" w:lineRule="auto"/>
              <w:jc w:val="right"/>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4,603,570.00</w:t>
            </w:r>
          </w:p>
        </w:tc>
        <w:tc>
          <w:tcPr>
            <w:tcW w:w="1496" w:type="dxa"/>
            <w:shd w:val="clear" w:color="auto" w:fill="auto"/>
            <w:noWrap/>
            <w:vAlign w:val="bottom"/>
          </w:tcPr>
          <w:p w:rsidR="0080485A" w:rsidRPr="001635A3" w:rsidRDefault="0080485A" w:rsidP="004F6C55">
            <w:pPr>
              <w:spacing w:after="0" w:line="240" w:lineRule="auto"/>
              <w:jc w:val="right"/>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3,881,145.00</w:t>
            </w:r>
          </w:p>
        </w:tc>
        <w:tc>
          <w:tcPr>
            <w:tcW w:w="1607" w:type="dxa"/>
            <w:shd w:val="clear" w:color="auto" w:fill="auto"/>
            <w:noWrap/>
            <w:vAlign w:val="bottom"/>
            <w:hideMark/>
          </w:tcPr>
          <w:p w:rsidR="0080485A" w:rsidRPr="001635A3" w:rsidRDefault="0080485A" w:rsidP="00834FC3">
            <w:pPr>
              <w:spacing w:after="0" w:line="240" w:lineRule="auto"/>
              <w:ind w:right="-90"/>
              <w:jc w:val="right"/>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14,663,665.0</w:t>
            </w:r>
            <w:r w:rsidR="00867479" w:rsidRPr="001635A3">
              <w:rPr>
                <w:rFonts w:ascii="Arial Narrow" w:eastAsia="Times New Roman" w:hAnsi="Arial Narrow" w:cs="Arial"/>
                <w:color w:val="000000"/>
                <w:sz w:val="20"/>
                <w:szCs w:val="20"/>
                <w:lang w:eastAsia="en-PH"/>
              </w:rPr>
              <w:t>0</w:t>
            </w:r>
          </w:p>
        </w:tc>
      </w:tr>
      <w:tr w:rsidR="00867479" w:rsidRPr="000C3B54" w:rsidTr="004F6C55">
        <w:trPr>
          <w:trHeight w:val="191"/>
          <w:jc w:val="right"/>
        </w:trPr>
        <w:tc>
          <w:tcPr>
            <w:tcW w:w="1260" w:type="dxa"/>
            <w:shd w:val="clear" w:color="auto" w:fill="auto"/>
            <w:noWrap/>
            <w:vAlign w:val="bottom"/>
            <w:hideMark/>
          </w:tcPr>
          <w:p w:rsidR="0080485A" w:rsidRPr="001635A3" w:rsidRDefault="0080485A" w:rsidP="00834FC3">
            <w:pPr>
              <w:spacing w:after="0" w:line="240" w:lineRule="auto"/>
              <w:ind w:left="-27" w:hanging="90"/>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September</w:t>
            </w:r>
          </w:p>
        </w:tc>
        <w:tc>
          <w:tcPr>
            <w:tcW w:w="1496" w:type="dxa"/>
            <w:shd w:val="clear" w:color="auto" w:fill="auto"/>
            <w:noWrap/>
            <w:vAlign w:val="bottom"/>
            <w:hideMark/>
          </w:tcPr>
          <w:p w:rsidR="0080485A" w:rsidRPr="001635A3" w:rsidRDefault="0080485A" w:rsidP="004F6C55">
            <w:pPr>
              <w:spacing w:after="0" w:line="240" w:lineRule="auto"/>
              <w:jc w:val="right"/>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 xml:space="preserve">5,873,130.00 </w:t>
            </w:r>
          </w:p>
        </w:tc>
        <w:tc>
          <w:tcPr>
            <w:tcW w:w="1620" w:type="dxa"/>
            <w:shd w:val="clear" w:color="auto" w:fill="auto"/>
            <w:noWrap/>
            <w:vAlign w:val="bottom"/>
          </w:tcPr>
          <w:p w:rsidR="0080485A" w:rsidRPr="001635A3" w:rsidRDefault="0080485A" w:rsidP="004F6C55">
            <w:pPr>
              <w:spacing w:after="0" w:line="240" w:lineRule="auto"/>
              <w:jc w:val="right"/>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4,523,805.00</w:t>
            </w:r>
          </w:p>
        </w:tc>
        <w:tc>
          <w:tcPr>
            <w:tcW w:w="1496" w:type="dxa"/>
            <w:shd w:val="clear" w:color="auto" w:fill="auto"/>
            <w:noWrap/>
            <w:vAlign w:val="bottom"/>
          </w:tcPr>
          <w:p w:rsidR="0080485A" w:rsidRPr="001635A3" w:rsidRDefault="0080485A" w:rsidP="004F6C55">
            <w:pPr>
              <w:spacing w:after="0" w:line="240" w:lineRule="auto"/>
              <w:jc w:val="right"/>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3,867,910.00</w:t>
            </w:r>
          </w:p>
        </w:tc>
        <w:tc>
          <w:tcPr>
            <w:tcW w:w="1607" w:type="dxa"/>
            <w:shd w:val="clear" w:color="auto" w:fill="auto"/>
            <w:noWrap/>
            <w:vAlign w:val="bottom"/>
            <w:hideMark/>
          </w:tcPr>
          <w:p w:rsidR="0080485A" w:rsidRPr="001635A3" w:rsidRDefault="0080485A" w:rsidP="00834FC3">
            <w:pPr>
              <w:spacing w:after="0" w:line="240" w:lineRule="auto"/>
              <w:ind w:right="-90"/>
              <w:jc w:val="right"/>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14,264,845.00</w:t>
            </w:r>
          </w:p>
        </w:tc>
      </w:tr>
      <w:tr w:rsidR="00867479" w:rsidRPr="000C3B54" w:rsidTr="004F6C55">
        <w:trPr>
          <w:trHeight w:val="191"/>
          <w:jc w:val="right"/>
        </w:trPr>
        <w:tc>
          <w:tcPr>
            <w:tcW w:w="1260" w:type="dxa"/>
            <w:shd w:val="clear" w:color="auto" w:fill="auto"/>
            <w:noWrap/>
            <w:vAlign w:val="bottom"/>
            <w:hideMark/>
          </w:tcPr>
          <w:p w:rsidR="0080485A" w:rsidRPr="001635A3" w:rsidRDefault="0080485A" w:rsidP="00834FC3">
            <w:pPr>
              <w:spacing w:after="0" w:line="240" w:lineRule="auto"/>
              <w:ind w:left="-27" w:hanging="90"/>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October</w:t>
            </w:r>
          </w:p>
        </w:tc>
        <w:tc>
          <w:tcPr>
            <w:tcW w:w="1496" w:type="dxa"/>
            <w:shd w:val="clear" w:color="auto" w:fill="auto"/>
            <w:noWrap/>
            <w:vAlign w:val="bottom"/>
            <w:hideMark/>
          </w:tcPr>
          <w:p w:rsidR="0080485A" w:rsidRPr="001635A3" w:rsidRDefault="0080485A" w:rsidP="004F6C55">
            <w:pPr>
              <w:spacing w:after="0" w:line="240" w:lineRule="auto"/>
              <w:jc w:val="right"/>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 xml:space="preserve">6,604,145.00 </w:t>
            </w:r>
          </w:p>
        </w:tc>
        <w:tc>
          <w:tcPr>
            <w:tcW w:w="1620" w:type="dxa"/>
            <w:shd w:val="clear" w:color="auto" w:fill="auto"/>
            <w:noWrap/>
            <w:vAlign w:val="bottom"/>
          </w:tcPr>
          <w:p w:rsidR="0080485A" w:rsidRPr="001635A3" w:rsidRDefault="0080485A" w:rsidP="004F6C55">
            <w:pPr>
              <w:spacing w:after="0" w:line="240" w:lineRule="auto"/>
              <w:jc w:val="right"/>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5,217,890.00</w:t>
            </w:r>
          </w:p>
        </w:tc>
        <w:tc>
          <w:tcPr>
            <w:tcW w:w="1496" w:type="dxa"/>
            <w:shd w:val="clear" w:color="auto" w:fill="auto"/>
            <w:noWrap/>
            <w:vAlign w:val="bottom"/>
          </w:tcPr>
          <w:p w:rsidR="0080485A" w:rsidRPr="001635A3" w:rsidRDefault="0080485A" w:rsidP="004F6C55">
            <w:pPr>
              <w:spacing w:after="0" w:line="240" w:lineRule="auto"/>
              <w:jc w:val="right"/>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3,952,620.00</w:t>
            </w:r>
          </w:p>
        </w:tc>
        <w:tc>
          <w:tcPr>
            <w:tcW w:w="1607" w:type="dxa"/>
            <w:shd w:val="clear" w:color="auto" w:fill="auto"/>
            <w:noWrap/>
            <w:vAlign w:val="bottom"/>
            <w:hideMark/>
          </w:tcPr>
          <w:p w:rsidR="0080485A" w:rsidRPr="001635A3" w:rsidRDefault="0080485A" w:rsidP="00834FC3">
            <w:pPr>
              <w:spacing w:after="0" w:line="240" w:lineRule="auto"/>
              <w:ind w:right="-90"/>
              <w:jc w:val="right"/>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15,774,655.00</w:t>
            </w:r>
          </w:p>
        </w:tc>
      </w:tr>
      <w:tr w:rsidR="00867479" w:rsidRPr="000C3B54" w:rsidTr="004F6C55">
        <w:trPr>
          <w:trHeight w:val="191"/>
          <w:jc w:val="right"/>
        </w:trPr>
        <w:tc>
          <w:tcPr>
            <w:tcW w:w="1260" w:type="dxa"/>
            <w:shd w:val="clear" w:color="auto" w:fill="auto"/>
            <w:noWrap/>
            <w:vAlign w:val="bottom"/>
            <w:hideMark/>
          </w:tcPr>
          <w:p w:rsidR="0080485A" w:rsidRPr="001635A3" w:rsidRDefault="0080485A" w:rsidP="00834FC3">
            <w:pPr>
              <w:spacing w:after="0" w:line="240" w:lineRule="auto"/>
              <w:ind w:left="-27" w:hanging="90"/>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November</w:t>
            </w:r>
          </w:p>
        </w:tc>
        <w:tc>
          <w:tcPr>
            <w:tcW w:w="1496" w:type="dxa"/>
            <w:shd w:val="clear" w:color="auto" w:fill="auto"/>
            <w:noWrap/>
            <w:vAlign w:val="bottom"/>
            <w:hideMark/>
          </w:tcPr>
          <w:p w:rsidR="0080485A" w:rsidRPr="001635A3" w:rsidRDefault="0080485A" w:rsidP="004F6C55">
            <w:pPr>
              <w:spacing w:after="0" w:line="240" w:lineRule="auto"/>
              <w:jc w:val="right"/>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 xml:space="preserve">6,818,675.00 </w:t>
            </w:r>
          </w:p>
        </w:tc>
        <w:tc>
          <w:tcPr>
            <w:tcW w:w="1620" w:type="dxa"/>
            <w:shd w:val="clear" w:color="auto" w:fill="auto"/>
            <w:noWrap/>
            <w:vAlign w:val="bottom"/>
          </w:tcPr>
          <w:p w:rsidR="0080485A" w:rsidRPr="001635A3" w:rsidRDefault="0080485A" w:rsidP="004F6C55">
            <w:pPr>
              <w:spacing w:after="0" w:line="240" w:lineRule="auto"/>
              <w:jc w:val="right"/>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5,315,410.00</w:t>
            </w:r>
          </w:p>
        </w:tc>
        <w:tc>
          <w:tcPr>
            <w:tcW w:w="1496" w:type="dxa"/>
            <w:shd w:val="clear" w:color="auto" w:fill="auto"/>
            <w:noWrap/>
            <w:vAlign w:val="bottom"/>
          </w:tcPr>
          <w:p w:rsidR="0080485A" w:rsidRPr="001635A3" w:rsidRDefault="0080485A" w:rsidP="004F6C55">
            <w:pPr>
              <w:spacing w:after="0" w:line="240" w:lineRule="auto"/>
              <w:jc w:val="right"/>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3,909,120.00</w:t>
            </w:r>
          </w:p>
        </w:tc>
        <w:tc>
          <w:tcPr>
            <w:tcW w:w="1607" w:type="dxa"/>
            <w:shd w:val="clear" w:color="auto" w:fill="auto"/>
            <w:noWrap/>
            <w:vAlign w:val="bottom"/>
            <w:hideMark/>
          </w:tcPr>
          <w:p w:rsidR="0080485A" w:rsidRPr="001635A3" w:rsidRDefault="0080485A" w:rsidP="00834FC3">
            <w:pPr>
              <w:spacing w:after="0" w:line="240" w:lineRule="auto"/>
              <w:ind w:right="-90"/>
              <w:jc w:val="right"/>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16,043,205.00</w:t>
            </w:r>
          </w:p>
        </w:tc>
      </w:tr>
      <w:tr w:rsidR="00867479" w:rsidRPr="000C3B54" w:rsidTr="004F6C55">
        <w:trPr>
          <w:trHeight w:val="191"/>
          <w:jc w:val="right"/>
        </w:trPr>
        <w:tc>
          <w:tcPr>
            <w:tcW w:w="1260" w:type="dxa"/>
            <w:tcBorders>
              <w:bottom w:val="single" w:sz="4" w:space="0" w:color="auto"/>
            </w:tcBorders>
            <w:shd w:val="clear" w:color="auto" w:fill="auto"/>
            <w:noWrap/>
            <w:vAlign w:val="bottom"/>
            <w:hideMark/>
          </w:tcPr>
          <w:p w:rsidR="0080485A" w:rsidRPr="001635A3" w:rsidRDefault="0080485A" w:rsidP="00834FC3">
            <w:pPr>
              <w:spacing w:after="0" w:line="240" w:lineRule="auto"/>
              <w:ind w:left="-27" w:hanging="90"/>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December</w:t>
            </w:r>
          </w:p>
        </w:tc>
        <w:tc>
          <w:tcPr>
            <w:tcW w:w="1496" w:type="dxa"/>
            <w:tcBorders>
              <w:bottom w:val="single" w:sz="4" w:space="0" w:color="auto"/>
            </w:tcBorders>
            <w:shd w:val="clear" w:color="auto" w:fill="auto"/>
            <w:noWrap/>
            <w:vAlign w:val="bottom"/>
            <w:hideMark/>
          </w:tcPr>
          <w:p w:rsidR="0080485A" w:rsidRPr="001635A3" w:rsidRDefault="0080485A" w:rsidP="004F6C55">
            <w:pPr>
              <w:spacing w:after="0" w:line="240" w:lineRule="auto"/>
              <w:jc w:val="right"/>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 xml:space="preserve">16,374,895.00 </w:t>
            </w:r>
          </w:p>
        </w:tc>
        <w:tc>
          <w:tcPr>
            <w:tcW w:w="1620" w:type="dxa"/>
            <w:tcBorders>
              <w:bottom w:val="single" w:sz="4" w:space="0" w:color="auto"/>
            </w:tcBorders>
            <w:shd w:val="clear" w:color="auto" w:fill="auto"/>
            <w:noWrap/>
            <w:vAlign w:val="bottom"/>
          </w:tcPr>
          <w:p w:rsidR="0080485A" w:rsidRPr="001635A3" w:rsidRDefault="0080485A" w:rsidP="004F6C55">
            <w:pPr>
              <w:spacing w:after="0" w:line="240" w:lineRule="auto"/>
              <w:jc w:val="right"/>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5,771,655.00</w:t>
            </w:r>
          </w:p>
        </w:tc>
        <w:tc>
          <w:tcPr>
            <w:tcW w:w="1496" w:type="dxa"/>
            <w:tcBorders>
              <w:bottom w:val="single" w:sz="4" w:space="0" w:color="auto"/>
            </w:tcBorders>
            <w:shd w:val="clear" w:color="auto" w:fill="auto"/>
            <w:noWrap/>
            <w:vAlign w:val="bottom"/>
          </w:tcPr>
          <w:p w:rsidR="0080485A" w:rsidRPr="001635A3" w:rsidRDefault="0080485A" w:rsidP="004F6C55">
            <w:pPr>
              <w:spacing w:after="0" w:line="240" w:lineRule="auto"/>
              <w:jc w:val="right"/>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4,727,465.00</w:t>
            </w:r>
          </w:p>
        </w:tc>
        <w:tc>
          <w:tcPr>
            <w:tcW w:w="1607" w:type="dxa"/>
            <w:tcBorders>
              <w:bottom w:val="single" w:sz="4" w:space="0" w:color="auto"/>
            </w:tcBorders>
            <w:shd w:val="clear" w:color="auto" w:fill="auto"/>
            <w:noWrap/>
            <w:vAlign w:val="bottom"/>
            <w:hideMark/>
          </w:tcPr>
          <w:p w:rsidR="0080485A" w:rsidRPr="001635A3" w:rsidRDefault="0080485A" w:rsidP="00834FC3">
            <w:pPr>
              <w:spacing w:after="0" w:line="240" w:lineRule="auto"/>
              <w:ind w:right="-90"/>
              <w:jc w:val="right"/>
              <w:rPr>
                <w:rFonts w:ascii="Arial Narrow" w:eastAsia="Times New Roman" w:hAnsi="Arial Narrow" w:cs="Arial"/>
                <w:color w:val="000000"/>
                <w:sz w:val="20"/>
                <w:szCs w:val="20"/>
                <w:lang w:eastAsia="en-PH"/>
              </w:rPr>
            </w:pPr>
            <w:r w:rsidRPr="001635A3">
              <w:rPr>
                <w:rFonts w:ascii="Arial Narrow" w:eastAsia="Times New Roman" w:hAnsi="Arial Narrow" w:cs="Arial"/>
                <w:color w:val="000000"/>
                <w:sz w:val="20"/>
                <w:szCs w:val="20"/>
                <w:lang w:eastAsia="en-PH"/>
              </w:rPr>
              <w:t>26,874,015.00</w:t>
            </w:r>
          </w:p>
        </w:tc>
      </w:tr>
      <w:tr w:rsidR="00867479" w:rsidRPr="000C3B54" w:rsidTr="004F6C55">
        <w:trPr>
          <w:trHeight w:val="191"/>
          <w:jc w:val="right"/>
        </w:trPr>
        <w:tc>
          <w:tcPr>
            <w:tcW w:w="1260" w:type="dxa"/>
            <w:tcBorders>
              <w:top w:val="single" w:sz="4" w:space="0" w:color="auto"/>
              <w:bottom w:val="double" w:sz="4" w:space="0" w:color="auto"/>
            </w:tcBorders>
            <w:shd w:val="clear" w:color="auto" w:fill="auto"/>
            <w:noWrap/>
            <w:vAlign w:val="bottom"/>
            <w:hideMark/>
          </w:tcPr>
          <w:p w:rsidR="0080485A" w:rsidRPr="001635A3" w:rsidRDefault="0080485A" w:rsidP="00834FC3">
            <w:pPr>
              <w:spacing w:after="0" w:line="240" w:lineRule="auto"/>
              <w:ind w:left="-27" w:hanging="90"/>
              <w:rPr>
                <w:rFonts w:ascii="Arial Narrow" w:eastAsia="Times New Roman" w:hAnsi="Arial Narrow" w:cs="Arial"/>
                <w:b/>
                <w:bCs/>
                <w:color w:val="000000"/>
                <w:sz w:val="20"/>
                <w:szCs w:val="20"/>
                <w:lang w:eastAsia="en-PH"/>
              </w:rPr>
            </w:pPr>
            <w:r w:rsidRPr="001635A3">
              <w:rPr>
                <w:rFonts w:ascii="Arial Narrow" w:eastAsia="Times New Roman" w:hAnsi="Arial Narrow" w:cs="Arial"/>
                <w:b/>
                <w:bCs/>
                <w:color w:val="000000"/>
                <w:sz w:val="20"/>
                <w:szCs w:val="20"/>
                <w:lang w:eastAsia="en-PH"/>
              </w:rPr>
              <w:t>Total</w:t>
            </w:r>
          </w:p>
        </w:tc>
        <w:tc>
          <w:tcPr>
            <w:tcW w:w="1496" w:type="dxa"/>
            <w:tcBorders>
              <w:top w:val="single" w:sz="4" w:space="0" w:color="auto"/>
              <w:bottom w:val="double" w:sz="4" w:space="0" w:color="auto"/>
            </w:tcBorders>
            <w:shd w:val="clear" w:color="auto" w:fill="auto"/>
            <w:noWrap/>
            <w:vAlign w:val="bottom"/>
            <w:hideMark/>
          </w:tcPr>
          <w:p w:rsidR="0080485A" w:rsidRPr="001635A3" w:rsidRDefault="00834FC3" w:rsidP="004F6C55">
            <w:pPr>
              <w:spacing w:after="0" w:line="240" w:lineRule="auto"/>
              <w:jc w:val="right"/>
              <w:rPr>
                <w:rFonts w:ascii="Arial Narrow" w:eastAsia="Times New Roman" w:hAnsi="Arial Narrow" w:cs="Arial"/>
                <w:b/>
                <w:bCs/>
                <w:color w:val="000000"/>
                <w:sz w:val="20"/>
                <w:szCs w:val="20"/>
                <w:lang w:eastAsia="en-PH"/>
              </w:rPr>
            </w:pPr>
            <w:r w:rsidRPr="001635A3">
              <w:rPr>
                <w:rFonts w:ascii="Arial Narrow" w:eastAsia="Times New Roman" w:hAnsi="Arial Narrow" w:cs="Arial"/>
                <w:b/>
                <w:bCs/>
                <w:color w:val="000000"/>
                <w:sz w:val="20"/>
                <w:szCs w:val="20"/>
                <w:lang w:eastAsia="en-PH"/>
              </w:rPr>
              <w:t>P</w:t>
            </w:r>
            <w:r w:rsidR="0080485A" w:rsidRPr="001635A3">
              <w:rPr>
                <w:rFonts w:ascii="Arial Narrow" w:eastAsia="Times New Roman" w:hAnsi="Arial Narrow" w:cs="Arial"/>
                <w:b/>
                <w:bCs/>
                <w:color w:val="000000"/>
                <w:sz w:val="20"/>
                <w:szCs w:val="20"/>
                <w:lang w:eastAsia="en-PH"/>
              </w:rPr>
              <w:t xml:space="preserve">81,520,940.00 </w:t>
            </w:r>
          </w:p>
        </w:tc>
        <w:tc>
          <w:tcPr>
            <w:tcW w:w="1620" w:type="dxa"/>
            <w:tcBorders>
              <w:top w:val="single" w:sz="4" w:space="0" w:color="auto"/>
              <w:bottom w:val="double" w:sz="4" w:space="0" w:color="auto"/>
            </w:tcBorders>
            <w:shd w:val="clear" w:color="auto" w:fill="auto"/>
            <w:noWrap/>
            <w:vAlign w:val="bottom"/>
          </w:tcPr>
          <w:p w:rsidR="0080485A" w:rsidRPr="001635A3" w:rsidRDefault="00834FC3" w:rsidP="004F6C55">
            <w:pPr>
              <w:spacing w:after="0" w:line="240" w:lineRule="auto"/>
              <w:jc w:val="right"/>
              <w:rPr>
                <w:rFonts w:ascii="Arial Narrow" w:eastAsia="Times New Roman" w:hAnsi="Arial Narrow" w:cs="Arial"/>
                <w:b/>
                <w:bCs/>
                <w:color w:val="000000"/>
                <w:sz w:val="20"/>
                <w:szCs w:val="20"/>
                <w:lang w:eastAsia="en-PH"/>
              </w:rPr>
            </w:pPr>
            <w:r w:rsidRPr="001635A3">
              <w:rPr>
                <w:rFonts w:ascii="Arial Narrow" w:eastAsia="Times New Roman" w:hAnsi="Arial Narrow" w:cs="Arial"/>
                <w:b/>
                <w:bCs/>
                <w:color w:val="000000"/>
                <w:sz w:val="20"/>
                <w:szCs w:val="20"/>
                <w:lang w:eastAsia="en-PH"/>
              </w:rPr>
              <w:t>P</w:t>
            </w:r>
            <w:r w:rsidR="0080485A" w:rsidRPr="001635A3">
              <w:rPr>
                <w:rFonts w:ascii="Arial Narrow" w:eastAsia="Times New Roman" w:hAnsi="Arial Narrow" w:cs="Arial"/>
                <w:b/>
                <w:bCs/>
                <w:color w:val="000000"/>
                <w:sz w:val="20"/>
                <w:szCs w:val="20"/>
                <w:lang w:eastAsia="en-PH"/>
              </w:rPr>
              <w:t>57,436,765.00</w:t>
            </w:r>
          </w:p>
        </w:tc>
        <w:tc>
          <w:tcPr>
            <w:tcW w:w="1496" w:type="dxa"/>
            <w:tcBorders>
              <w:top w:val="single" w:sz="4" w:space="0" w:color="auto"/>
              <w:bottom w:val="double" w:sz="4" w:space="0" w:color="auto"/>
            </w:tcBorders>
            <w:shd w:val="clear" w:color="auto" w:fill="auto"/>
            <w:noWrap/>
            <w:vAlign w:val="bottom"/>
          </w:tcPr>
          <w:p w:rsidR="0080485A" w:rsidRPr="001635A3" w:rsidRDefault="00834FC3" w:rsidP="004F6C55">
            <w:pPr>
              <w:spacing w:after="0" w:line="240" w:lineRule="auto"/>
              <w:jc w:val="right"/>
              <w:rPr>
                <w:rFonts w:ascii="Arial Narrow" w:eastAsia="Times New Roman" w:hAnsi="Arial Narrow" w:cs="Arial"/>
                <w:b/>
                <w:bCs/>
                <w:color w:val="000000"/>
                <w:sz w:val="20"/>
                <w:szCs w:val="20"/>
                <w:lang w:eastAsia="en-PH"/>
              </w:rPr>
            </w:pPr>
            <w:r w:rsidRPr="001635A3">
              <w:rPr>
                <w:rFonts w:ascii="Arial Narrow" w:eastAsia="Times New Roman" w:hAnsi="Arial Narrow" w:cs="Arial"/>
                <w:b/>
                <w:bCs/>
                <w:color w:val="000000"/>
                <w:sz w:val="20"/>
                <w:szCs w:val="20"/>
                <w:lang w:eastAsia="en-PH"/>
              </w:rPr>
              <w:t>P</w:t>
            </w:r>
            <w:r w:rsidR="0080485A" w:rsidRPr="001635A3">
              <w:rPr>
                <w:rFonts w:ascii="Arial Narrow" w:eastAsia="Times New Roman" w:hAnsi="Arial Narrow" w:cs="Arial"/>
                <w:b/>
                <w:bCs/>
                <w:color w:val="000000"/>
                <w:sz w:val="20"/>
                <w:szCs w:val="20"/>
                <w:lang w:eastAsia="en-PH"/>
              </w:rPr>
              <w:t>45,344,600.00</w:t>
            </w:r>
          </w:p>
        </w:tc>
        <w:tc>
          <w:tcPr>
            <w:tcW w:w="1607" w:type="dxa"/>
            <w:tcBorders>
              <w:top w:val="single" w:sz="4" w:space="0" w:color="auto"/>
              <w:bottom w:val="double" w:sz="4" w:space="0" w:color="auto"/>
            </w:tcBorders>
            <w:shd w:val="clear" w:color="auto" w:fill="auto"/>
            <w:noWrap/>
            <w:vAlign w:val="bottom"/>
            <w:hideMark/>
          </w:tcPr>
          <w:p w:rsidR="0080485A" w:rsidRPr="001635A3" w:rsidRDefault="00834FC3" w:rsidP="00834FC3">
            <w:pPr>
              <w:spacing w:after="0" w:line="240" w:lineRule="auto"/>
              <w:ind w:right="-90"/>
              <w:jc w:val="right"/>
              <w:rPr>
                <w:rFonts w:ascii="Arial Narrow" w:eastAsia="Times New Roman" w:hAnsi="Arial Narrow" w:cs="Arial"/>
                <w:b/>
                <w:color w:val="000000"/>
                <w:sz w:val="20"/>
                <w:szCs w:val="20"/>
                <w:lang w:eastAsia="en-PH"/>
              </w:rPr>
            </w:pPr>
            <w:r w:rsidRPr="001635A3">
              <w:rPr>
                <w:rFonts w:ascii="Arial Narrow" w:eastAsia="Times New Roman" w:hAnsi="Arial Narrow" w:cs="Arial"/>
                <w:b/>
                <w:color w:val="000000"/>
                <w:sz w:val="20"/>
                <w:szCs w:val="20"/>
                <w:lang w:eastAsia="en-PH"/>
              </w:rPr>
              <w:t>P</w:t>
            </w:r>
            <w:r w:rsidR="0080485A" w:rsidRPr="001635A3">
              <w:rPr>
                <w:rFonts w:ascii="Arial Narrow" w:eastAsia="Times New Roman" w:hAnsi="Arial Narrow" w:cs="Arial"/>
                <w:b/>
                <w:color w:val="000000"/>
                <w:sz w:val="20"/>
                <w:szCs w:val="20"/>
                <w:lang w:eastAsia="en-PH"/>
              </w:rPr>
              <w:t>184,302,305.00</w:t>
            </w:r>
          </w:p>
        </w:tc>
      </w:tr>
    </w:tbl>
    <w:p w:rsidR="000C3B54" w:rsidRPr="00EF4855" w:rsidRDefault="000C3B54" w:rsidP="004C39E3">
      <w:pPr>
        <w:spacing w:after="0" w:line="240" w:lineRule="auto"/>
        <w:jc w:val="both"/>
        <w:rPr>
          <w:rFonts w:ascii="Arial" w:hAnsi="Arial" w:cs="Arial"/>
        </w:rPr>
      </w:pPr>
    </w:p>
    <w:p w:rsidR="00404FF9" w:rsidRPr="00EF4855" w:rsidRDefault="00785B30" w:rsidP="00DA78B4">
      <w:pPr>
        <w:pStyle w:val="ListParagraph"/>
        <w:numPr>
          <w:ilvl w:val="1"/>
          <w:numId w:val="21"/>
        </w:numPr>
        <w:ind w:left="1440"/>
        <w:jc w:val="both"/>
        <w:rPr>
          <w:rFonts w:ascii="Arial" w:hAnsi="Arial" w:cs="Arial"/>
          <w:sz w:val="22"/>
          <w:szCs w:val="22"/>
        </w:rPr>
      </w:pPr>
      <w:r w:rsidRPr="00EF4855">
        <w:rPr>
          <w:rFonts w:ascii="Arial" w:hAnsi="Arial" w:cs="Arial"/>
          <w:sz w:val="22"/>
          <w:szCs w:val="22"/>
        </w:rPr>
        <w:t xml:space="preserve">Likewise, </w:t>
      </w:r>
      <w:r w:rsidR="006236E1" w:rsidRPr="00EF4855">
        <w:rPr>
          <w:rFonts w:ascii="Arial" w:hAnsi="Arial" w:cs="Arial"/>
          <w:sz w:val="22"/>
          <w:szCs w:val="22"/>
        </w:rPr>
        <w:t xml:space="preserve">review of records disclosed that </w:t>
      </w:r>
      <w:r w:rsidRPr="00EF4855">
        <w:rPr>
          <w:rFonts w:ascii="Arial" w:hAnsi="Arial" w:cs="Arial"/>
          <w:sz w:val="22"/>
          <w:szCs w:val="22"/>
        </w:rPr>
        <w:t>the remaining balance of P500 million from the 2017 unutilized operating fund of P1.50</w:t>
      </w:r>
      <w:r w:rsidR="001D37BE" w:rsidRPr="00EF4855">
        <w:rPr>
          <w:rFonts w:ascii="Arial" w:hAnsi="Arial" w:cs="Arial"/>
          <w:sz w:val="22"/>
          <w:szCs w:val="22"/>
        </w:rPr>
        <w:t>0</w:t>
      </w:r>
      <w:r w:rsidRPr="00EF4855">
        <w:rPr>
          <w:rFonts w:ascii="Arial" w:hAnsi="Arial" w:cs="Arial"/>
          <w:sz w:val="22"/>
          <w:szCs w:val="22"/>
        </w:rPr>
        <w:t xml:space="preserve"> billion, </w:t>
      </w:r>
      <w:r w:rsidR="006236E1" w:rsidRPr="00EF4855">
        <w:rPr>
          <w:rFonts w:ascii="Arial" w:hAnsi="Arial" w:cs="Arial"/>
          <w:sz w:val="22"/>
          <w:szCs w:val="22"/>
        </w:rPr>
        <w:t xml:space="preserve">which was </w:t>
      </w:r>
      <w:r w:rsidRPr="00EF4855">
        <w:rPr>
          <w:rFonts w:ascii="Arial" w:hAnsi="Arial" w:cs="Arial"/>
          <w:sz w:val="22"/>
          <w:szCs w:val="22"/>
        </w:rPr>
        <w:t>subject of prior year’s AOM No. 18-025 dated May 29, 2018, was not yet transferred to the Chari</w:t>
      </w:r>
      <w:r w:rsidR="004C39E3" w:rsidRPr="00EF4855">
        <w:rPr>
          <w:rFonts w:ascii="Arial" w:hAnsi="Arial" w:cs="Arial"/>
          <w:sz w:val="22"/>
          <w:szCs w:val="22"/>
        </w:rPr>
        <w:t>ty Fund as of December 31, 2018.</w:t>
      </w:r>
    </w:p>
    <w:p w:rsidR="004C39E3" w:rsidRPr="00EF4855" w:rsidRDefault="004C39E3" w:rsidP="004C39E3">
      <w:pPr>
        <w:pStyle w:val="ListParagraph"/>
        <w:ind w:left="1296"/>
        <w:jc w:val="both"/>
        <w:rPr>
          <w:rFonts w:ascii="Arial" w:hAnsi="Arial" w:cs="Arial"/>
          <w:sz w:val="22"/>
          <w:szCs w:val="22"/>
        </w:rPr>
      </w:pPr>
    </w:p>
    <w:p w:rsidR="00662480" w:rsidRPr="00EF4855" w:rsidRDefault="00785B30" w:rsidP="00DA78B4">
      <w:pPr>
        <w:pStyle w:val="ListParagraph"/>
        <w:numPr>
          <w:ilvl w:val="1"/>
          <w:numId w:val="21"/>
        </w:numPr>
        <w:ind w:left="1440"/>
        <w:jc w:val="both"/>
        <w:rPr>
          <w:rFonts w:ascii="Arial" w:hAnsi="Arial" w:cs="Arial"/>
          <w:sz w:val="22"/>
          <w:szCs w:val="22"/>
        </w:rPr>
      </w:pPr>
      <w:r w:rsidRPr="00EF4855">
        <w:rPr>
          <w:rFonts w:ascii="Arial" w:hAnsi="Arial" w:cs="Arial"/>
          <w:sz w:val="22"/>
          <w:szCs w:val="22"/>
        </w:rPr>
        <w:lastRenderedPageBreak/>
        <w:t>The concerned official of the Treasury Department informed</w:t>
      </w:r>
      <w:r w:rsidR="006236E1" w:rsidRPr="00EF4855">
        <w:rPr>
          <w:rFonts w:ascii="Arial" w:hAnsi="Arial" w:cs="Arial"/>
          <w:sz w:val="22"/>
          <w:szCs w:val="22"/>
        </w:rPr>
        <w:t xml:space="preserve"> during</w:t>
      </w:r>
      <w:r w:rsidRPr="00EF4855">
        <w:rPr>
          <w:rFonts w:ascii="Arial" w:hAnsi="Arial" w:cs="Arial"/>
          <w:sz w:val="22"/>
          <w:szCs w:val="22"/>
        </w:rPr>
        <w:t xml:space="preserve"> inquiry that the Operating Fund has insufficient balance to date</w:t>
      </w:r>
      <w:r w:rsidR="001635A3">
        <w:rPr>
          <w:rFonts w:ascii="Arial" w:hAnsi="Arial" w:cs="Arial"/>
          <w:sz w:val="22"/>
          <w:szCs w:val="22"/>
        </w:rPr>
        <w:t>;</w:t>
      </w:r>
      <w:r w:rsidRPr="00EF4855">
        <w:rPr>
          <w:rFonts w:ascii="Arial" w:hAnsi="Arial" w:cs="Arial"/>
          <w:sz w:val="22"/>
          <w:szCs w:val="22"/>
        </w:rPr>
        <w:t xml:space="preserve"> hence, the transfer of the P500 million to the Charity Fund cannot be effected</w:t>
      </w:r>
      <w:r w:rsidR="00C5607E" w:rsidRPr="00EF4855">
        <w:rPr>
          <w:rFonts w:ascii="Arial" w:hAnsi="Arial" w:cs="Arial"/>
          <w:sz w:val="22"/>
          <w:szCs w:val="22"/>
        </w:rPr>
        <w:t xml:space="preserve"> yet. </w:t>
      </w:r>
    </w:p>
    <w:p w:rsidR="00662480" w:rsidRPr="00EF4855" w:rsidRDefault="00662480" w:rsidP="00662480">
      <w:pPr>
        <w:pStyle w:val="ListParagraph"/>
        <w:rPr>
          <w:rFonts w:ascii="Arial" w:hAnsi="Arial" w:cs="Arial"/>
          <w:sz w:val="22"/>
          <w:szCs w:val="22"/>
        </w:rPr>
      </w:pPr>
    </w:p>
    <w:p w:rsidR="00785B30" w:rsidRPr="00EF4855" w:rsidRDefault="005A4B18" w:rsidP="00DA78B4">
      <w:pPr>
        <w:pStyle w:val="ListParagraph"/>
        <w:numPr>
          <w:ilvl w:val="1"/>
          <w:numId w:val="21"/>
        </w:numPr>
        <w:ind w:left="1440"/>
        <w:jc w:val="both"/>
        <w:rPr>
          <w:rFonts w:ascii="Arial" w:hAnsi="Arial" w:cs="Arial"/>
          <w:sz w:val="22"/>
          <w:szCs w:val="22"/>
        </w:rPr>
      </w:pPr>
      <w:r>
        <w:rPr>
          <w:rFonts w:ascii="Arial" w:hAnsi="Arial" w:cs="Arial"/>
          <w:sz w:val="22"/>
          <w:szCs w:val="22"/>
        </w:rPr>
        <w:t>Considering that t</w:t>
      </w:r>
      <w:r w:rsidR="00785B30" w:rsidRPr="00EF4855">
        <w:rPr>
          <w:rFonts w:ascii="Arial" w:hAnsi="Arial" w:cs="Arial"/>
          <w:sz w:val="22"/>
          <w:szCs w:val="22"/>
        </w:rPr>
        <w:t>he subject amount belonging to the Charity Fund pursuant to Section 6.D of RA No.1169 was declared as unutilized operating fund as of December 31, 2017</w:t>
      </w:r>
      <w:r w:rsidR="00C5607E" w:rsidRPr="00EF4855">
        <w:rPr>
          <w:rFonts w:ascii="Arial" w:hAnsi="Arial" w:cs="Arial"/>
          <w:sz w:val="22"/>
          <w:szCs w:val="22"/>
        </w:rPr>
        <w:t>, u</w:t>
      </w:r>
      <w:r w:rsidR="00785B30" w:rsidRPr="00EF4855">
        <w:rPr>
          <w:rFonts w:ascii="Arial" w:hAnsi="Arial" w:cs="Arial"/>
          <w:sz w:val="22"/>
          <w:szCs w:val="22"/>
        </w:rPr>
        <w:t xml:space="preserve">tilizing the same for the current transactions of the Operating Fund is tantamount to </w:t>
      </w:r>
      <w:r w:rsidR="00785B30" w:rsidRPr="00175DED">
        <w:rPr>
          <w:rFonts w:ascii="Arial" w:hAnsi="Arial" w:cs="Arial"/>
          <w:sz w:val="22"/>
          <w:szCs w:val="22"/>
        </w:rPr>
        <w:t>juggling</w:t>
      </w:r>
      <w:r w:rsidR="00785B30" w:rsidRPr="00EF4855">
        <w:rPr>
          <w:rFonts w:ascii="Arial" w:hAnsi="Arial" w:cs="Arial"/>
          <w:sz w:val="22"/>
          <w:szCs w:val="22"/>
        </w:rPr>
        <w:t xml:space="preserve"> and/or misappropriation of government funds punishable under the existing laws and regulations.</w:t>
      </w:r>
    </w:p>
    <w:p w:rsidR="00C5607E" w:rsidRPr="00EF4855" w:rsidRDefault="00C5607E" w:rsidP="004C39E3">
      <w:pPr>
        <w:pStyle w:val="ListParagraph"/>
        <w:ind w:left="1188"/>
        <w:jc w:val="both"/>
        <w:rPr>
          <w:rFonts w:ascii="Arial" w:hAnsi="Arial" w:cs="Arial"/>
          <w:b/>
          <w:i/>
          <w:sz w:val="22"/>
          <w:szCs w:val="22"/>
        </w:rPr>
      </w:pPr>
    </w:p>
    <w:p w:rsidR="00785B30" w:rsidRPr="00EF4855" w:rsidRDefault="00DE62A5" w:rsidP="00DA78B4">
      <w:pPr>
        <w:pStyle w:val="ListParagraph"/>
        <w:numPr>
          <w:ilvl w:val="1"/>
          <w:numId w:val="21"/>
        </w:numPr>
        <w:ind w:left="1440"/>
        <w:jc w:val="both"/>
        <w:rPr>
          <w:rFonts w:ascii="Arial" w:hAnsi="Arial" w:cs="Arial"/>
          <w:b/>
          <w:i/>
          <w:sz w:val="22"/>
          <w:szCs w:val="22"/>
        </w:rPr>
      </w:pPr>
      <w:r w:rsidRPr="00EF4855">
        <w:rPr>
          <w:rFonts w:ascii="Arial" w:hAnsi="Arial" w:cs="Arial"/>
          <w:b/>
          <w:color w:val="000000" w:themeColor="text1"/>
          <w:sz w:val="22"/>
          <w:szCs w:val="22"/>
        </w:rPr>
        <w:t xml:space="preserve">We recommended </w:t>
      </w:r>
      <w:r w:rsidR="00785B30" w:rsidRPr="00EF4855">
        <w:rPr>
          <w:rFonts w:ascii="Arial" w:hAnsi="Arial" w:cs="Arial"/>
          <w:b/>
          <w:color w:val="000000" w:themeColor="text1"/>
          <w:sz w:val="22"/>
          <w:szCs w:val="22"/>
        </w:rPr>
        <w:t xml:space="preserve">that Management direct the concerned officials of the PCSO to immediately transfer to the Charity Fund the total amount of </w:t>
      </w:r>
      <w:r w:rsidR="00785B30" w:rsidRPr="00EF4855">
        <w:rPr>
          <w:rFonts w:ascii="Arial" w:hAnsi="Arial" w:cs="Arial"/>
          <w:b/>
          <w:sz w:val="22"/>
          <w:szCs w:val="22"/>
        </w:rPr>
        <w:t>P</w:t>
      </w:r>
      <w:r w:rsidR="00042CA5">
        <w:rPr>
          <w:rFonts w:ascii="Arial" w:hAnsi="Arial" w:cs="Arial"/>
          <w:b/>
          <w:sz w:val="22"/>
          <w:szCs w:val="22"/>
        </w:rPr>
        <w:t>6</w:t>
      </w:r>
      <w:r w:rsidR="00785B30" w:rsidRPr="00EF4855">
        <w:rPr>
          <w:rFonts w:ascii="Arial" w:hAnsi="Arial" w:cs="Arial"/>
          <w:b/>
          <w:sz w:val="22"/>
          <w:szCs w:val="22"/>
        </w:rPr>
        <w:t xml:space="preserve">84.302 million, representing forfeited prizes for Keno games and remaining unutilized CY 2017 operating fund pursuant to Sections 6.A and 6.D of RA </w:t>
      </w:r>
      <w:r w:rsidR="005E5E0A">
        <w:rPr>
          <w:rFonts w:ascii="Arial" w:hAnsi="Arial" w:cs="Arial"/>
          <w:b/>
          <w:sz w:val="22"/>
          <w:szCs w:val="22"/>
        </w:rPr>
        <w:t xml:space="preserve">No. </w:t>
      </w:r>
      <w:r w:rsidR="00785B30" w:rsidRPr="00EF4855">
        <w:rPr>
          <w:rFonts w:ascii="Arial" w:hAnsi="Arial" w:cs="Arial"/>
          <w:b/>
          <w:sz w:val="22"/>
          <w:szCs w:val="22"/>
        </w:rPr>
        <w:t>1169 to augment the funds that may be utilized for the various charity programs of the PCSO, particularly the IMAP.</w:t>
      </w:r>
      <w:r w:rsidR="00785B30" w:rsidRPr="00EF4855">
        <w:rPr>
          <w:rFonts w:ascii="Arial" w:hAnsi="Arial" w:cs="Arial"/>
          <w:b/>
          <w:i/>
          <w:sz w:val="22"/>
          <w:szCs w:val="22"/>
        </w:rPr>
        <w:t xml:space="preserve"> </w:t>
      </w:r>
    </w:p>
    <w:p w:rsidR="008D7C81" w:rsidRPr="00EF4855" w:rsidRDefault="008D7C81" w:rsidP="004C39E3">
      <w:pPr>
        <w:pStyle w:val="ListParagraph"/>
        <w:rPr>
          <w:rFonts w:ascii="Arial" w:hAnsi="Arial" w:cs="Arial"/>
          <w:i/>
          <w:sz w:val="22"/>
          <w:szCs w:val="22"/>
        </w:rPr>
      </w:pPr>
    </w:p>
    <w:p w:rsidR="00AD091C" w:rsidRPr="00EF4855" w:rsidRDefault="00AA0ABC" w:rsidP="00DA78B4">
      <w:pPr>
        <w:pStyle w:val="ListParagraph"/>
        <w:numPr>
          <w:ilvl w:val="1"/>
          <w:numId w:val="21"/>
        </w:numPr>
        <w:ind w:left="1440"/>
        <w:jc w:val="both"/>
        <w:rPr>
          <w:rFonts w:ascii="Arial" w:hAnsi="Arial" w:cs="Arial"/>
          <w:sz w:val="22"/>
          <w:szCs w:val="22"/>
        </w:rPr>
      </w:pPr>
      <w:r w:rsidRPr="00EF4855">
        <w:rPr>
          <w:rFonts w:ascii="Arial" w:hAnsi="Arial" w:cs="Arial"/>
          <w:sz w:val="22"/>
          <w:szCs w:val="22"/>
        </w:rPr>
        <w:t>Management</w:t>
      </w:r>
      <w:r w:rsidR="00AD091C" w:rsidRPr="00EF4855">
        <w:rPr>
          <w:rFonts w:ascii="Arial" w:hAnsi="Arial" w:cs="Arial"/>
          <w:sz w:val="22"/>
          <w:szCs w:val="22"/>
        </w:rPr>
        <w:t xml:space="preserve"> informed that the </w:t>
      </w:r>
      <w:r w:rsidR="007F4E63" w:rsidRPr="00EF4855">
        <w:rPr>
          <w:rFonts w:ascii="Arial" w:hAnsi="Arial" w:cs="Arial"/>
          <w:sz w:val="22"/>
          <w:szCs w:val="22"/>
        </w:rPr>
        <w:t xml:space="preserve">transfer of </w:t>
      </w:r>
      <w:r w:rsidR="00AD091C" w:rsidRPr="00EF4855">
        <w:rPr>
          <w:rFonts w:ascii="Arial" w:hAnsi="Arial" w:cs="Arial"/>
          <w:sz w:val="22"/>
          <w:szCs w:val="22"/>
        </w:rPr>
        <w:t xml:space="preserve">P500 million unutilized operating fund </w:t>
      </w:r>
      <w:r w:rsidR="007F4E63" w:rsidRPr="00EF4855">
        <w:rPr>
          <w:rFonts w:ascii="Arial" w:hAnsi="Arial" w:cs="Arial"/>
          <w:sz w:val="22"/>
          <w:szCs w:val="22"/>
        </w:rPr>
        <w:t>to the C</w:t>
      </w:r>
      <w:r w:rsidR="00AD091C" w:rsidRPr="00EF4855">
        <w:rPr>
          <w:rFonts w:ascii="Arial" w:hAnsi="Arial" w:cs="Arial"/>
          <w:sz w:val="22"/>
          <w:szCs w:val="22"/>
        </w:rPr>
        <w:t>harity Fund</w:t>
      </w:r>
      <w:r w:rsidR="007F4E63" w:rsidRPr="00EF4855">
        <w:rPr>
          <w:rFonts w:ascii="Arial" w:hAnsi="Arial" w:cs="Arial"/>
          <w:sz w:val="22"/>
          <w:szCs w:val="22"/>
        </w:rPr>
        <w:t xml:space="preserve"> has been approved by the Chairman and Interim General Manager per Memorandum dated June 13, 2019.</w:t>
      </w:r>
      <w:r w:rsidR="00AD091C" w:rsidRPr="00EF4855">
        <w:rPr>
          <w:rFonts w:ascii="Arial" w:hAnsi="Arial" w:cs="Arial"/>
          <w:sz w:val="22"/>
          <w:szCs w:val="22"/>
        </w:rPr>
        <w:t xml:space="preserve">  </w:t>
      </w:r>
    </w:p>
    <w:p w:rsidR="00AD091C" w:rsidRPr="00EF4855" w:rsidRDefault="00AD091C" w:rsidP="004C39E3">
      <w:pPr>
        <w:pStyle w:val="ListParagraph"/>
        <w:rPr>
          <w:rFonts w:ascii="Arial" w:hAnsi="Arial" w:cs="Arial"/>
          <w:color w:val="000000" w:themeColor="text1"/>
          <w:sz w:val="22"/>
          <w:szCs w:val="22"/>
        </w:rPr>
      </w:pPr>
    </w:p>
    <w:p w:rsidR="00785B30" w:rsidRPr="00EF4855" w:rsidRDefault="009757B8" w:rsidP="00DA78B4">
      <w:pPr>
        <w:pStyle w:val="ListParagraph"/>
        <w:numPr>
          <w:ilvl w:val="1"/>
          <w:numId w:val="21"/>
        </w:numPr>
        <w:ind w:left="1440"/>
        <w:jc w:val="both"/>
        <w:rPr>
          <w:rFonts w:ascii="Arial" w:hAnsi="Arial" w:cs="Arial"/>
          <w:sz w:val="22"/>
          <w:szCs w:val="22"/>
        </w:rPr>
      </w:pPr>
      <w:r w:rsidRPr="00EF4855">
        <w:rPr>
          <w:rFonts w:ascii="Arial" w:hAnsi="Arial" w:cs="Arial"/>
          <w:color w:val="000000" w:themeColor="text1"/>
          <w:sz w:val="22"/>
          <w:szCs w:val="22"/>
        </w:rPr>
        <w:t xml:space="preserve">As </w:t>
      </w:r>
      <w:r w:rsidRPr="005943AE">
        <w:rPr>
          <w:rFonts w:ascii="Arial" w:hAnsi="Arial" w:cs="Arial"/>
          <w:sz w:val="22"/>
          <w:szCs w:val="22"/>
        </w:rPr>
        <w:t>to</w:t>
      </w:r>
      <w:r w:rsidRPr="00EF4855">
        <w:rPr>
          <w:rFonts w:ascii="Arial" w:hAnsi="Arial" w:cs="Arial"/>
          <w:color w:val="000000" w:themeColor="text1"/>
          <w:sz w:val="22"/>
          <w:szCs w:val="22"/>
        </w:rPr>
        <w:t xml:space="preserve"> </w:t>
      </w:r>
      <w:r w:rsidR="00962806">
        <w:rPr>
          <w:rFonts w:ascii="Arial" w:hAnsi="Arial" w:cs="Arial"/>
          <w:color w:val="000000" w:themeColor="text1"/>
          <w:sz w:val="22"/>
          <w:szCs w:val="22"/>
        </w:rPr>
        <w:t>the forfeited prizes for K</w:t>
      </w:r>
      <w:r w:rsidRPr="00EF4855">
        <w:rPr>
          <w:rFonts w:ascii="Arial" w:hAnsi="Arial" w:cs="Arial"/>
          <w:color w:val="000000" w:themeColor="text1"/>
          <w:sz w:val="22"/>
          <w:szCs w:val="22"/>
        </w:rPr>
        <w:t xml:space="preserve">eno games, </w:t>
      </w:r>
      <w:r w:rsidR="00C5607E" w:rsidRPr="00EF4855">
        <w:rPr>
          <w:rFonts w:ascii="Arial" w:hAnsi="Arial" w:cs="Arial"/>
          <w:color w:val="000000" w:themeColor="text1"/>
          <w:sz w:val="22"/>
          <w:szCs w:val="22"/>
        </w:rPr>
        <w:t xml:space="preserve">Management </w:t>
      </w:r>
      <w:r w:rsidRPr="00EF4855">
        <w:rPr>
          <w:rFonts w:ascii="Arial" w:hAnsi="Arial" w:cs="Arial"/>
          <w:color w:val="000000" w:themeColor="text1"/>
          <w:sz w:val="22"/>
          <w:szCs w:val="22"/>
        </w:rPr>
        <w:t xml:space="preserve">explained </w:t>
      </w:r>
      <w:r w:rsidRPr="00EF4855">
        <w:rPr>
          <w:rFonts w:ascii="Arial" w:hAnsi="Arial" w:cs="Arial"/>
          <w:sz w:val="22"/>
          <w:szCs w:val="22"/>
        </w:rPr>
        <w:t xml:space="preserve">that there were no available funds to be transferred to Charity Fund since the KENO Game has </w:t>
      </w:r>
      <w:r w:rsidR="001709F7" w:rsidRPr="00EF4855">
        <w:rPr>
          <w:rFonts w:ascii="Arial" w:hAnsi="Arial" w:cs="Arial"/>
          <w:sz w:val="22"/>
          <w:szCs w:val="22"/>
        </w:rPr>
        <w:t>incurred a total</w:t>
      </w:r>
      <w:r w:rsidRPr="00EF4855">
        <w:rPr>
          <w:rFonts w:ascii="Arial" w:hAnsi="Arial" w:cs="Arial"/>
          <w:sz w:val="22"/>
          <w:szCs w:val="22"/>
        </w:rPr>
        <w:t xml:space="preserve"> deficit</w:t>
      </w:r>
      <w:r w:rsidR="001709F7" w:rsidRPr="00EF4855">
        <w:rPr>
          <w:rFonts w:ascii="Arial" w:hAnsi="Arial" w:cs="Arial"/>
          <w:sz w:val="22"/>
          <w:szCs w:val="22"/>
        </w:rPr>
        <w:t xml:space="preserve"> of P2</w:t>
      </w:r>
      <w:r w:rsidR="00356139" w:rsidRPr="00EF4855">
        <w:rPr>
          <w:rFonts w:ascii="Arial" w:hAnsi="Arial" w:cs="Arial"/>
          <w:sz w:val="22"/>
          <w:szCs w:val="22"/>
        </w:rPr>
        <w:t>.</w:t>
      </w:r>
      <w:r w:rsidR="001709F7" w:rsidRPr="00EF4855">
        <w:rPr>
          <w:rFonts w:ascii="Arial" w:hAnsi="Arial" w:cs="Arial"/>
          <w:sz w:val="22"/>
          <w:szCs w:val="22"/>
        </w:rPr>
        <w:t>719</w:t>
      </w:r>
      <w:r w:rsidR="00356139" w:rsidRPr="00EF4855">
        <w:rPr>
          <w:rFonts w:ascii="Arial" w:hAnsi="Arial" w:cs="Arial"/>
          <w:sz w:val="22"/>
          <w:szCs w:val="22"/>
        </w:rPr>
        <w:t xml:space="preserve"> billion</w:t>
      </w:r>
      <w:r w:rsidRPr="00EF4855">
        <w:rPr>
          <w:rFonts w:ascii="Arial" w:hAnsi="Arial" w:cs="Arial"/>
          <w:sz w:val="22"/>
          <w:szCs w:val="22"/>
        </w:rPr>
        <w:t xml:space="preserve"> under its Prize Fund and that all funds were already exhausted.  PCSO had to source the said amount from the Lotto Reserve Fund. </w:t>
      </w:r>
      <w:r w:rsidR="001709F7" w:rsidRPr="00EF4855">
        <w:rPr>
          <w:rFonts w:ascii="Arial" w:hAnsi="Arial" w:cs="Arial"/>
          <w:sz w:val="22"/>
          <w:szCs w:val="22"/>
        </w:rPr>
        <w:t>Nevertheless, i</w:t>
      </w:r>
      <w:r w:rsidRPr="00EF4855">
        <w:rPr>
          <w:rFonts w:ascii="Arial" w:hAnsi="Arial" w:cs="Arial"/>
          <w:sz w:val="22"/>
          <w:szCs w:val="22"/>
        </w:rPr>
        <w:t xml:space="preserve">t informed that the Gaming Product, Development and Marketing Sector had already submitted to the </w:t>
      </w:r>
      <w:r w:rsidR="00042CA5">
        <w:rPr>
          <w:rFonts w:ascii="Arial" w:hAnsi="Arial" w:cs="Arial"/>
          <w:sz w:val="22"/>
          <w:szCs w:val="22"/>
        </w:rPr>
        <w:t>Office of the Government Corporate Counsel (</w:t>
      </w:r>
      <w:r w:rsidRPr="00EF4855">
        <w:rPr>
          <w:rFonts w:ascii="Arial" w:hAnsi="Arial" w:cs="Arial"/>
          <w:sz w:val="22"/>
          <w:szCs w:val="22"/>
        </w:rPr>
        <w:t>OGCC</w:t>
      </w:r>
      <w:r w:rsidR="00042CA5">
        <w:rPr>
          <w:rFonts w:ascii="Arial" w:hAnsi="Arial" w:cs="Arial"/>
          <w:sz w:val="22"/>
          <w:szCs w:val="22"/>
        </w:rPr>
        <w:t>)</w:t>
      </w:r>
      <w:r w:rsidR="001709F7" w:rsidRPr="00EF4855">
        <w:rPr>
          <w:rFonts w:ascii="Arial" w:hAnsi="Arial" w:cs="Arial"/>
          <w:sz w:val="22"/>
          <w:szCs w:val="22"/>
        </w:rPr>
        <w:t xml:space="preserve"> its</w:t>
      </w:r>
      <w:r w:rsidRPr="00EF4855">
        <w:rPr>
          <w:rFonts w:ascii="Arial" w:hAnsi="Arial" w:cs="Arial"/>
          <w:sz w:val="22"/>
          <w:szCs w:val="22"/>
        </w:rPr>
        <w:t xml:space="preserve"> recommendation pertaining to the termin</w:t>
      </w:r>
      <w:r w:rsidR="00962806">
        <w:rPr>
          <w:rFonts w:ascii="Arial" w:hAnsi="Arial" w:cs="Arial"/>
          <w:sz w:val="22"/>
          <w:szCs w:val="22"/>
        </w:rPr>
        <w:t>ation of the Keno’s operation in response to COA’s</w:t>
      </w:r>
      <w:r w:rsidRPr="00EF4855">
        <w:rPr>
          <w:rFonts w:ascii="Arial" w:hAnsi="Arial" w:cs="Arial"/>
          <w:sz w:val="22"/>
          <w:szCs w:val="22"/>
        </w:rPr>
        <w:t xml:space="preserve"> prior year’s audit recommendation. </w:t>
      </w:r>
    </w:p>
    <w:p w:rsidR="00AD091C" w:rsidRPr="00EF4855" w:rsidRDefault="00AD091C" w:rsidP="004C39E3">
      <w:pPr>
        <w:pStyle w:val="ListParagraph"/>
        <w:rPr>
          <w:rFonts w:ascii="Arial" w:hAnsi="Arial" w:cs="Arial"/>
          <w:sz w:val="22"/>
          <w:szCs w:val="22"/>
        </w:rPr>
      </w:pPr>
    </w:p>
    <w:p w:rsidR="00AD091C" w:rsidRPr="00042CA5" w:rsidRDefault="00AD091C" w:rsidP="00DA78B4">
      <w:pPr>
        <w:pStyle w:val="ListParagraph"/>
        <w:numPr>
          <w:ilvl w:val="1"/>
          <w:numId w:val="21"/>
        </w:numPr>
        <w:ind w:left="1440"/>
        <w:jc w:val="both"/>
        <w:rPr>
          <w:rFonts w:ascii="Arial" w:hAnsi="Arial" w:cs="Arial"/>
          <w:sz w:val="22"/>
          <w:szCs w:val="22"/>
        </w:rPr>
      </w:pPr>
      <w:r w:rsidRPr="00042CA5">
        <w:rPr>
          <w:rFonts w:ascii="Arial" w:hAnsi="Arial" w:cs="Arial"/>
          <w:sz w:val="22"/>
          <w:szCs w:val="22"/>
        </w:rPr>
        <w:t xml:space="preserve">As a rejoinder, </w:t>
      </w:r>
      <w:r w:rsidR="00854C01" w:rsidRPr="00042CA5">
        <w:rPr>
          <w:rFonts w:ascii="Arial" w:hAnsi="Arial" w:cs="Arial"/>
          <w:sz w:val="22"/>
          <w:szCs w:val="22"/>
        </w:rPr>
        <w:t xml:space="preserve">the Audit Team </w:t>
      </w:r>
      <w:r w:rsidRPr="00042CA5">
        <w:rPr>
          <w:rFonts w:ascii="Arial" w:hAnsi="Arial" w:cs="Arial"/>
          <w:sz w:val="22"/>
          <w:szCs w:val="22"/>
        </w:rPr>
        <w:t>maintain</w:t>
      </w:r>
      <w:r w:rsidR="00854C01" w:rsidRPr="00042CA5">
        <w:rPr>
          <w:rFonts w:ascii="Arial" w:hAnsi="Arial" w:cs="Arial"/>
          <w:sz w:val="22"/>
          <w:szCs w:val="22"/>
        </w:rPr>
        <w:t>s</w:t>
      </w:r>
      <w:r w:rsidRPr="00042CA5">
        <w:rPr>
          <w:rFonts w:ascii="Arial" w:hAnsi="Arial" w:cs="Arial"/>
          <w:sz w:val="22"/>
          <w:szCs w:val="22"/>
        </w:rPr>
        <w:t xml:space="preserve"> </w:t>
      </w:r>
      <w:r w:rsidR="00854C01" w:rsidRPr="00042CA5">
        <w:rPr>
          <w:rFonts w:ascii="Arial" w:hAnsi="Arial" w:cs="Arial"/>
          <w:sz w:val="22"/>
          <w:szCs w:val="22"/>
        </w:rPr>
        <w:t xml:space="preserve">its </w:t>
      </w:r>
      <w:r w:rsidRPr="00042CA5">
        <w:rPr>
          <w:rFonts w:ascii="Arial" w:hAnsi="Arial" w:cs="Arial"/>
          <w:sz w:val="22"/>
          <w:szCs w:val="22"/>
        </w:rPr>
        <w:t xml:space="preserve">position that forfeited prizes </w:t>
      </w:r>
      <w:r w:rsidR="00042CA5">
        <w:rPr>
          <w:rFonts w:ascii="Arial" w:hAnsi="Arial" w:cs="Arial"/>
          <w:sz w:val="22"/>
          <w:szCs w:val="22"/>
        </w:rPr>
        <w:t>on K</w:t>
      </w:r>
      <w:r w:rsidR="003C6B35" w:rsidRPr="00042CA5">
        <w:rPr>
          <w:rFonts w:ascii="Arial" w:hAnsi="Arial" w:cs="Arial"/>
          <w:sz w:val="22"/>
          <w:szCs w:val="22"/>
        </w:rPr>
        <w:t xml:space="preserve">eno games should be transferred to the Charity Fund </w:t>
      </w:r>
      <w:r w:rsidR="00175DED" w:rsidRPr="00042CA5">
        <w:rPr>
          <w:rFonts w:ascii="Arial" w:hAnsi="Arial" w:cs="Arial"/>
          <w:sz w:val="22"/>
          <w:szCs w:val="22"/>
        </w:rPr>
        <w:t>considering that no provision in the PCSO Charter has stated that the non-transfer of forfeited prizes to the Charity fund shall be at the discretion of Management</w:t>
      </w:r>
      <w:r w:rsidR="00042CA5">
        <w:rPr>
          <w:rFonts w:ascii="Arial" w:hAnsi="Arial" w:cs="Arial"/>
          <w:sz w:val="22"/>
          <w:szCs w:val="22"/>
        </w:rPr>
        <w:t>.</w:t>
      </w:r>
    </w:p>
    <w:p w:rsidR="00042CA5" w:rsidRDefault="00042CA5" w:rsidP="000F3E23">
      <w:pPr>
        <w:spacing w:after="0" w:line="240" w:lineRule="auto"/>
        <w:jc w:val="both"/>
        <w:rPr>
          <w:rFonts w:ascii="Arial" w:hAnsi="Arial" w:cs="Arial"/>
        </w:rPr>
      </w:pPr>
    </w:p>
    <w:p w:rsidR="00042CA5" w:rsidRPr="00EF4855" w:rsidRDefault="00042CA5" w:rsidP="000F3E23">
      <w:pPr>
        <w:spacing w:after="0" w:line="240" w:lineRule="auto"/>
        <w:jc w:val="both"/>
        <w:rPr>
          <w:rFonts w:ascii="Arial" w:hAnsi="Arial" w:cs="Arial"/>
        </w:rPr>
      </w:pPr>
    </w:p>
    <w:p w:rsidR="000F3E23" w:rsidRPr="004F6C55" w:rsidRDefault="000F3E23" w:rsidP="00DA78B4">
      <w:pPr>
        <w:pStyle w:val="ListParagraph"/>
        <w:numPr>
          <w:ilvl w:val="0"/>
          <w:numId w:val="21"/>
        </w:numPr>
        <w:ind w:left="720" w:hanging="720"/>
        <w:jc w:val="both"/>
        <w:rPr>
          <w:rFonts w:ascii="Arial" w:hAnsi="Arial" w:cs="Arial"/>
          <w:b/>
          <w:sz w:val="22"/>
          <w:szCs w:val="22"/>
        </w:rPr>
      </w:pPr>
      <w:r w:rsidRPr="004F6C55">
        <w:rPr>
          <w:rFonts w:ascii="Arial" w:hAnsi="Arial" w:cs="Arial"/>
          <w:b/>
          <w:sz w:val="22"/>
          <w:szCs w:val="22"/>
        </w:rPr>
        <w:t>Three (3) AACs/ASAs were allowed to operate STL during CY 2018 despite the non-settlement of their cash bond deficiencies totaling P106</w:t>
      </w:r>
      <w:r w:rsidR="00356139" w:rsidRPr="004F6C55">
        <w:rPr>
          <w:rFonts w:ascii="Arial" w:hAnsi="Arial" w:cs="Arial"/>
          <w:b/>
          <w:sz w:val="22"/>
          <w:szCs w:val="22"/>
        </w:rPr>
        <w:t>.</w:t>
      </w:r>
      <w:r w:rsidRPr="004F6C55">
        <w:rPr>
          <w:rFonts w:ascii="Arial" w:hAnsi="Arial" w:cs="Arial"/>
          <w:b/>
          <w:sz w:val="22"/>
          <w:szCs w:val="22"/>
        </w:rPr>
        <w:t>34</w:t>
      </w:r>
      <w:r w:rsidR="00154063">
        <w:rPr>
          <w:rFonts w:ascii="Arial" w:hAnsi="Arial" w:cs="Arial"/>
          <w:b/>
          <w:sz w:val="22"/>
          <w:szCs w:val="22"/>
        </w:rPr>
        <w:t>9</w:t>
      </w:r>
      <w:r w:rsidRPr="004F6C55">
        <w:rPr>
          <w:rFonts w:ascii="Arial" w:hAnsi="Arial" w:cs="Arial"/>
          <w:b/>
          <w:sz w:val="22"/>
          <w:szCs w:val="22"/>
        </w:rPr>
        <w:t xml:space="preserve"> </w:t>
      </w:r>
      <w:r w:rsidR="00806D17">
        <w:rPr>
          <w:rFonts w:ascii="Arial" w:hAnsi="Arial" w:cs="Arial"/>
          <w:b/>
          <w:sz w:val="22"/>
          <w:szCs w:val="22"/>
        </w:rPr>
        <w:t xml:space="preserve">million </w:t>
      </w:r>
      <w:r w:rsidRPr="004F6C55">
        <w:rPr>
          <w:rFonts w:ascii="Arial" w:hAnsi="Arial" w:cs="Arial"/>
          <w:b/>
          <w:sz w:val="22"/>
          <w:szCs w:val="22"/>
        </w:rPr>
        <w:t>as of December 31, 2018, contrary to Section 16 of the 2016 R</w:t>
      </w:r>
      <w:r w:rsidR="00042CA5">
        <w:rPr>
          <w:rFonts w:ascii="Arial" w:hAnsi="Arial" w:cs="Arial"/>
          <w:b/>
          <w:sz w:val="22"/>
          <w:szCs w:val="22"/>
        </w:rPr>
        <w:t xml:space="preserve">evised </w:t>
      </w:r>
      <w:r w:rsidRPr="004F6C55">
        <w:rPr>
          <w:rFonts w:ascii="Arial" w:hAnsi="Arial" w:cs="Arial"/>
          <w:b/>
          <w:sz w:val="22"/>
          <w:szCs w:val="22"/>
        </w:rPr>
        <w:t>IRR for the STL.</w:t>
      </w:r>
    </w:p>
    <w:p w:rsidR="000F3E23" w:rsidRPr="00EF4855" w:rsidRDefault="000F3E23" w:rsidP="000F3E23">
      <w:pPr>
        <w:spacing w:after="0" w:line="240" w:lineRule="auto"/>
        <w:jc w:val="both"/>
        <w:rPr>
          <w:rFonts w:ascii="Arial" w:hAnsi="Arial" w:cs="Arial"/>
        </w:rPr>
      </w:pPr>
    </w:p>
    <w:p w:rsidR="00800B79" w:rsidRPr="00EF4855" w:rsidRDefault="008865EB" w:rsidP="00DA78B4">
      <w:pPr>
        <w:pStyle w:val="ListParagraph"/>
        <w:numPr>
          <w:ilvl w:val="1"/>
          <w:numId w:val="21"/>
        </w:numPr>
        <w:ind w:left="1440"/>
        <w:jc w:val="both"/>
        <w:rPr>
          <w:rFonts w:ascii="Arial" w:hAnsi="Arial" w:cs="Arial"/>
          <w:sz w:val="22"/>
          <w:szCs w:val="22"/>
        </w:rPr>
      </w:pPr>
      <w:r w:rsidRPr="00EF4855">
        <w:rPr>
          <w:rFonts w:ascii="Arial" w:hAnsi="Arial" w:cs="Arial"/>
          <w:sz w:val="22"/>
          <w:szCs w:val="22"/>
        </w:rPr>
        <w:t xml:space="preserve">It was </w:t>
      </w:r>
      <w:r w:rsidR="00800B79" w:rsidRPr="00EF4855">
        <w:rPr>
          <w:rFonts w:ascii="Arial" w:hAnsi="Arial" w:cs="Arial"/>
          <w:sz w:val="22"/>
          <w:szCs w:val="22"/>
        </w:rPr>
        <w:t>noted in our prior year’s audit that nineteen (19) AACs/ASAs failed to fully settle the required cash b</w:t>
      </w:r>
      <w:r w:rsidR="00806D17">
        <w:rPr>
          <w:rFonts w:ascii="Arial" w:hAnsi="Arial" w:cs="Arial"/>
          <w:sz w:val="22"/>
          <w:szCs w:val="22"/>
        </w:rPr>
        <w:t>ond in the total amount of P294.</w:t>
      </w:r>
      <w:r w:rsidR="00800B79" w:rsidRPr="00EF4855">
        <w:rPr>
          <w:rFonts w:ascii="Arial" w:hAnsi="Arial" w:cs="Arial"/>
          <w:sz w:val="22"/>
          <w:szCs w:val="22"/>
        </w:rPr>
        <w:t>523</w:t>
      </w:r>
      <w:r w:rsidR="00806D17">
        <w:rPr>
          <w:rFonts w:ascii="Arial" w:hAnsi="Arial" w:cs="Arial"/>
          <w:sz w:val="22"/>
          <w:szCs w:val="22"/>
        </w:rPr>
        <w:t xml:space="preserve"> million</w:t>
      </w:r>
      <w:r w:rsidR="00800B79" w:rsidRPr="00EF4855">
        <w:rPr>
          <w:rFonts w:ascii="Arial" w:hAnsi="Arial" w:cs="Arial"/>
          <w:sz w:val="22"/>
          <w:szCs w:val="22"/>
        </w:rPr>
        <w:t>, contrary to Section 16 of the 2016 R</w:t>
      </w:r>
      <w:r w:rsidR="00042CA5">
        <w:rPr>
          <w:rFonts w:ascii="Arial" w:hAnsi="Arial" w:cs="Arial"/>
          <w:sz w:val="22"/>
          <w:szCs w:val="22"/>
        </w:rPr>
        <w:t xml:space="preserve">evised </w:t>
      </w:r>
      <w:r w:rsidR="00800B79" w:rsidRPr="00EF4855">
        <w:rPr>
          <w:rFonts w:ascii="Arial" w:hAnsi="Arial" w:cs="Arial"/>
          <w:sz w:val="22"/>
          <w:szCs w:val="22"/>
        </w:rPr>
        <w:t xml:space="preserve">IRR, which requires the posting of cash bonds before being granted with ATO.  Our </w:t>
      </w:r>
      <w:r w:rsidR="00800B79" w:rsidRPr="00EF4855">
        <w:rPr>
          <w:rFonts w:ascii="Arial" w:hAnsi="Arial" w:cs="Arial"/>
          <w:sz w:val="22"/>
          <w:szCs w:val="22"/>
        </w:rPr>
        <w:lastRenderedPageBreak/>
        <w:t>recommendation then was to cause the immediate settlement by the non-compliant AACs/ASAs of their corresponding cash bond deficiencies.</w:t>
      </w:r>
    </w:p>
    <w:p w:rsidR="00800B79" w:rsidRPr="00EF4855" w:rsidRDefault="00800B79" w:rsidP="00800B79">
      <w:pPr>
        <w:pStyle w:val="ListParagraph"/>
        <w:ind w:left="1296"/>
        <w:jc w:val="both"/>
        <w:rPr>
          <w:rFonts w:ascii="Arial" w:hAnsi="Arial" w:cs="Arial"/>
          <w:sz w:val="22"/>
          <w:szCs w:val="22"/>
        </w:rPr>
      </w:pPr>
    </w:p>
    <w:p w:rsidR="00AD4768" w:rsidRPr="00042CA5" w:rsidRDefault="008865EB" w:rsidP="00DA78B4">
      <w:pPr>
        <w:pStyle w:val="ListParagraph"/>
        <w:numPr>
          <w:ilvl w:val="1"/>
          <w:numId w:val="21"/>
        </w:numPr>
        <w:ind w:left="1440"/>
        <w:jc w:val="both"/>
        <w:rPr>
          <w:rFonts w:ascii="Arial" w:hAnsi="Arial" w:cs="Arial"/>
          <w:color w:val="000000" w:themeColor="text1"/>
          <w:sz w:val="22"/>
          <w:szCs w:val="22"/>
        </w:rPr>
      </w:pPr>
      <w:r w:rsidRPr="00042CA5">
        <w:rPr>
          <w:rFonts w:ascii="Arial" w:hAnsi="Arial" w:cs="Arial"/>
          <w:color w:val="000000" w:themeColor="text1"/>
          <w:sz w:val="22"/>
          <w:szCs w:val="22"/>
        </w:rPr>
        <w:t>Review of the status of implementation of the prior years’ audit recommendation disclosed that three (3) out of the 19 non-compliant AACs still failed to pay their cash bond deficiencies in the total amount of P106</w:t>
      </w:r>
      <w:r w:rsidR="00356139" w:rsidRPr="00042CA5">
        <w:rPr>
          <w:rFonts w:ascii="Arial" w:hAnsi="Arial" w:cs="Arial"/>
          <w:color w:val="000000" w:themeColor="text1"/>
          <w:sz w:val="22"/>
          <w:szCs w:val="22"/>
        </w:rPr>
        <w:t>.</w:t>
      </w:r>
      <w:r w:rsidRPr="00042CA5">
        <w:rPr>
          <w:rFonts w:ascii="Arial" w:hAnsi="Arial" w:cs="Arial"/>
          <w:color w:val="000000" w:themeColor="text1"/>
          <w:sz w:val="22"/>
          <w:szCs w:val="22"/>
        </w:rPr>
        <w:t>34</w:t>
      </w:r>
      <w:r w:rsidR="00F5678F" w:rsidRPr="00042CA5">
        <w:rPr>
          <w:rFonts w:ascii="Arial" w:hAnsi="Arial" w:cs="Arial"/>
          <w:color w:val="000000" w:themeColor="text1"/>
          <w:sz w:val="22"/>
          <w:szCs w:val="22"/>
        </w:rPr>
        <w:t>9</w:t>
      </w:r>
      <w:r w:rsidR="00806D17" w:rsidRPr="00042CA5">
        <w:rPr>
          <w:rFonts w:ascii="Arial" w:hAnsi="Arial" w:cs="Arial"/>
          <w:color w:val="000000" w:themeColor="text1"/>
          <w:sz w:val="22"/>
          <w:szCs w:val="22"/>
        </w:rPr>
        <w:t xml:space="preserve"> million</w:t>
      </w:r>
      <w:r w:rsidRPr="00042CA5">
        <w:rPr>
          <w:rFonts w:ascii="Arial" w:hAnsi="Arial" w:cs="Arial"/>
          <w:color w:val="000000" w:themeColor="text1"/>
          <w:sz w:val="22"/>
          <w:szCs w:val="22"/>
        </w:rPr>
        <w:t xml:space="preserve"> as of December 31, 2018,</w:t>
      </w:r>
      <w:r w:rsidR="00C81A22" w:rsidRPr="00042CA5">
        <w:rPr>
          <w:rFonts w:ascii="Arial" w:hAnsi="Arial" w:cs="Arial"/>
          <w:color w:val="000000" w:themeColor="text1"/>
          <w:sz w:val="22"/>
          <w:szCs w:val="22"/>
        </w:rPr>
        <w:t xml:space="preserve"> </w:t>
      </w:r>
      <w:r w:rsidRPr="00042CA5">
        <w:rPr>
          <w:rFonts w:ascii="Arial" w:hAnsi="Arial" w:cs="Arial"/>
          <w:color w:val="000000" w:themeColor="text1"/>
          <w:sz w:val="22"/>
          <w:szCs w:val="22"/>
        </w:rPr>
        <w:t>details</w:t>
      </w:r>
      <w:r w:rsidR="00AD4768" w:rsidRPr="00042CA5">
        <w:rPr>
          <w:rFonts w:ascii="Arial" w:hAnsi="Arial" w:cs="Arial"/>
          <w:color w:val="000000" w:themeColor="text1"/>
          <w:sz w:val="22"/>
          <w:szCs w:val="22"/>
        </w:rPr>
        <w:t xml:space="preserve"> are shown in </w:t>
      </w:r>
      <w:r w:rsidR="00042CA5">
        <w:rPr>
          <w:rFonts w:ascii="Arial" w:hAnsi="Arial" w:cs="Arial"/>
          <w:color w:val="000000" w:themeColor="text1"/>
          <w:sz w:val="22"/>
          <w:szCs w:val="22"/>
        </w:rPr>
        <w:t xml:space="preserve">       </w:t>
      </w:r>
      <w:r w:rsidR="00AD4768" w:rsidRPr="00042CA5">
        <w:rPr>
          <w:rFonts w:ascii="Arial" w:hAnsi="Arial" w:cs="Arial"/>
          <w:color w:val="000000" w:themeColor="text1"/>
          <w:sz w:val="22"/>
          <w:szCs w:val="22"/>
        </w:rPr>
        <w:t xml:space="preserve">Table </w:t>
      </w:r>
      <w:r w:rsidR="00EF6238" w:rsidRPr="00042CA5">
        <w:rPr>
          <w:rFonts w:ascii="Arial" w:hAnsi="Arial" w:cs="Arial"/>
          <w:color w:val="000000" w:themeColor="text1"/>
          <w:sz w:val="22"/>
          <w:szCs w:val="22"/>
        </w:rPr>
        <w:t>14.</w:t>
      </w:r>
    </w:p>
    <w:p w:rsidR="00AD4768" w:rsidRPr="00EF4855" w:rsidRDefault="00AD4768">
      <w:pPr>
        <w:pStyle w:val="ListParagraph"/>
        <w:rPr>
          <w:rFonts w:ascii="Arial" w:hAnsi="Arial" w:cs="Arial"/>
          <w:sz w:val="22"/>
          <w:szCs w:val="22"/>
        </w:rPr>
      </w:pPr>
    </w:p>
    <w:p w:rsidR="00EF6238" w:rsidRDefault="00EF6238" w:rsidP="00042CA5">
      <w:pPr>
        <w:spacing w:after="0" w:line="240" w:lineRule="auto"/>
        <w:ind w:left="720"/>
        <w:jc w:val="center"/>
        <w:rPr>
          <w:rFonts w:ascii="Arial" w:hAnsi="Arial" w:cs="Arial"/>
          <w:b/>
          <w:sz w:val="20"/>
          <w:szCs w:val="20"/>
        </w:rPr>
      </w:pPr>
      <w:r>
        <w:rPr>
          <w:rFonts w:ascii="Arial" w:hAnsi="Arial" w:cs="Arial"/>
          <w:b/>
          <w:sz w:val="20"/>
          <w:szCs w:val="20"/>
        </w:rPr>
        <w:t>Table 14 -</w:t>
      </w:r>
      <w:r w:rsidR="00D64562" w:rsidRPr="004F6C55">
        <w:rPr>
          <w:rFonts w:ascii="Arial" w:hAnsi="Arial" w:cs="Arial"/>
          <w:b/>
          <w:sz w:val="20"/>
          <w:szCs w:val="20"/>
        </w:rPr>
        <w:t xml:space="preserve"> AACs/ASAs with Cash Bond Deficiency </w:t>
      </w:r>
    </w:p>
    <w:p w:rsidR="00D64562" w:rsidRDefault="00D64562" w:rsidP="00042CA5">
      <w:pPr>
        <w:spacing w:after="0" w:line="240" w:lineRule="auto"/>
        <w:ind w:left="720"/>
        <w:jc w:val="center"/>
        <w:rPr>
          <w:rFonts w:ascii="Arial" w:hAnsi="Arial" w:cs="Arial"/>
          <w:b/>
          <w:sz w:val="20"/>
          <w:szCs w:val="20"/>
        </w:rPr>
      </w:pPr>
      <w:r w:rsidRPr="004F6C55">
        <w:rPr>
          <w:rFonts w:ascii="Arial" w:hAnsi="Arial" w:cs="Arial"/>
          <w:b/>
          <w:sz w:val="20"/>
          <w:szCs w:val="20"/>
        </w:rPr>
        <w:t>as of December 31, 2018</w:t>
      </w:r>
    </w:p>
    <w:p w:rsidR="001C4F10" w:rsidRDefault="001C4F10" w:rsidP="004F6C55">
      <w:pPr>
        <w:spacing w:after="0" w:line="240" w:lineRule="auto"/>
        <w:jc w:val="center"/>
        <w:rPr>
          <w:rFonts w:ascii="Arial" w:hAnsi="Arial" w:cs="Arial"/>
          <w:b/>
          <w:sz w:val="20"/>
          <w:szCs w:val="20"/>
        </w:rPr>
      </w:pPr>
    </w:p>
    <w:tbl>
      <w:tblPr>
        <w:tblW w:w="8418" w:type="dxa"/>
        <w:jc w:val="right"/>
        <w:tblLook w:val="04A0" w:firstRow="1" w:lastRow="0" w:firstColumn="1" w:lastColumn="0" w:noHBand="0" w:noVBand="1"/>
      </w:tblPr>
      <w:tblGrid>
        <w:gridCol w:w="428"/>
        <w:gridCol w:w="1335"/>
        <w:gridCol w:w="1216"/>
        <w:gridCol w:w="1143"/>
        <w:gridCol w:w="1350"/>
        <w:gridCol w:w="1326"/>
        <w:gridCol w:w="1620"/>
      </w:tblGrid>
      <w:tr w:rsidR="001A7C49" w:rsidRPr="007E20AF" w:rsidTr="003C51A9">
        <w:trPr>
          <w:trHeight w:val="894"/>
          <w:jc w:val="right"/>
        </w:trPr>
        <w:tc>
          <w:tcPr>
            <w:tcW w:w="428" w:type="dxa"/>
            <w:tcBorders>
              <w:top w:val="single" w:sz="4" w:space="0" w:color="auto"/>
              <w:bottom w:val="single" w:sz="4" w:space="0" w:color="auto"/>
            </w:tcBorders>
            <w:shd w:val="clear" w:color="auto" w:fill="auto"/>
            <w:hideMark/>
          </w:tcPr>
          <w:p w:rsidR="001A7C49" w:rsidRPr="004F6C55" w:rsidRDefault="001A7C49" w:rsidP="00042CA5">
            <w:pPr>
              <w:spacing w:after="0" w:line="240" w:lineRule="auto"/>
              <w:ind w:hanging="36"/>
              <w:jc w:val="center"/>
              <w:rPr>
                <w:rFonts w:ascii="Arial Narrow" w:eastAsia="Times New Roman" w:hAnsi="Arial Narrow" w:cs="Times New Roman"/>
                <w:b/>
                <w:bCs/>
                <w:sz w:val="16"/>
                <w:szCs w:val="16"/>
                <w:lang w:eastAsia="en-PH"/>
              </w:rPr>
            </w:pPr>
            <w:r w:rsidRPr="004F6C55">
              <w:rPr>
                <w:rFonts w:ascii="Arial Narrow" w:eastAsia="Times New Roman" w:hAnsi="Arial Narrow" w:cs="Times New Roman"/>
                <w:b/>
                <w:bCs/>
                <w:sz w:val="16"/>
                <w:szCs w:val="16"/>
                <w:lang w:eastAsia="en-PH"/>
              </w:rPr>
              <w:t>No.</w:t>
            </w:r>
          </w:p>
        </w:tc>
        <w:tc>
          <w:tcPr>
            <w:tcW w:w="1335" w:type="dxa"/>
            <w:tcBorders>
              <w:top w:val="single" w:sz="4" w:space="0" w:color="auto"/>
              <w:bottom w:val="single" w:sz="4" w:space="0" w:color="auto"/>
            </w:tcBorders>
            <w:shd w:val="clear" w:color="auto" w:fill="auto"/>
            <w:hideMark/>
          </w:tcPr>
          <w:p w:rsidR="001A7C49" w:rsidRPr="004F6C55" w:rsidRDefault="001A7C49" w:rsidP="001D442C">
            <w:pPr>
              <w:spacing w:after="0" w:line="240" w:lineRule="auto"/>
              <w:jc w:val="center"/>
              <w:rPr>
                <w:rFonts w:ascii="Arial Narrow" w:eastAsia="Times New Roman" w:hAnsi="Arial Narrow" w:cs="Times New Roman"/>
                <w:b/>
                <w:bCs/>
                <w:sz w:val="16"/>
                <w:szCs w:val="16"/>
                <w:lang w:eastAsia="en-PH"/>
              </w:rPr>
            </w:pPr>
            <w:r w:rsidRPr="004F6C55">
              <w:rPr>
                <w:rFonts w:ascii="Arial Narrow" w:eastAsia="Times New Roman" w:hAnsi="Arial Narrow" w:cs="Times New Roman"/>
                <w:b/>
                <w:bCs/>
                <w:sz w:val="16"/>
                <w:szCs w:val="16"/>
                <w:lang w:eastAsia="en-PH"/>
              </w:rPr>
              <w:t xml:space="preserve"> Name of Authorized Agent Corporation </w:t>
            </w:r>
          </w:p>
        </w:tc>
        <w:tc>
          <w:tcPr>
            <w:tcW w:w="1216" w:type="dxa"/>
            <w:tcBorders>
              <w:top w:val="single" w:sz="4" w:space="0" w:color="auto"/>
              <w:bottom w:val="single" w:sz="4" w:space="0" w:color="auto"/>
            </w:tcBorders>
            <w:shd w:val="clear" w:color="auto" w:fill="auto"/>
            <w:hideMark/>
          </w:tcPr>
          <w:p w:rsidR="001A7C49" w:rsidRPr="004F6C55" w:rsidRDefault="001A7C49" w:rsidP="001D442C">
            <w:pPr>
              <w:spacing w:after="0" w:line="240" w:lineRule="auto"/>
              <w:jc w:val="center"/>
              <w:rPr>
                <w:rFonts w:ascii="Arial Narrow" w:eastAsia="Times New Roman" w:hAnsi="Arial Narrow" w:cs="Times New Roman"/>
                <w:b/>
                <w:bCs/>
                <w:sz w:val="16"/>
                <w:szCs w:val="16"/>
                <w:lang w:eastAsia="en-PH"/>
              </w:rPr>
            </w:pPr>
            <w:r w:rsidRPr="004F6C55">
              <w:rPr>
                <w:rFonts w:ascii="Arial Narrow" w:eastAsia="Times New Roman" w:hAnsi="Arial Narrow" w:cs="Times New Roman"/>
                <w:b/>
                <w:bCs/>
                <w:sz w:val="16"/>
                <w:szCs w:val="16"/>
                <w:lang w:eastAsia="en-PH"/>
              </w:rPr>
              <w:t xml:space="preserve"> Cash Bond Requirement </w:t>
            </w:r>
          </w:p>
          <w:p w:rsidR="001A7C49" w:rsidRPr="004F6C55" w:rsidRDefault="001A7C49" w:rsidP="001D442C">
            <w:pPr>
              <w:spacing w:after="0" w:line="240" w:lineRule="auto"/>
              <w:jc w:val="center"/>
              <w:rPr>
                <w:rFonts w:ascii="Arial Narrow" w:eastAsia="Times New Roman" w:hAnsi="Arial Narrow" w:cs="Times New Roman"/>
                <w:b/>
                <w:bCs/>
                <w:sz w:val="16"/>
                <w:szCs w:val="16"/>
                <w:lang w:eastAsia="en-PH"/>
              </w:rPr>
            </w:pPr>
          </w:p>
          <w:p w:rsidR="001A7C49" w:rsidRPr="004F6C55" w:rsidRDefault="001A7C49" w:rsidP="001D442C">
            <w:pPr>
              <w:spacing w:after="0" w:line="240" w:lineRule="auto"/>
              <w:jc w:val="center"/>
              <w:rPr>
                <w:rFonts w:ascii="Arial Narrow" w:eastAsia="Times New Roman" w:hAnsi="Arial Narrow" w:cs="Times New Roman"/>
                <w:b/>
                <w:bCs/>
                <w:sz w:val="16"/>
                <w:szCs w:val="16"/>
                <w:lang w:eastAsia="en-PH"/>
              </w:rPr>
            </w:pPr>
          </w:p>
          <w:p w:rsidR="001A7C49" w:rsidRPr="004F6C55" w:rsidRDefault="001A7C49" w:rsidP="001D442C">
            <w:pPr>
              <w:spacing w:after="0" w:line="240" w:lineRule="auto"/>
              <w:jc w:val="center"/>
              <w:rPr>
                <w:rFonts w:ascii="Arial Narrow" w:eastAsia="Times New Roman" w:hAnsi="Arial Narrow" w:cs="Times New Roman"/>
                <w:bCs/>
                <w:i/>
                <w:sz w:val="16"/>
                <w:szCs w:val="16"/>
                <w:lang w:eastAsia="en-PH"/>
              </w:rPr>
            </w:pPr>
            <w:r w:rsidRPr="004F6C55">
              <w:rPr>
                <w:rFonts w:ascii="Arial Narrow" w:eastAsia="Times New Roman" w:hAnsi="Arial Narrow" w:cs="Times New Roman"/>
                <w:bCs/>
                <w:i/>
                <w:sz w:val="16"/>
                <w:szCs w:val="16"/>
                <w:lang w:eastAsia="en-PH"/>
              </w:rPr>
              <w:t>(a)</w:t>
            </w:r>
          </w:p>
        </w:tc>
        <w:tc>
          <w:tcPr>
            <w:tcW w:w="1143" w:type="dxa"/>
            <w:tcBorders>
              <w:top w:val="single" w:sz="4" w:space="0" w:color="auto"/>
              <w:bottom w:val="single" w:sz="4" w:space="0" w:color="auto"/>
            </w:tcBorders>
            <w:shd w:val="clear" w:color="auto" w:fill="auto"/>
            <w:hideMark/>
          </w:tcPr>
          <w:p w:rsidR="001A7C49" w:rsidRPr="004F6C55" w:rsidRDefault="001A7C49" w:rsidP="001D442C">
            <w:pPr>
              <w:spacing w:after="0" w:line="240" w:lineRule="auto"/>
              <w:jc w:val="center"/>
              <w:rPr>
                <w:rFonts w:ascii="Arial Narrow" w:eastAsia="Times New Roman" w:hAnsi="Arial Narrow" w:cs="Times New Roman"/>
                <w:b/>
                <w:bCs/>
                <w:sz w:val="16"/>
                <w:szCs w:val="16"/>
                <w:lang w:eastAsia="en-PH"/>
              </w:rPr>
            </w:pPr>
            <w:r w:rsidRPr="004F6C55">
              <w:rPr>
                <w:rFonts w:ascii="Arial Narrow" w:eastAsia="Times New Roman" w:hAnsi="Arial Narrow" w:cs="Times New Roman"/>
                <w:b/>
                <w:bCs/>
                <w:sz w:val="16"/>
                <w:szCs w:val="16"/>
                <w:lang w:eastAsia="en-PH"/>
              </w:rPr>
              <w:t xml:space="preserve"> Payment of Cash Bond</w:t>
            </w:r>
          </w:p>
          <w:p w:rsidR="001A7C49" w:rsidRPr="004F6C55" w:rsidRDefault="001A7C49" w:rsidP="001D442C">
            <w:pPr>
              <w:spacing w:after="0" w:line="240" w:lineRule="auto"/>
              <w:jc w:val="center"/>
              <w:rPr>
                <w:rFonts w:ascii="Arial Narrow" w:eastAsia="Times New Roman" w:hAnsi="Arial Narrow" w:cs="Times New Roman"/>
                <w:b/>
                <w:bCs/>
                <w:sz w:val="16"/>
                <w:szCs w:val="16"/>
                <w:lang w:eastAsia="en-PH"/>
              </w:rPr>
            </w:pPr>
          </w:p>
          <w:p w:rsidR="001A7C49" w:rsidRPr="004F6C55" w:rsidRDefault="001A7C49" w:rsidP="001D442C">
            <w:pPr>
              <w:spacing w:after="0" w:line="240" w:lineRule="auto"/>
              <w:jc w:val="center"/>
              <w:rPr>
                <w:rFonts w:ascii="Arial Narrow" w:eastAsia="Times New Roman" w:hAnsi="Arial Narrow" w:cs="Times New Roman"/>
                <w:b/>
                <w:bCs/>
                <w:sz w:val="16"/>
                <w:szCs w:val="16"/>
                <w:lang w:eastAsia="en-PH"/>
              </w:rPr>
            </w:pPr>
          </w:p>
          <w:p w:rsidR="001A7C49" w:rsidRPr="004F6C55" w:rsidRDefault="001A7C49" w:rsidP="001D442C">
            <w:pPr>
              <w:spacing w:after="0" w:line="240" w:lineRule="auto"/>
              <w:jc w:val="center"/>
              <w:rPr>
                <w:rFonts w:ascii="Arial Narrow" w:eastAsia="Times New Roman" w:hAnsi="Arial Narrow" w:cs="Times New Roman"/>
                <w:bCs/>
                <w:i/>
                <w:sz w:val="16"/>
                <w:szCs w:val="16"/>
                <w:lang w:eastAsia="en-PH"/>
              </w:rPr>
            </w:pPr>
            <w:r w:rsidRPr="004F6C55">
              <w:rPr>
                <w:rFonts w:ascii="Arial Narrow" w:eastAsia="Times New Roman" w:hAnsi="Arial Narrow" w:cs="Times New Roman"/>
                <w:bCs/>
                <w:i/>
                <w:sz w:val="16"/>
                <w:szCs w:val="16"/>
                <w:lang w:eastAsia="en-PH"/>
              </w:rPr>
              <w:t>(b)</w:t>
            </w:r>
          </w:p>
        </w:tc>
        <w:tc>
          <w:tcPr>
            <w:tcW w:w="1350" w:type="dxa"/>
            <w:tcBorders>
              <w:top w:val="single" w:sz="4" w:space="0" w:color="auto"/>
              <w:bottom w:val="single" w:sz="4" w:space="0" w:color="auto"/>
            </w:tcBorders>
            <w:shd w:val="clear" w:color="auto" w:fill="auto"/>
            <w:hideMark/>
          </w:tcPr>
          <w:p w:rsidR="001A7C49" w:rsidRPr="004F6C55" w:rsidRDefault="001A7C49" w:rsidP="001D442C">
            <w:pPr>
              <w:spacing w:after="0" w:line="240" w:lineRule="auto"/>
              <w:jc w:val="center"/>
              <w:rPr>
                <w:rFonts w:ascii="Arial Narrow" w:eastAsia="Times New Roman" w:hAnsi="Arial Narrow" w:cs="Times New Roman"/>
                <w:b/>
                <w:bCs/>
                <w:sz w:val="16"/>
                <w:szCs w:val="16"/>
                <w:lang w:eastAsia="en-PH"/>
              </w:rPr>
            </w:pPr>
            <w:r w:rsidRPr="004F6C55">
              <w:rPr>
                <w:rFonts w:ascii="Arial Narrow" w:eastAsia="Times New Roman" w:hAnsi="Arial Narrow" w:cs="Times New Roman"/>
                <w:b/>
                <w:bCs/>
                <w:sz w:val="16"/>
                <w:szCs w:val="16"/>
                <w:lang w:eastAsia="en-PH"/>
              </w:rPr>
              <w:t>Cash Bond Deficiency as of December 31, 2018</w:t>
            </w:r>
          </w:p>
          <w:p w:rsidR="001A7C49" w:rsidRPr="004F6C55" w:rsidRDefault="001A7C49" w:rsidP="001D442C">
            <w:pPr>
              <w:spacing w:after="0" w:line="240" w:lineRule="auto"/>
              <w:jc w:val="center"/>
              <w:rPr>
                <w:rFonts w:ascii="Arial Narrow" w:eastAsia="Times New Roman" w:hAnsi="Arial Narrow" w:cs="Times New Roman"/>
                <w:bCs/>
                <w:i/>
                <w:sz w:val="16"/>
                <w:szCs w:val="16"/>
                <w:lang w:eastAsia="en-PH"/>
              </w:rPr>
            </w:pPr>
            <w:r w:rsidRPr="004F6C55">
              <w:rPr>
                <w:rFonts w:ascii="Arial Narrow" w:eastAsia="Times New Roman" w:hAnsi="Arial Narrow" w:cs="Times New Roman"/>
                <w:bCs/>
                <w:i/>
                <w:sz w:val="16"/>
                <w:szCs w:val="16"/>
                <w:lang w:eastAsia="en-PH"/>
              </w:rPr>
              <w:t>(c(a-b))</w:t>
            </w:r>
          </w:p>
        </w:tc>
        <w:tc>
          <w:tcPr>
            <w:tcW w:w="1326" w:type="dxa"/>
            <w:tcBorders>
              <w:top w:val="single" w:sz="4" w:space="0" w:color="auto"/>
              <w:bottom w:val="single" w:sz="4" w:space="0" w:color="auto"/>
            </w:tcBorders>
            <w:shd w:val="clear" w:color="auto" w:fill="auto"/>
            <w:hideMark/>
          </w:tcPr>
          <w:p w:rsidR="001A7C49" w:rsidRPr="004F6C55" w:rsidRDefault="001A7C49" w:rsidP="001D442C">
            <w:pPr>
              <w:spacing w:after="0" w:line="240" w:lineRule="auto"/>
              <w:jc w:val="center"/>
              <w:rPr>
                <w:rFonts w:ascii="Arial Narrow" w:eastAsia="Times New Roman" w:hAnsi="Arial Narrow" w:cs="Times New Roman"/>
                <w:b/>
                <w:bCs/>
                <w:sz w:val="16"/>
                <w:szCs w:val="16"/>
                <w:lang w:eastAsia="en-PH"/>
              </w:rPr>
            </w:pPr>
            <w:r w:rsidRPr="004F6C55">
              <w:rPr>
                <w:rFonts w:ascii="Arial Narrow" w:eastAsia="Times New Roman" w:hAnsi="Arial Narrow" w:cs="Times New Roman"/>
                <w:b/>
                <w:bCs/>
                <w:sz w:val="16"/>
                <w:szCs w:val="16"/>
                <w:lang w:eastAsia="en-PH"/>
              </w:rPr>
              <w:t xml:space="preserve"> Shortfall Due as of December 31, 2018</w:t>
            </w:r>
          </w:p>
          <w:p w:rsidR="001A7C49" w:rsidRPr="004F6C55" w:rsidRDefault="001A7C49" w:rsidP="001D442C">
            <w:pPr>
              <w:spacing w:after="0" w:line="240" w:lineRule="auto"/>
              <w:jc w:val="center"/>
              <w:rPr>
                <w:rFonts w:ascii="Arial Narrow" w:eastAsia="Times New Roman" w:hAnsi="Arial Narrow" w:cs="Times New Roman"/>
                <w:b/>
                <w:bCs/>
                <w:sz w:val="16"/>
                <w:szCs w:val="16"/>
                <w:lang w:eastAsia="en-PH"/>
              </w:rPr>
            </w:pPr>
          </w:p>
          <w:p w:rsidR="001A7C49" w:rsidRPr="004F6C55" w:rsidRDefault="001A7C49" w:rsidP="001D442C">
            <w:pPr>
              <w:spacing w:after="0" w:line="240" w:lineRule="auto"/>
              <w:jc w:val="center"/>
              <w:rPr>
                <w:rFonts w:ascii="Arial Narrow" w:eastAsia="Times New Roman" w:hAnsi="Arial Narrow" w:cs="Times New Roman"/>
                <w:bCs/>
                <w:i/>
                <w:sz w:val="16"/>
                <w:szCs w:val="16"/>
                <w:lang w:eastAsia="en-PH"/>
              </w:rPr>
            </w:pPr>
            <w:r w:rsidRPr="004F6C55">
              <w:rPr>
                <w:rFonts w:ascii="Arial Narrow" w:eastAsia="Times New Roman" w:hAnsi="Arial Narrow" w:cs="Times New Roman"/>
                <w:bCs/>
                <w:i/>
                <w:sz w:val="16"/>
                <w:szCs w:val="16"/>
                <w:lang w:eastAsia="en-PH"/>
              </w:rPr>
              <w:t>d</w:t>
            </w:r>
          </w:p>
        </w:tc>
        <w:tc>
          <w:tcPr>
            <w:tcW w:w="1620" w:type="dxa"/>
            <w:tcBorders>
              <w:top w:val="single" w:sz="4" w:space="0" w:color="auto"/>
              <w:bottom w:val="single" w:sz="4" w:space="0" w:color="auto"/>
            </w:tcBorders>
            <w:shd w:val="clear" w:color="auto" w:fill="auto"/>
            <w:hideMark/>
          </w:tcPr>
          <w:p w:rsidR="001A7C49" w:rsidRPr="004F6C55" w:rsidRDefault="001A7C49" w:rsidP="001D442C">
            <w:pPr>
              <w:spacing w:after="0" w:line="240" w:lineRule="auto"/>
              <w:jc w:val="center"/>
              <w:rPr>
                <w:rFonts w:ascii="Arial Narrow" w:eastAsia="Times New Roman" w:hAnsi="Arial Narrow" w:cs="Times New Roman"/>
                <w:b/>
                <w:bCs/>
                <w:sz w:val="16"/>
                <w:szCs w:val="16"/>
                <w:lang w:eastAsia="en-PH"/>
              </w:rPr>
            </w:pPr>
            <w:r w:rsidRPr="004F6C55">
              <w:rPr>
                <w:rFonts w:ascii="Arial Narrow" w:eastAsia="Times New Roman" w:hAnsi="Arial Narrow" w:cs="Times New Roman"/>
                <w:b/>
                <w:bCs/>
                <w:sz w:val="16"/>
                <w:szCs w:val="16"/>
                <w:lang w:eastAsia="en-PH"/>
              </w:rPr>
              <w:t xml:space="preserve">Shortfall Due after Cash Bond Forfeiture, as of December 31, 2018 </w:t>
            </w:r>
          </w:p>
          <w:p w:rsidR="001A7C49" w:rsidRPr="004F6C55" w:rsidRDefault="001A7C49" w:rsidP="001D442C">
            <w:pPr>
              <w:spacing w:after="0" w:line="240" w:lineRule="auto"/>
              <w:jc w:val="center"/>
              <w:rPr>
                <w:rFonts w:ascii="Arial Narrow" w:eastAsia="Times New Roman" w:hAnsi="Arial Narrow" w:cs="Times New Roman"/>
                <w:bCs/>
                <w:i/>
                <w:sz w:val="16"/>
                <w:szCs w:val="16"/>
                <w:lang w:eastAsia="en-PH"/>
              </w:rPr>
            </w:pPr>
            <w:r w:rsidRPr="004F6C55">
              <w:rPr>
                <w:rFonts w:ascii="Arial Narrow" w:eastAsia="Times New Roman" w:hAnsi="Arial Narrow" w:cs="Times New Roman"/>
                <w:bCs/>
                <w:i/>
                <w:sz w:val="16"/>
                <w:szCs w:val="16"/>
                <w:lang w:eastAsia="en-PH"/>
              </w:rPr>
              <w:t>(e(d-b))</w:t>
            </w:r>
          </w:p>
        </w:tc>
      </w:tr>
      <w:tr w:rsidR="001A7C49" w:rsidRPr="007E20AF" w:rsidTr="003C51A9">
        <w:trPr>
          <w:trHeight w:val="223"/>
          <w:jc w:val="right"/>
        </w:trPr>
        <w:tc>
          <w:tcPr>
            <w:tcW w:w="428" w:type="dxa"/>
            <w:tcBorders>
              <w:top w:val="single" w:sz="4" w:space="0" w:color="auto"/>
            </w:tcBorders>
            <w:shd w:val="clear" w:color="auto" w:fill="auto"/>
            <w:noWrap/>
            <w:hideMark/>
          </w:tcPr>
          <w:p w:rsidR="001A7C49" w:rsidRPr="004F6C55" w:rsidRDefault="001A7C49" w:rsidP="00042CA5">
            <w:pPr>
              <w:spacing w:after="0" w:line="240" w:lineRule="auto"/>
              <w:ind w:hanging="36"/>
              <w:rPr>
                <w:rFonts w:ascii="Arial Narrow" w:eastAsia="Times New Roman" w:hAnsi="Arial Narrow" w:cs="Times New Roman"/>
                <w:sz w:val="16"/>
                <w:szCs w:val="16"/>
                <w:lang w:eastAsia="en-PH"/>
              </w:rPr>
            </w:pPr>
            <w:r w:rsidRPr="004F6C55">
              <w:rPr>
                <w:rFonts w:ascii="Arial Narrow" w:eastAsia="Times New Roman" w:hAnsi="Arial Narrow" w:cs="Times New Roman"/>
                <w:sz w:val="16"/>
                <w:szCs w:val="16"/>
                <w:lang w:eastAsia="en-PH"/>
              </w:rPr>
              <w:t>1</w:t>
            </w:r>
          </w:p>
        </w:tc>
        <w:tc>
          <w:tcPr>
            <w:tcW w:w="1335" w:type="dxa"/>
            <w:tcBorders>
              <w:top w:val="single" w:sz="4" w:space="0" w:color="auto"/>
            </w:tcBorders>
            <w:shd w:val="clear" w:color="auto" w:fill="auto"/>
            <w:hideMark/>
          </w:tcPr>
          <w:p w:rsidR="001A7C49" w:rsidRPr="004F6C55" w:rsidRDefault="001A7C49" w:rsidP="00042CA5">
            <w:pPr>
              <w:spacing w:after="0" w:line="240" w:lineRule="auto"/>
              <w:rPr>
                <w:rFonts w:ascii="Arial Narrow" w:eastAsia="Times New Roman" w:hAnsi="Arial Narrow" w:cs="Times New Roman"/>
                <w:sz w:val="16"/>
                <w:szCs w:val="16"/>
                <w:lang w:eastAsia="en-PH"/>
              </w:rPr>
            </w:pPr>
            <w:r w:rsidRPr="004F6C55">
              <w:rPr>
                <w:rFonts w:ascii="Arial Narrow" w:eastAsia="Times New Roman" w:hAnsi="Arial Narrow" w:cs="Times New Roman"/>
                <w:sz w:val="16"/>
                <w:szCs w:val="16"/>
                <w:lang w:eastAsia="en-PH"/>
              </w:rPr>
              <w:t>CGCC</w:t>
            </w:r>
          </w:p>
        </w:tc>
        <w:tc>
          <w:tcPr>
            <w:tcW w:w="1216" w:type="dxa"/>
            <w:tcBorders>
              <w:top w:val="single" w:sz="4" w:space="0" w:color="auto"/>
            </w:tcBorders>
            <w:shd w:val="clear" w:color="auto" w:fill="auto"/>
            <w:noWrap/>
            <w:hideMark/>
          </w:tcPr>
          <w:p w:rsidR="001A7C49" w:rsidRPr="004F6C55" w:rsidRDefault="00042CA5" w:rsidP="001D442C">
            <w:pPr>
              <w:spacing w:after="0" w:line="240" w:lineRule="auto"/>
              <w:jc w:val="right"/>
              <w:rPr>
                <w:rFonts w:ascii="Arial Narrow" w:eastAsia="Times New Roman" w:hAnsi="Arial Narrow" w:cs="Times New Roman"/>
                <w:sz w:val="16"/>
                <w:szCs w:val="16"/>
                <w:lang w:eastAsia="en-PH"/>
              </w:rPr>
            </w:pPr>
            <w:r>
              <w:rPr>
                <w:rFonts w:ascii="Arial Narrow" w:eastAsia="Times New Roman" w:hAnsi="Arial Narrow" w:cs="Times New Roman"/>
                <w:sz w:val="16"/>
                <w:szCs w:val="16"/>
                <w:lang w:eastAsia="en-PH"/>
              </w:rPr>
              <w:t>P</w:t>
            </w:r>
            <w:r w:rsidR="001A7C49" w:rsidRPr="004F6C55">
              <w:rPr>
                <w:rFonts w:ascii="Arial Narrow" w:eastAsia="Times New Roman" w:hAnsi="Arial Narrow" w:cs="Times New Roman"/>
                <w:sz w:val="16"/>
                <w:szCs w:val="16"/>
                <w:lang w:eastAsia="en-PH"/>
              </w:rPr>
              <w:t>120,000,000.00</w:t>
            </w:r>
          </w:p>
        </w:tc>
        <w:tc>
          <w:tcPr>
            <w:tcW w:w="1143" w:type="dxa"/>
            <w:tcBorders>
              <w:top w:val="single" w:sz="4" w:space="0" w:color="auto"/>
            </w:tcBorders>
            <w:shd w:val="clear" w:color="auto" w:fill="auto"/>
            <w:noWrap/>
            <w:hideMark/>
          </w:tcPr>
          <w:p w:rsidR="001A7C49" w:rsidRPr="004F6C55" w:rsidRDefault="00042CA5" w:rsidP="001D442C">
            <w:pPr>
              <w:spacing w:after="0" w:line="240" w:lineRule="auto"/>
              <w:jc w:val="right"/>
              <w:rPr>
                <w:rFonts w:ascii="Arial Narrow" w:eastAsia="Times New Roman" w:hAnsi="Arial Narrow" w:cs="Times New Roman"/>
                <w:sz w:val="16"/>
                <w:szCs w:val="16"/>
                <w:lang w:eastAsia="en-PH"/>
              </w:rPr>
            </w:pPr>
            <w:r>
              <w:rPr>
                <w:rFonts w:ascii="Arial Narrow" w:eastAsia="Times New Roman" w:hAnsi="Arial Narrow" w:cs="Times New Roman"/>
                <w:sz w:val="16"/>
                <w:szCs w:val="16"/>
                <w:lang w:eastAsia="en-PH"/>
              </w:rPr>
              <w:t>P</w:t>
            </w:r>
            <w:r w:rsidR="001A7C49" w:rsidRPr="004F6C55">
              <w:rPr>
                <w:rFonts w:ascii="Arial Narrow" w:eastAsia="Times New Roman" w:hAnsi="Arial Narrow" w:cs="Times New Roman"/>
                <w:sz w:val="16"/>
                <w:szCs w:val="16"/>
                <w:lang w:eastAsia="en-PH"/>
              </w:rPr>
              <w:t>65,000,000.00</w:t>
            </w:r>
          </w:p>
        </w:tc>
        <w:tc>
          <w:tcPr>
            <w:tcW w:w="1350" w:type="dxa"/>
            <w:tcBorders>
              <w:top w:val="single" w:sz="4" w:space="0" w:color="auto"/>
            </w:tcBorders>
            <w:shd w:val="clear" w:color="auto" w:fill="auto"/>
            <w:noWrap/>
            <w:hideMark/>
          </w:tcPr>
          <w:p w:rsidR="001A7C49" w:rsidRPr="004F6C55" w:rsidRDefault="00042CA5" w:rsidP="001D442C">
            <w:pPr>
              <w:spacing w:after="0" w:line="240" w:lineRule="auto"/>
              <w:jc w:val="right"/>
              <w:rPr>
                <w:rFonts w:ascii="Arial Narrow" w:eastAsia="Times New Roman" w:hAnsi="Arial Narrow" w:cs="Times New Roman"/>
                <w:sz w:val="16"/>
                <w:szCs w:val="16"/>
                <w:lang w:eastAsia="en-PH"/>
              </w:rPr>
            </w:pPr>
            <w:r>
              <w:rPr>
                <w:rFonts w:ascii="Arial Narrow" w:eastAsia="Times New Roman" w:hAnsi="Arial Narrow" w:cs="Times New Roman"/>
                <w:sz w:val="16"/>
                <w:szCs w:val="16"/>
                <w:lang w:eastAsia="en-PH"/>
              </w:rPr>
              <w:t xml:space="preserve">P </w:t>
            </w:r>
            <w:r w:rsidR="001A7C49" w:rsidRPr="004F6C55">
              <w:rPr>
                <w:rFonts w:ascii="Arial Narrow" w:eastAsia="Times New Roman" w:hAnsi="Arial Narrow" w:cs="Times New Roman"/>
                <w:sz w:val="16"/>
                <w:szCs w:val="16"/>
                <w:lang w:eastAsia="en-PH"/>
              </w:rPr>
              <w:t>55,000,000.00</w:t>
            </w:r>
          </w:p>
        </w:tc>
        <w:tc>
          <w:tcPr>
            <w:tcW w:w="1326" w:type="dxa"/>
            <w:tcBorders>
              <w:top w:val="single" w:sz="4" w:space="0" w:color="auto"/>
            </w:tcBorders>
            <w:shd w:val="clear" w:color="auto" w:fill="auto"/>
            <w:noWrap/>
            <w:hideMark/>
          </w:tcPr>
          <w:p w:rsidR="001A7C49" w:rsidRPr="004F6C55" w:rsidRDefault="00042CA5" w:rsidP="001D442C">
            <w:pPr>
              <w:spacing w:after="0" w:line="240" w:lineRule="auto"/>
              <w:jc w:val="center"/>
              <w:rPr>
                <w:rFonts w:ascii="Arial Narrow" w:eastAsia="Times New Roman" w:hAnsi="Arial Narrow" w:cs="Times New Roman"/>
                <w:sz w:val="16"/>
                <w:szCs w:val="16"/>
                <w:lang w:eastAsia="en-PH"/>
              </w:rPr>
            </w:pPr>
            <w:r>
              <w:rPr>
                <w:rFonts w:ascii="Arial Narrow" w:eastAsia="Times New Roman" w:hAnsi="Arial Narrow" w:cs="Times New Roman"/>
                <w:sz w:val="16"/>
                <w:szCs w:val="16"/>
                <w:lang w:eastAsia="en-PH"/>
              </w:rPr>
              <w:t>P</w:t>
            </w:r>
            <w:r w:rsidR="003C51A9">
              <w:rPr>
                <w:rFonts w:ascii="Arial Narrow" w:eastAsia="Times New Roman" w:hAnsi="Arial Narrow" w:cs="Times New Roman"/>
                <w:sz w:val="16"/>
                <w:szCs w:val="16"/>
                <w:lang w:eastAsia="en-PH"/>
              </w:rPr>
              <w:t xml:space="preserve">  </w:t>
            </w:r>
            <w:r w:rsidR="001A7C49" w:rsidRPr="004F6C55">
              <w:rPr>
                <w:rFonts w:ascii="Arial Narrow" w:eastAsia="Times New Roman" w:hAnsi="Arial Narrow" w:cs="Times New Roman"/>
                <w:sz w:val="16"/>
                <w:szCs w:val="16"/>
                <w:lang w:eastAsia="en-PH"/>
              </w:rPr>
              <w:t>701,334,335.68</w:t>
            </w:r>
          </w:p>
        </w:tc>
        <w:tc>
          <w:tcPr>
            <w:tcW w:w="1620" w:type="dxa"/>
            <w:tcBorders>
              <w:top w:val="single" w:sz="4" w:space="0" w:color="auto"/>
            </w:tcBorders>
            <w:shd w:val="clear" w:color="auto" w:fill="auto"/>
            <w:noWrap/>
          </w:tcPr>
          <w:p w:rsidR="001A7C49" w:rsidRPr="004F6C55" w:rsidRDefault="003C51A9" w:rsidP="001D442C">
            <w:pPr>
              <w:spacing w:after="0" w:line="240" w:lineRule="auto"/>
              <w:jc w:val="right"/>
              <w:rPr>
                <w:rFonts w:ascii="Arial Narrow" w:eastAsia="Times New Roman" w:hAnsi="Arial Narrow" w:cs="Times New Roman"/>
                <w:sz w:val="16"/>
                <w:szCs w:val="16"/>
                <w:lang w:eastAsia="en-PH"/>
              </w:rPr>
            </w:pPr>
            <w:r>
              <w:rPr>
                <w:rFonts w:ascii="Arial Narrow" w:eastAsia="Times New Roman" w:hAnsi="Arial Narrow" w:cs="Times New Roman"/>
                <w:sz w:val="16"/>
                <w:szCs w:val="16"/>
                <w:lang w:eastAsia="en-PH"/>
              </w:rPr>
              <w:t xml:space="preserve">P </w:t>
            </w:r>
            <w:r w:rsidR="001A7C49" w:rsidRPr="004F6C55">
              <w:rPr>
                <w:rFonts w:ascii="Arial Narrow" w:eastAsia="Times New Roman" w:hAnsi="Arial Narrow" w:cs="Times New Roman"/>
                <w:sz w:val="16"/>
                <w:szCs w:val="16"/>
                <w:lang w:eastAsia="en-PH"/>
              </w:rPr>
              <w:t>636,334,335.68</w:t>
            </w:r>
          </w:p>
        </w:tc>
      </w:tr>
      <w:tr w:rsidR="001A7C49" w:rsidRPr="007E20AF" w:rsidTr="003C51A9">
        <w:trPr>
          <w:trHeight w:val="223"/>
          <w:jc w:val="right"/>
        </w:trPr>
        <w:tc>
          <w:tcPr>
            <w:tcW w:w="428" w:type="dxa"/>
            <w:shd w:val="clear" w:color="auto" w:fill="auto"/>
            <w:noWrap/>
            <w:hideMark/>
          </w:tcPr>
          <w:p w:rsidR="001A7C49" w:rsidRPr="004F6C55" w:rsidRDefault="001A7C49" w:rsidP="00042CA5">
            <w:pPr>
              <w:spacing w:after="0" w:line="240" w:lineRule="auto"/>
              <w:ind w:hanging="36"/>
              <w:rPr>
                <w:rFonts w:ascii="Arial Narrow" w:eastAsia="Times New Roman" w:hAnsi="Arial Narrow" w:cs="Times New Roman"/>
                <w:sz w:val="16"/>
                <w:szCs w:val="16"/>
                <w:lang w:eastAsia="en-PH"/>
              </w:rPr>
            </w:pPr>
            <w:r w:rsidRPr="004F6C55">
              <w:rPr>
                <w:rFonts w:ascii="Arial Narrow" w:eastAsia="Times New Roman" w:hAnsi="Arial Narrow" w:cs="Times New Roman"/>
                <w:sz w:val="16"/>
                <w:szCs w:val="16"/>
                <w:lang w:eastAsia="en-PH"/>
              </w:rPr>
              <w:t>2</w:t>
            </w:r>
          </w:p>
        </w:tc>
        <w:tc>
          <w:tcPr>
            <w:tcW w:w="1335" w:type="dxa"/>
            <w:shd w:val="clear" w:color="auto" w:fill="auto"/>
            <w:hideMark/>
          </w:tcPr>
          <w:p w:rsidR="001A7C49" w:rsidRPr="004F6C55" w:rsidRDefault="001A7C49" w:rsidP="00042CA5">
            <w:pPr>
              <w:spacing w:after="0" w:line="240" w:lineRule="auto"/>
              <w:rPr>
                <w:rFonts w:ascii="Arial Narrow" w:eastAsia="Times New Roman" w:hAnsi="Arial Narrow" w:cs="Times New Roman"/>
                <w:sz w:val="16"/>
                <w:szCs w:val="16"/>
                <w:lang w:eastAsia="en-PH"/>
              </w:rPr>
            </w:pPr>
            <w:r w:rsidRPr="004F6C55">
              <w:rPr>
                <w:rFonts w:ascii="Arial Narrow" w:eastAsia="Times New Roman" w:hAnsi="Arial Narrow" w:cs="Times New Roman"/>
                <w:sz w:val="16"/>
                <w:szCs w:val="16"/>
                <w:lang w:eastAsia="en-PH"/>
              </w:rPr>
              <w:t>SC</w:t>
            </w:r>
          </w:p>
        </w:tc>
        <w:tc>
          <w:tcPr>
            <w:tcW w:w="1216" w:type="dxa"/>
            <w:shd w:val="clear" w:color="auto" w:fill="auto"/>
            <w:noWrap/>
            <w:hideMark/>
          </w:tcPr>
          <w:p w:rsidR="001A7C49" w:rsidRPr="004F6C55" w:rsidRDefault="001A7C49" w:rsidP="001D442C">
            <w:pPr>
              <w:spacing w:after="0" w:line="240" w:lineRule="auto"/>
              <w:jc w:val="right"/>
              <w:rPr>
                <w:rFonts w:ascii="Arial Narrow" w:eastAsia="Times New Roman" w:hAnsi="Arial Narrow" w:cs="Times New Roman"/>
                <w:sz w:val="16"/>
                <w:szCs w:val="16"/>
                <w:lang w:eastAsia="en-PH"/>
              </w:rPr>
            </w:pPr>
            <w:r w:rsidRPr="004F6C55">
              <w:rPr>
                <w:rFonts w:ascii="Arial Narrow" w:eastAsia="Times New Roman" w:hAnsi="Arial Narrow" w:cs="Times New Roman"/>
                <w:sz w:val="16"/>
                <w:szCs w:val="16"/>
                <w:lang w:eastAsia="en-PH"/>
              </w:rPr>
              <w:t>46,777,945.00</w:t>
            </w:r>
          </w:p>
        </w:tc>
        <w:tc>
          <w:tcPr>
            <w:tcW w:w="1143" w:type="dxa"/>
            <w:shd w:val="clear" w:color="auto" w:fill="auto"/>
            <w:noWrap/>
            <w:hideMark/>
          </w:tcPr>
          <w:p w:rsidR="001A7C49" w:rsidRPr="004F6C55" w:rsidRDefault="001A7C49" w:rsidP="001D442C">
            <w:pPr>
              <w:spacing w:after="0" w:line="240" w:lineRule="auto"/>
              <w:jc w:val="right"/>
              <w:rPr>
                <w:rFonts w:ascii="Arial Narrow" w:eastAsia="Times New Roman" w:hAnsi="Arial Narrow" w:cs="Times New Roman"/>
                <w:sz w:val="16"/>
                <w:szCs w:val="16"/>
                <w:lang w:eastAsia="en-PH"/>
              </w:rPr>
            </w:pPr>
            <w:r w:rsidRPr="004F6C55">
              <w:rPr>
                <w:rFonts w:ascii="Arial Narrow" w:eastAsia="Times New Roman" w:hAnsi="Arial Narrow" w:cs="Times New Roman"/>
                <w:sz w:val="16"/>
                <w:szCs w:val="16"/>
                <w:lang w:eastAsia="en-PH"/>
              </w:rPr>
              <w:t>20,000,000.00</w:t>
            </w:r>
          </w:p>
        </w:tc>
        <w:tc>
          <w:tcPr>
            <w:tcW w:w="1350" w:type="dxa"/>
            <w:shd w:val="clear" w:color="auto" w:fill="auto"/>
            <w:noWrap/>
            <w:hideMark/>
          </w:tcPr>
          <w:p w:rsidR="001A7C49" w:rsidRPr="004F6C55" w:rsidRDefault="001A7C49" w:rsidP="001D442C">
            <w:pPr>
              <w:spacing w:after="0" w:line="240" w:lineRule="auto"/>
              <w:jc w:val="right"/>
              <w:rPr>
                <w:rFonts w:ascii="Arial Narrow" w:eastAsia="Times New Roman" w:hAnsi="Arial Narrow" w:cs="Times New Roman"/>
                <w:sz w:val="16"/>
                <w:szCs w:val="16"/>
                <w:lang w:eastAsia="en-PH"/>
              </w:rPr>
            </w:pPr>
            <w:r w:rsidRPr="004F6C55">
              <w:rPr>
                <w:rFonts w:ascii="Arial Narrow" w:eastAsia="Times New Roman" w:hAnsi="Arial Narrow" w:cs="Times New Roman"/>
                <w:sz w:val="16"/>
                <w:szCs w:val="16"/>
                <w:lang w:eastAsia="en-PH"/>
              </w:rPr>
              <w:t>26,777,945.00</w:t>
            </w:r>
          </w:p>
        </w:tc>
        <w:tc>
          <w:tcPr>
            <w:tcW w:w="1326" w:type="dxa"/>
            <w:shd w:val="clear" w:color="auto" w:fill="auto"/>
            <w:noWrap/>
            <w:hideMark/>
          </w:tcPr>
          <w:p w:rsidR="001A7C49" w:rsidRPr="004F6C55" w:rsidRDefault="001A7C49" w:rsidP="001D442C">
            <w:pPr>
              <w:spacing w:after="0" w:line="240" w:lineRule="auto"/>
              <w:jc w:val="right"/>
              <w:rPr>
                <w:rFonts w:ascii="Arial Narrow" w:eastAsia="Times New Roman" w:hAnsi="Arial Narrow" w:cs="Times New Roman"/>
                <w:sz w:val="16"/>
                <w:szCs w:val="16"/>
                <w:lang w:eastAsia="en-PH"/>
              </w:rPr>
            </w:pPr>
            <w:r w:rsidRPr="004F6C55">
              <w:rPr>
                <w:rFonts w:ascii="Arial Narrow" w:eastAsia="Times New Roman" w:hAnsi="Arial Narrow" w:cs="Times New Roman"/>
                <w:sz w:val="16"/>
                <w:szCs w:val="16"/>
                <w:lang w:eastAsia="en-PH"/>
              </w:rPr>
              <w:t>169,392,976.26</w:t>
            </w:r>
          </w:p>
        </w:tc>
        <w:tc>
          <w:tcPr>
            <w:tcW w:w="1620" w:type="dxa"/>
            <w:shd w:val="clear" w:color="auto" w:fill="auto"/>
            <w:noWrap/>
          </w:tcPr>
          <w:p w:rsidR="001A7C49" w:rsidRPr="004F6C55" w:rsidRDefault="001A7C49" w:rsidP="001D442C">
            <w:pPr>
              <w:spacing w:after="0" w:line="240" w:lineRule="auto"/>
              <w:jc w:val="right"/>
              <w:rPr>
                <w:rFonts w:ascii="Arial Narrow" w:eastAsia="Times New Roman" w:hAnsi="Arial Narrow" w:cs="Times New Roman"/>
                <w:sz w:val="16"/>
                <w:szCs w:val="16"/>
                <w:lang w:eastAsia="en-PH"/>
              </w:rPr>
            </w:pPr>
            <w:r w:rsidRPr="004F6C55">
              <w:rPr>
                <w:rFonts w:ascii="Arial Narrow" w:eastAsia="Times New Roman" w:hAnsi="Arial Narrow" w:cs="Times New Roman"/>
                <w:sz w:val="16"/>
                <w:szCs w:val="16"/>
                <w:lang w:eastAsia="en-PH"/>
              </w:rPr>
              <w:t>149,392,976.26</w:t>
            </w:r>
          </w:p>
        </w:tc>
      </w:tr>
      <w:tr w:rsidR="001A7C49" w:rsidRPr="007E20AF" w:rsidTr="003C51A9">
        <w:trPr>
          <w:trHeight w:val="223"/>
          <w:jc w:val="right"/>
        </w:trPr>
        <w:tc>
          <w:tcPr>
            <w:tcW w:w="428" w:type="dxa"/>
            <w:tcBorders>
              <w:bottom w:val="single" w:sz="4" w:space="0" w:color="auto"/>
            </w:tcBorders>
            <w:shd w:val="clear" w:color="auto" w:fill="auto"/>
            <w:noWrap/>
            <w:hideMark/>
          </w:tcPr>
          <w:p w:rsidR="001A7C49" w:rsidRPr="004F6C55" w:rsidRDefault="001A7C49" w:rsidP="00042CA5">
            <w:pPr>
              <w:spacing w:after="0" w:line="240" w:lineRule="auto"/>
              <w:ind w:hanging="36"/>
              <w:rPr>
                <w:rFonts w:ascii="Arial Narrow" w:eastAsia="Times New Roman" w:hAnsi="Arial Narrow" w:cs="Times New Roman"/>
                <w:sz w:val="16"/>
                <w:szCs w:val="16"/>
                <w:lang w:eastAsia="en-PH"/>
              </w:rPr>
            </w:pPr>
            <w:r w:rsidRPr="004F6C55">
              <w:rPr>
                <w:rFonts w:ascii="Arial Narrow" w:eastAsia="Times New Roman" w:hAnsi="Arial Narrow" w:cs="Times New Roman"/>
                <w:sz w:val="16"/>
                <w:szCs w:val="16"/>
                <w:lang w:eastAsia="en-PH"/>
              </w:rPr>
              <w:t>3</w:t>
            </w:r>
          </w:p>
        </w:tc>
        <w:tc>
          <w:tcPr>
            <w:tcW w:w="1335" w:type="dxa"/>
            <w:tcBorders>
              <w:bottom w:val="single" w:sz="4" w:space="0" w:color="auto"/>
            </w:tcBorders>
            <w:shd w:val="clear" w:color="auto" w:fill="auto"/>
            <w:hideMark/>
          </w:tcPr>
          <w:p w:rsidR="001A7C49" w:rsidRPr="004F6C55" w:rsidRDefault="001A7C49" w:rsidP="00042CA5">
            <w:pPr>
              <w:spacing w:after="0" w:line="240" w:lineRule="auto"/>
              <w:rPr>
                <w:rFonts w:ascii="Arial Narrow" w:eastAsia="Times New Roman" w:hAnsi="Arial Narrow" w:cs="Times New Roman"/>
                <w:sz w:val="16"/>
                <w:szCs w:val="16"/>
                <w:lang w:eastAsia="en-PH"/>
              </w:rPr>
            </w:pPr>
            <w:r w:rsidRPr="004F6C55">
              <w:rPr>
                <w:rFonts w:ascii="Arial Narrow" w:eastAsia="Times New Roman" w:hAnsi="Arial Narrow" w:cs="Times New Roman"/>
                <w:sz w:val="16"/>
                <w:szCs w:val="16"/>
                <w:lang w:eastAsia="en-PH"/>
              </w:rPr>
              <w:t>GELSGC</w:t>
            </w:r>
          </w:p>
        </w:tc>
        <w:tc>
          <w:tcPr>
            <w:tcW w:w="1216" w:type="dxa"/>
            <w:tcBorders>
              <w:bottom w:val="single" w:sz="4" w:space="0" w:color="auto"/>
            </w:tcBorders>
            <w:shd w:val="clear" w:color="auto" w:fill="auto"/>
            <w:noWrap/>
            <w:hideMark/>
          </w:tcPr>
          <w:p w:rsidR="001A7C49" w:rsidRPr="004F6C55" w:rsidRDefault="001A7C49" w:rsidP="001D442C">
            <w:pPr>
              <w:spacing w:after="0" w:line="240" w:lineRule="auto"/>
              <w:jc w:val="right"/>
              <w:rPr>
                <w:rFonts w:ascii="Arial Narrow" w:eastAsia="Times New Roman" w:hAnsi="Arial Narrow" w:cs="Times New Roman"/>
                <w:sz w:val="16"/>
                <w:szCs w:val="16"/>
                <w:lang w:eastAsia="en-PH"/>
              </w:rPr>
            </w:pPr>
            <w:r w:rsidRPr="004F6C55">
              <w:rPr>
                <w:rFonts w:ascii="Arial Narrow" w:eastAsia="Times New Roman" w:hAnsi="Arial Narrow" w:cs="Times New Roman"/>
                <w:sz w:val="16"/>
                <w:szCs w:val="16"/>
                <w:lang w:eastAsia="en-PH"/>
              </w:rPr>
              <w:t>35,101,000.00</w:t>
            </w:r>
          </w:p>
        </w:tc>
        <w:tc>
          <w:tcPr>
            <w:tcW w:w="1143" w:type="dxa"/>
            <w:tcBorders>
              <w:bottom w:val="single" w:sz="4" w:space="0" w:color="auto"/>
            </w:tcBorders>
            <w:shd w:val="clear" w:color="auto" w:fill="auto"/>
            <w:noWrap/>
            <w:hideMark/>
          </w:tcPr>
          <w:p w:rsidR="001A7C49" w:rsidRPr="004F6C55" w:rsidRDefault="001A7C49" w:rsidP="001D442C">
            <w:pPr>
              <w:spacing w:after="0" w:line="240" w:lineRule="auto"/>
              <w:jc w:val="right"/>
              <w:rPr>
                <w:rFonts w:ascii="Arial Narrow" w:eastAsia="Times New Roman" w:hAnsi="Arial Narrow" w:cs="Times New Roman"/>
                <w:sz w:val="16"/>
                <w:szCs w:val="16"/>
                <w:lang w:eastAsia="en-PH"/>
              </w:rPr>
            </w:pPr>
            <w:r w:rsidRPr="004F6C55">
              <w:rPr>
                <w:rFonts w:ascii="Arial Narrow" w:eastAsia="Times New Roman" w:hAnsi="Arial Narrow" w:cs="Times New Roman"/>
                <w:sz w:val="16"/>
                <w:szCs w:val="16"/>
                <w:lang w:eastAsia="en-PH"/>
              </w:rPr>
              <w:t>10,530,300.00</w:t>
            </w:r>
          </w:p>
        </w:tc>
        <w:tc>
          <w:tcPr>
            <w:tcW w:w="1350" w:type="dxa"/>
            <w:tcBorders>
              <w:bottom w:val="single" w:sz="4" w:space="0" w:color="auto"/>
            </w:tcBorders>
            <w:shd w:val="clear" w:color="auto" w:fill="auto"/>
            <w:noWrap/>
            <w:hideMark/>
          </w:tcPr>
          <w:p w:rsidR="001A7C49" w:rsidRPr="004F6C55" w:rsidRDefault="001A7C49" w:rsidP="001D442C">
            <w:pPr>
              <w:spacing w:after="0" w:line="240" w:lineRule="auto"/>
              <w:jc w:val="right"/>
              <w:rPr>
                <w:rFonts w:ascii="Arial Narrow" w:eastAsia="Times New Roman" w:hAnsi="Arial Narrow" w:cs="Times New Roman"/>
                <w:sz w:val="16"/>
                <w:szCs w:val="16"/>
                <w:lang w:eastAsia="en-PH"/>
              </w:rPr>
            </w:pPr>
            <w:r w:rsidRPr="004F6C55">
              <w:rPr>
                <w:rFonts w:ascii="Arial Narrow" w:eastAsia="Times New Roman" w:hAnsi="Arial Narrow" w:cs="Times New Roman"/>
                <w:sz w:val="16"/>
                <w:szCs w:val="16"/>
                <w:lang w:eastAsia="en-PH"/>
              </w:rPr>
              <w:t>24,570,700.00</w:t>
            </w:r>
          </w:p>
        </w:tc>
        <w:tc>
          <w:tcPr>
            <w:tcW w:w="1326" w:type="dxa"/>
            <w:tcBorders>
              <w:bottom w:val="single" w:sz="4" w:space="0" w:color="auto"/>
            </w:tcBorders>
            <w:shd w:val="clear" w:color="auto" w:fill="auto"/>
            <w:noWrap/>
            <w:hideMark/>
          </w:tcPr>
          <w:p w:rsidR="001A7C49" w:rsidRPr="004F6C55" w:rsidRDefault="001A7C49" w:rsidP="001D442C">
            <w:pPr>
              <w:spacing w:after="0" w:line="240" w:lineRule="auto"/>
              <w:jc w:val="right"/>
              <w:rPr>
                <w:rFonts w:ascii="Arial Narrow" w:eastAsia="Times New Roman" w:hAnsi="Arial Narrow" w:cs="Times New Roman"/>
                <w:sz w:val="16"/>
                <w:szCs w:val="16"/>
                <w:lang w:eastAsia="en-PH"/>
              </w:rPr>
            </w:pPr>
            <w:r w:rsidRPr="004F6C55">
              <w:rPr>
                <w:rFonts w:ascii="Arial Narrow" w:eastAsia="Times New Roman" w:hAnsi="Arial Narrow" w:cs="Times New Roman"/>
                <w:sz w:val="16"/>
                <w:szCs w:val="16"/>
                <w:lang w:eastAsia="en-PH"/>
              </w:rPr>
              <w:t>208,755,277.23</w:t>
            </w:r>
          </w:p>
        </w:tc>
        <w:tc>
          <w:tcPr>
            <w:tcW w:w="1620" w:type="dxa"/>
            <w:tcBorders>
              <w:bottom w:val="single" w:sz="4" w:space="0" w:color="auto"/>
            </w:tcBorders>
            <w:shd w:val="clear" w:color="auto" w:fill="auto"/>
            <w:noWrap/>
          </w:tcPr>
          <w:p w:rsidR="001A7C49" w:rsidRPr="004F6C55" w:rsidRDefault="001A7C49" w:rsidP="001D442C">
            <w:pPr>
              <w:spacing w:after="0" w:line="240" w:lineRule="auto"/>
              <w:jc w:val="right"/>
              <w:rPr>
                <w:rFonts w:ascii="Arial Narrow" w:eastAsia="Times New Roman" w:hAnsi="Arial Narrow" w:cs="Times New Roman"/>
                <w:sz w:val="16"/>
                <w:szCs w:val="16"/>
                <w:lang w:eastAsia="en-PH"/>
              </w:rPr>
            </w:pPr>
            <w:r w:rsidRPr="004F6C55">
              <w:rPr>
                <w:rFonts w:ascii="Arial Narrow" w:eastAsia="Times New Roman" w:hAnsi="Arial Narrow" w:cs="Times New Roman"/>
                <w:sz w:val="16"/>
                <w:szCs w:val="16"/>
                <w:lang w:eastAsia="en-PH"/>
              </w:rPr>
              <w:t>198,224,977.23</w:t>
            </w:r>
          </w:p>
        </w:tc>
      </w:tr>
      <w:tr w:rsidR="001A7C49" w:rsidRPr="007E20AF" w:rsidTr="003C51A9">
        <w:trPr>
          <w:trHeight w:val="236"/>
          <w:jc w:val="right"/>
        </w:trPr>
        <w:tc>
          <w:tcPr>
            <w:tcW w:w="1763" w:type="dxa"/>
            <w:gridSpan w:val="2"/>
            <w:tcBorders>
              <w:top w:val="single" w:sz="4" w:space="0" w:color="auto"/>
              <w:bottom w:val="double" w:sz="4" w:space="0" w:color="auto"/>
            </w:tcBorders>
            <w:shd w:val="clear" w:color="auto" w:fill="auto"/>
            <w:noWrap/>
            <w:hideMark/>
          </w:tcPr>
          <w:p w:rsidR="001A7C49" w:rsidRPr="004F6C55" w:rsidRDefault="001A7C49" w:rsidP="00042CA5">
            <w:pPr>
              <w:spacing w:after="0" w:line="240" w:lineRule="auto"/>
              <w:ind w:hanging="36"/>
              <w:rPr>
                <w:rFonts w:ascii="Arial Narrow" w:eastAsia="Times New Roman" w:hAnsi="Arial Narrow" w:cs="Times New Roman"/>
                <w:b/>
                <w:bCs/>
                <w:sz w:val="16"/>
                <w:szCs w:val="16"/>
                <w:lang w:eastAsia="en-PH"/>
              </w:rPr>
            </w:pPr>
            <w:r w:rsidRPr="004F6C55">
              <w:rPr>
                <w:rFonts w:ascii="Arial Narrow" w:eastAsia="Times New Roman" w:hAnsi="Arial Narrow" w:cs="Times New Roman"/>
                <w:b/>
                <w:bCs/>
                <w:sz w:val="16"/>
                <w:szCs w:val="16"/>
                <w:lang w:eastAsia="en-PH"/>
              </w:rPr>
              <w:t>Total</w:t>
            </w:r>
          </w:p>
        </w:tc>
        <w:tc>
          <w:tcPr>
            <w:tcW w:w="1216" w:type="dxa"/>
            <w:tcBorders>
              <w:top w:val="single" w:sz="4" w:space="0" w:color="auto"/>
              <w:bottom w:val="double" w:sz="4" w:space="0" w:color="auto"/>
            </w:tcBorders>
            <w:shd w:val="clear" w:color="auto" w:fill="auto"/>
            <w:noWrap/>
            <w:hideMark/>
          </w:tcPr>
          <w:p w:rsidR="001A7C49" w:rsidRPr="004F6C55" w:rsidRDefault="00042CA5" w:rsidP="001D442C">
            <w:pPr>
              <w:spacing w:after="0" w:line="240" w:lineRule="auto"/>
              <w:jc w:val="right"/>
              <w:rPr>
                <w:rFonts w:ascii="Arial Narrow" w:eastAsia="Times New Roman" w:hAnsi="Arial Narrow" w:cs="Times New Roman"/>
                <w:b/>
                <w:bCs/>
                <w:sz w:val="16"/>
                <w:szCs w:val="16"/>
                <w:lang w:eastAsia="en-PH"/>
              </w:rPr>
            </w:pPr>
            <w:r>
              <w:rPr>
                <w:rFonts w:ascii="Arial Narrow" w:eastAsia="Times New Roman" w:hAnsi="Arial Narrow" w:cs="Times New Roman"/>
                <w:b/>
                <w:bCs/>
                <w:sz w:val="16"/>
                <w:szCs w:val="16"/>
                <w:lang w:eastAsia="en-PH"/>
              </w:rPr>
              <w:t>P</w:t>
            </w:r>
            <w:r w:rsidR="001A7C49" w:rsidRPr="004F6C55">
              <w:rPr>
                <w:rFonts w:ascii="Arial Narrow" w:eastAsia="Times New Roman" w:hAnsi="Arial Narrow" w:cs="Times New Roman"/>
                <w:b/>
                <w:bCs/>
                <w:sz w:val="16"/>
                <w:szCs w:val="16"/>
                <w:lang w:eastAsia="en-PH"/>
              </w:rPr>
              <w:t>201,878,945.00</w:t>
            </w:r>
          </w:p>
        </w:tc>
        <w:tc>
          <w:tcPr>
            <w:tcW w:w="1143" w:type="dxa"/>
            <w:tcBorders>
              <w:top w:val="single" w:sz="4" w:space="0" w:color="auto"/>
              <w:bottom w:val="double" w:sz="4" w:space="0" w:color="auto"/>
            </w:tcBorders>
            <w:shd w:val="clear" w:color="auto" w:fill="auto"/>
            <w:noWrap/>
            <w:hideMark/>
          </w:tcPr>
          <w:p w:rsidR="001A7C49" w:rsidRPr="004F6C55" w:rsidRDefault="00042CA5" w:rsidP="001D442C">
            <w:pPr>
              <w:spacing w:after="0" w:line="240" w:lineRule="auto"/>
              <w:jc w:val="right"/>
              <w:rPr>
                <w:rFonts w:ascii="Arial Narrow" w:eastAsia="Times New Roman" w:hAnsi="Arial Narrow" w:cs="Times New Roman"/>
                <w:b/>
                <w:bCs/>
                <w:sz w:val="16"/>
                <w:szCs w:val="16"/>
                <w:lang w:eastAsia="en-PH"/>
              </w:rPr>
            </w:pPr>
            <w:r>
              <w:rPr>
                <w:rFonts w:ascii="Arial Narrow" w:eastAsia="Times New Roman" w:hAnsi="Arial Narrow" w:cs="Times New Roman"/>
                <w:b/>
                <w:bCs/>
                <w:sz w:val="16"/>
                <w:szCs w:val="16"/>
                <w:lang w:eastAsia="en-PH"/>
              </w:rPr>
              <w:t>P</w:t>
            </w:r>
            <w:r w:rsidR="001A7C49" w:rsidRPr="004F6C55">
              <w:rPr>
                <w:rFonts w:ascii="Arial Narrow" w:eastAsia="Times New Roman" w:hAnsi="Arial Narrow" w:cs="Times New Roman"/>
                <w:b/>
                <w:bCs/>
                <w:sz w:val="16"/>
                <w:szCs w:val="16"/>
                <w:lang w:eastAsia="en-PH"/>
              </w:rPr>
              <w:t>95,530,300.00</w:t>
            </w:r>
          </w:p>
        </w:tc>
        <w:tc>
          <w:tcPr>
            <w:tcW w:w="1350" w:type="dxa"/>
            <w:tcBorders>
              <w:top w:val="single" w:sz="4" w:space="0" w:color="auto"/>
              <w:bottom w:val="double" w:sz="4" w:space="0" w:color="auto"/>
            </w:tcBorders>
            <w:shd w:val="clear" w:color="auto" w:fill="auto"/>
            <w:noWrap/>
          </w:tcPr>
          <w:p w:rsidR="001A7C49" w:rsidRPr="004F6C55" w:rsidRDefault="00042CA5" w:rsidP="001D442C">
            <w:pPr>
              <w:spacing w:after="0" w:line="240" w:lineRule="auto"/>
              <w:jc w:val="right"/>
              <w:rPr>
                <w:rFonts w:ascii="Arial Narrow" w:eastAsia="Times New Roman" w:hAnsi="Arial Narrow" w:cs="Times New Roman"/>
                <w:b/>
                <w:bCs/>
                <w:sz w:val="16"/>
                <w:szCs w:val="16"/>
                <w:lang w:eastAsia="en-PH"/>
              </w:rPr>
            </w:pPr>
            <w:r>
              <w:rPr>
                <w:rFonts w:ascii="Arial Narrow" w:eastAsia="Times New Roman" w:hAnsi="Arial Narrow" w:cs="Times New Roman"/>
                <w:b/>
                <w:bCs/>
                <w:sz w:val="16"/>
                <w:szCs w:val="16"/>
                <w:lang w:eastAsia="en-PH"/>
              </w:rPr>
              <w:t>P</w:t>
            </w:r>
            <w:r w:rsidR="001A7C49" w:rsidRPr="004F6C55">
              <w:rPr>
                <w:rFonts w:ascii="Arial Narrow" w:eastAsia="Times New Roman" w:hAnsi="Arial Narrow" w:cs="Times New Roman"/>
                <w:b/>
                <w:bCs/>
                <w:sz w:val="16"/>
                <w:szCs w:val="16"/>
                <w:lang w:eastAsia="en-PH"/>
              </w:rPr>
              <w:t>106,348,645.00</w:t>
            </w:r>
          </w:p>
        </w:tc>
        <w:tc>
          <w:tcPr>
            <w:tcW w:w="1326" w:type="dxa"/>
            <w:tcBorders>
              <w:top w:val="single" w:sz="4" w:space="0" w:color="auto"/>
              <w:bottom w:val="double" w:sz="4" w:space="0" w:color="auto"/>
            </w:tcBorders>
            <w:shd w:val="clear" w:color="auto" w:fill="auto"/>
            <w:noWrap/>
          </w:tcPr>
          <w:p w:rsidR="001A7C49" w:rsidRPr="004F6C55" w:rsidRDefault="003C51A9" w:rsidP="003C51A9">
            <w:pPr>
              <w:spacing w:after="0" w:line="240" w:lineRule="auto"/>
              <w:jc w:val="right"/>
              <w:rPr>
                <w:rFonts w:ascii="Arial Narrow" w:eastAsia="Times New Roman" w:hAnsi="Arial Narrow" w:cs="Times New Roman"/>
                <w:b/>
                <w:sz w:val="16"/>
                <w:szCs w:val="16"/>
                <w:lang w:eastAsia="en-PH"/>
              </w:rPr>
            </w:pPr>
            <w:r>
              <w:rPr>
                <w:rFonts w:ascii="Arial Narrow" w:eastAsia="Times New Roman" w:hAnsi="Arial Narrow" w:cs="Times New Roman"/>
                <w:b/>
                <w:sz w:val="16"/>
                <w:szCs w:val="16"/>
                <w:lang w:eastAsia="en-PH"/>
              </w:rPr>
              <w:t>P</w:t>
            </w:r>
            <w:r w:rsidR="001A7C49" w:rsidRPr="004F6C55">
              <w:rPr>
                <w:rFonts w:ascii="Arial Narrow" w:eastAsia="Times New Roman" w:hAnsi="Arial Narrow" w:cs="Times New Roman"/>
                <w:b/>
                <w:sz w:val="16"/>
                <w:szCs w:val="16"/>
                <w:lang w:eastAsia="en-PH"/>
              </w:rPr>
              <w:t>1,079,482,589.17</w:t>
            </w:r>
          </w:p>
        </w:tc>
        <w:tc>
          <w:tcPr>
            <w:tcW w:w="1620" w:type="dxa"/>
            <w:tcBorders>
              <w:top w:val="single" w:sz="4" w:space="0" w:color="auto"/>
              <w:bottom w:val="double" w:sz="4" w:space="0" w:color="auto"/>
            </w:tcBorders>
            <w:shd w:val="clear" w:color="auto" w:fill="auto"/>
            <w:noWrap/>
            <w:hideMark/>
          </w:tcPr>
          <w:p w:rsidR="001A7C49" w:rsidRPr="004F6C55" w:rsidRDefault="003C51A9" w:rsidP="001D442C">
            <w:pPr>
              <w:spacing w:after="0" w:line="240" w:lineRule="auto"/>
              <w:jc w:val="right"/>
              <w:rPr>
                <w:rFonts w:ascii="Arial Narrow" w:eastAsia="Times New Roman" w:hAnsi="Arial Narrow" w:cs="Times New Roman"/>
                <w:b/>
                <w:bCs/>
                <w:sz w:val="16"/>
                <w:szCs w:val="16"/>
                <w:lang w:eastAsia="en-PH"/>
              </w:rPr>
            </w:pPr>
            <w:r>
              <w:rPr>
                <w:rFonts w:ascii="Arial Narrow" w:hAnsi="Arial Narrow"/>
                <w:b/>
                <w:bCs/>
                <w:sz w:val="16"/>
                <w:szCs w:val="16"/>
              </w:rPr>
              <w:t xml:space="preserve">P </w:t>
            </w:r>
            <w:r w:rsidR="001A7C49" w:rsidRPr="004F6C55">
              <w:rPr>
                <w:rFonts w:ascii="Arial Narrow" w:hAnsi="Arial Narrow"/>
                <w:b/>
                <w:bCs/>
                <w:sz w:val="16"/>
                <w:szCs w:val="16"/>
              </w:rPr>
              <w:t>983,952,289.17</w:t>
            </w:r>
          </w:p>
        </w:tc>
      </w:tr>
    </w:tbl>
    <w:p w:rsidR="0067116F" w:rsidRPr="00EF4855" w:rsidRDefault="0067116F">
      <w:pPr>
        <w:pStyle w:val="ListParagraph"/>
        <w:ind w:left="1296"/>
        <w:jc w:val="both"/>
        <w:rPr>
          <w:rFonts w:ascii="Arial" w:hAnsi="Arial" w:cs="Arial"/>
          <w:sz w:val="22"/>
          <w:szCs w:val="22"/>
        </w:rPr>
      </w:pPr>
    </w:p>
    <w:p w:rsidR="008865EB" w:rsidRPr="003C51A9" w:rsidRDefault="00D31262" w:rsidP="00DA78B4">
      <w:pPr>
        <w:pStyle w:val="ListParagraph"/>
        <w:numPr>
          <w:ilvl w:val="1"/>
          <w:numId w:val="21"/>
        </w:numPr>
        <w:ind w:left="1440"/>
        <w:jc w:val="both"/>
        <w:rPr>
          <w:rFonts w:ascii="Arial" w:hAnsi="Arial" w:cs="Arial"/>
          <w:color w:val="000000" w:themeColor="text1"/>
          <w:sz w:val="22"/>
          <w:szCs w:val="22"/>
        </w:rPr>
      </w:pPr>
      <w:r w:rsidRPr="003C51A9">
        <w:rPr>
          <w:rFonts w:ascii="Arial" w:hAnsi="Arial" w:cs="Arial"/>
          <w:color w:val="000000" w:themeColor="text1"/>
          <w:sz w:val="22"/>
          <w:szCs w:val="22"/>
        </w:rPr>
        <w:t>It was noted</w:t>
      </w:r>
      <w:r w:rsidR="008865EB" w:rsidRPr="003C51A9">
        <w:rPr>
          <w:rFonts w:ascii="Arial" w:hAnsi="Arial" w:cs="Arial"/>
          <w:color w:val="000000" w:themeColor="text1"/>
          <w:sz w:val="22"/>
          <w:szCs w:val="22"/>
        </w:rPr>
        <w:t xml:space="preserve"> though, that despite the non-settlement of the</w:t>
      </w:r>
      <w:r w:rsidR="00962806" w:rsidRPr="003C51A9">
        <w:rPr>
          <w:rFonts w:ascii="Arial" w:hAnsi="Arial" w:cs="Arial"/>
          <w:color w:val="000000" w:themeColor="text1"/>
          <w:sz w:val="22"/>
          <w:szCs w:val="22"/>
        </w:rPr>
        <w:t>ir cash bond deficiencies, the</w:t>
      </w:r>
      <w:r w:rsidR="008865EB" w:rsidRPr="003C51A9">
        <w:rPr>
          <w:rFonts w:ascii="Arial" w:hAnsi="Arial" w:cs="Arial"/>
          <w:color w:val="000000" w:themeColor="text1"/>
          <w:sz w:val="22"/>
          <w:szCs w:val="22"/>
        </w:rPr>
        <w:t xml:space="preserve"> STL Agency Agreements with PCSO </w:t>
      </w:r>
      <w:r w:rsidR="00962806" w:rsidRPr="003C51A9">
        <w:rPr>
          <w:rFonts w:ascii="Arial" w:hAnsi="Arial" w:cs="Arial"/>
          <w:color w:val="000000" w:themeColor="text1"/>
          <w:sz w:val="22"/>
          <w:szCs w:val="22"/>
        </w:rPr>
        <w:t xml:space="preserve">of the subject ASAs </w:t>
      </w:r>
      <w:r w:rsidR="008865EB" w:rsidRPr="003C51A9">
        <w:rPr>
          <w:rFonts w:ascii="Arial" w:hAnsi="Arial" w:cs="Arial"/>
          <w:color w:val="000000" w:themeColor="text1"/>
          <w:sz w:val="22"/>
          <w:szCs w:val="22"/>
        </w:rPr>
        <w:t>were not cancelled and they continued to operate during CY 2018, which was a blatant disregard of Section 17 of 2016 RIRR which read</w:t>
      </w:r>
      <w:r w:rsidR="00F5678F" w:rsidRPr="003C51A9">
        <w:rPr>
          <w:rFonts w:ascii="Arial" w:hAnsi="Arial" w:cs="Arial"/>
          <w:color w:val="000000" w:themeColor="text1"/>
          <w:sz w:val="22"/>
          <w:szCs w:val="22"/>
        </w:rPr>
        <w:t>s</w:t>
      </w:r>
      <w:r w:rsidR="008865EB" w:rsidRPr="003C51A9">
        <w:rPr>
          <w:rFonts w:ascii="Arial" w:hAnsi="Arial" w:cs="Arial"/>
          <w:color w:val="000000" w:themeColor="text1"/>
          <w:sz w:val="22"/>
          <w:szCs w:val="22"/>
        </w:rPr>
        <w:t xml:space="preserve"> as follows: </w:t>
      </w:r>
    </w:p>
    <w:p w:rsidR="008865EB" w:rsidRPr="00EF4855" w:rsidRDefault="008865EB" w:rsidP="008865EB">
      <w:pPr>
        <w:pStyle w:val="ListParagraph"/>
        <w:ind w:left="1296"/>
        <w:jc w:val="both"/>
        <w:rPr>
          <w:rFonts w:ascii="Arial" w:hAnsi="Arial" w:cs="Arial"/>
          <w:sz w:val="22"/>
          <w:szCs w:val="22"/>
        </w:rPr>
      </w:pPr>
    </w:p>
    <w:p w:rsidR="008865EB" w:rsidRPr="00EF4855" w:rsidRDefault="008865EB" w:rsidP="003C51A9">
      <w:pPr>
        <w:pStyle w:val="ListParagraph"/>
        <w:ind w:left="1800" w:right="720"/>
        <w:jc w:val="both"/>
        <w:rPr>
          <w:rFonts w:ascii="Arial" w:hAnsi="Arial" w:cs="Arial"/>
          <w:i/>
          <w:sz w:val="22"/>
          <w:szCs w:val="22"/>
        </w:rPr>
      </w:pPr>
      <w:r w:rsidRPr="00EF4855">
        <w:rPr>
          <w:rFonts w:ascii="Arial" w:hAnsi="Arial" w:cs="Arial"/>
          <w:i/>
          <w:sz w:val="22"/>
          <w:szCs w:val="22"/>
        </w:rPr>
        <w:t>Section 17.  The AAC shall strictly comply with the duties and obligations imposed in this IRR, all of which are deemed incorporated and form part of the STL Agency Agreement.  Failure of the AAC to comply with any of its obligations shall be a ground for PCSO to c</w:t>
      </w:r>
      <w:r w:rsidR="003C51A9">
        <w:rPr>
          <w:rFonts w:ascii="Arial" w:hAnsi="Arial" w:cs="Arial"/>
          <w:i/>
          <w:sz w:val="22"/>
          <w:szCs w:val="22"/>
        </w:rPr>
        <w:t>ancel the STL Agency Agreement.</w:t>
      </w:r>
    </w:p>
    <w:p w:rsidR="008865EB" w:rsidRPr="00EF4855" w:rsidRDefault="008865EB" w:rsidP="008865EB">
      <w:pPr>
        <w:pStyle w:val="ListParagraph"/>
        <w:rPr>
          <w:rFonts w:ascii="Arial" w:hAnsi="Arial" w:cs="Arial"/>
          <w:b/>
          <w:sz w:val="22"/>
          <w:szCs w:val="22"/>
        </w:rPr>
      </w:pPr>
    </w:p>
    <w:p w:rsidR="00C42898" w:rsidRPr="00EF4855" w:rsidRDefault="008865EB" w:rsidP="00DA78B4">
      <w:pPr>
        <w:pStyle w:val="ListParagraph"/>
        <w:numPr>
          <w:ilvl w:val="1"/>
          <w:numId w:val="21"/>
        </w:numPr>
        <w:ind w:left="1440"/>
        <w:jc w:val="both"/>
        <w:rPr>
          <w:rFonts w:ascii="Arial" w:hAnsi="Arial" w:cs="Arial"/>
          <w:sz w:val="22"/>
          <w:szCs w:val="22"/>
        </w:rPr>
      </w:pPr>
      <w:r w:rsidRPr="00EF4855">
        <w:rPr>
          <w:rFonts w:ascii="Arial" w:hAnsi="Arial" w:cs="Arial"/>
          <w:sz w:val="22"/>
          <w:szCs w:val="22"/>
        </w:rPr>
        <w:t>Moreover, we have verified that the said non-compliant AACs had a total PMRR shortfall due of P1</w:t>
      </w:r>
      <w:r w:rsidR="00356139" w:rsidRPr="00EF4855">
        <w:rPr>
          <w:rFonts w:ascii="Arial" w:hAnsi="Arial" w:cs="Arial"/>
          <w:sz w:val="22"/>
          <w:szCs w:val="22"/>
        </w:rPr>
        <w:t>.</w:t>
      </w:r>
      <w:r w:rsidRPr="00EF4855">
        <w:rPr>
          <w:rFonts w:ascii="Arial" w:hAnsi="Arial" w:cs="Arial"/>
          <w:sz w:val="22"/>
          <w:szCs w:val="22"/>
        </w:rPr>
        <w:t>079</w:t>
      </w:r>
      <w:r w:rsidR="00356139" w:rsidRPr="00EF4855">
        <w:rPr>
          <w:rFonts w:ascii="Arial" w:hAnsi="Arial" w:cs="Arial"/>
          <w:sz w:val="22"/>
          <w:szCs w:val="22"/>
        </w:rPr>
        <w:t xml:space="preserve"> billion</w:t>
      </w:r>
      <w:r w:rsidRPr="00EF4855">
        <w:rPr>
          <w:rFonts w:ascii="Arial" w:hAnsi="Arial" w:cs="Arial"/>
          <w:sz w:val="22"/>
          <w:szCs w:val="22"/>
        </w:rPr>
        <w:t xml:space="preserve"> as of December 31, 2018</w:t>
      </w:r>
      <w:r w:rsidR="00C42898" w:rsidRPr="00EF4855">
        <w:rPr>
          <w:rFonts w:ascii="Arial" w:hAnsi="Arial" w:cs="Arial"/>
          <w:sz w:val="22"/>
          <w:szCs w:val="22"/>
        </w:rPr>
        <w:t xml:space="preserve">, as shown in Table </w:t>
      </w:r>
      <w:r w:rsidR="001A7C49">
        <w:rPr>
          <w:rFonts w:ascii="Arial" w:hAnsi="Arial" w:cs="Arial"/>
          <w:sz w:val="22"/>
          <w:szCs w:val="22"/>
        </w:rPr>
        <w:t>14</w:t>
      </w:r>
      <w:r w:rsidR="001A7C49" w:rsidRPr="00EF4855">
        <w:rPr>
          <w:rFonts w:ascii="Arial" w:hAnsi="Arial" w:cs="Arial"/>
          <w:sz w:val="22"/>
          <w:szCs w:val="22"/>
        </w:rPr>
        <w:t xml:space="preserve"> </w:t>
      </w:r>
      <w:r w:rsidRPr="00EF4855">
        <w:rPr>
          <w:rFonts w:ascii="Arial" w:hAnsi="Arial" w:cs="Arial"/>
          <w:sz w:val="22"/>
          <w:szCs w:val="22"/>
        </w:rPr>
        <w:t>while their paid cash bond amounted only to P95</w:t>
      </w:r>
      <w:r w:rsidR="00F50009" w:rsidRPr="00EF4855">
        <w:rPr>
          <w:rFonts w:ascii="Arial" w:hAnsi="Arial" w:cs="Arial"/>
          <w:sz w:val="22"/>
          <w:szCs w:val="22"/>
        </w:rPr>
        <w:t>.</w:t>
      </w:r>
      <w:r w:rsidRPr="00EF4855">
        <w:rPr>
          <w:rFonts w:ascii="Arial" w:hAnsi="Arial" w:cs="Arial"/>
          <w:sz w:val="22"/>
          <w:szCs w:val="22"/>
        </w:rPr>
        <w:t>530</w:t>
      </w:r>
      <w:r w:rsidR="00F50009" w:rsidRPr="00EF4855">
        <w:rPr>
          <w:rFonts w:ascii="Arial" w:hAnsi="Arial" w:cs="Arial"/>
          <w:sz w:val="22"/>
          <w:szCs w:val="22"/>
        </w:rPr>
        <w:t xml:space="preserve"> million </w:t>
      </w:r>
      <w:r w:rsidRPr="00EF4855">
        <w:rPr>
          <w:rFonts w:ascii="Arial" w:hAnsi="Arial" w:cs="Arial"/>
          <w:sz w:val="22"/>
          <w:szCs w:val="22"/>
        </w:rPr>
        <w:t>or a deficit of P983</w:t>
      </w:r>
      <w:r w:rsidR="00356139" w:rsidRPr="00EF4855">
        <w:rPr>
          <w:rFonts w:ascii="Arial" w:hAnsi="Arial" w:cs="Arial"/>
          <w:sz w:val="22"/>
          <w:szCs w:val="22"/>
        </w:rPr>
        <w:t>.</w:t>
      </w:r>
      <w:r w:rsidRPr="00EF4855">
        <w:rPr>
          <w:rFonts w:ascii="Arial" w:hAnsi="Arial" w:cs="Arial"/>
          <w:sz w:val="22"/>
          <w:szCs w:val="22"/>
        </w:rPr>
        <w:t>952</w:t>
      </w:r>
      <w:r w:rsidR="00356139" w:rsidRPr="00EF4855">
        <w:rPr>
          <w:rFonts w:ascii="Arial" w:hAnsi="Arial" w:cs="Arial"/>
          <w:sz w:val="22"/>
          <w:szCs w:val="22"/>
        </w:rPr>
        <w:t xml:space="preserve"> million</w:t>
      </w:r>
      <w:r w:rsidRPr="00EF4855">
        <w:rPr>
          <w:rFonts w:ascii="Arial" w:hAnsi="Arial" w:cs="Arial"/>
          <w:sz w:val="22"/>
          <w:szCs w:val="22"/>
        </w:rPr>
        <w:t xml:space="preserve"> in the event of cash bond forfeitures. </w:t>
      </w:r>
    </w:p>
    <w:p w:rsidR="00C42898" w:rsidRPr="00EF4855" w:rsidRDefault="00C42898" w:rsidP="00C42898">
      <w:pPr>
        <w:pStyle w:val="ListParagraph"/>
        <w:ind w:left="1296"/>
        <w:jc w:val="both"/>
        <w:rPr>
          <w:rFonts w:ascii="Arial" w:hAnsi="Arial" w:cs="Arial"/>
          <w:sz w:val="22"/>
          <w:szCs w:val="22"/>
        </w:rPr>
      </w:pPr>
    </w:p>
    <w:p w:rsidR="008865EB" w:rsidRPr="00EF4855" w:rsidRDefault="008865EB" w:rsidP="00DA78B4">
      <w:pPr>
        <w:pStyle w:val="ListParagraph"/>
        <w:numPr>
          <w:ilvl w:val="1"/>
          <w:numId w:val="21"/>
        </w:numPr>
        <w:ind w:left="1440"/>
        <w:jc w:val="both"/>
        <w:rPr>
          <w:rFonts w:ascii="Arial" w:hAnsi="Arial" w:cs="Arial"/>
          <w:sz w:val="22"/>
          <w:szCs w:val="22"/>
        </w:rPr>
      </w:pPr>
      <w:r w:rsidRPr="00EF4855">
        <w:rPr>
          <w:rFonts w:ascii="Arial" w:hAnsi="Arial" w:cs="Arial"/>
          <w:sz w:val="22"/>
          <w:szCs w:val="22"/>
        </w:rPr>
        <w:t>Had their cash bond deficiencies of P106</w:t>
      </w:r>
      <w:r w:rsidR="00356139" w:rsidRPr="00EF4855">
        <w:rPr>
          <w:rFonts w:ascii="Arial" w:hAnsi="Arial" w:cs="Arial"/>
          <w:sz w:val="22"/>
          <w:szCs w:val="22"/>
        </w:rPr>
        <w:t>.</w:t>
      </w:r>
      <w:r w:rsidRPr="00EF4855">
        <w:rPr>
          <w:rFonts w:ascii="Arial" w:hAnsi="Arial" w:cs="Arial"/>
          <w:sz w:val="22"/>
          <w:szCs w:val="22"/>
        </w:rPr>
        <w:t>34</w:t>
      </w:r>
      <w:r w:rsidR="00154063">
        <w:rPr>
          <w:rFonts w:ascii="Arial" w:hAnsi="Arial" w:cs="Arial"/>
          <w:sz w:val="22"/>
          <w:szCs w:val="22"/>
        </w:rPr>
        <w:t>9</w:t>
      </w:r>
      <w:r w:rsidR="00356139" w:rsidRPr="00EF4855">
        <w:rPr>
          <w:rFonts w:ascii="Arial" w:hAnsi="Arial" w:cs="Arial"/>
          <w:sz w:val="22"/>
          <w:szCs w:val="22"/>
        </w:rPr>
        <w:t xml:space="preserve"> million</w:t>
      </w:r>
      <w:r w:rsidRPr="00EF4855">
        <w:rPr>
          <w:rFonts w:ascii="Arial" w:hAnsi="Arial" w:cs="Arial"/>
          <w:sz w:val="22"/>
          <w:szCs w:val="22"/>
        </w:rPr>
        <w:t xml:space="preserve"> been fully settled, </w:t>
      </w:r>
      <w:r w:rsidR="003C51A9">
        <w:rPr>
          <w:rFonts w:ascii="Arial" w:hAnsi="Arial" w:cs="Arial"/>
          <w:sz w:val="22"/>
          <w:szCs w:val="22"/>
        </w:rPr>
        <w:t>the amounts</w:t>
      </w:r>
      <w:r w:rsidRPr="00EF4855">
        <w:rPr>
          <w:rFonts w:ascii="Arial" w:hAnsi="Arial" w:cs="Arial"/>
          <w:sz w:val="22"/>
          <w:szCs w:val="22"/>
        </w:rPr>
        <w:t xml:space="preserve"> could at least cover </w:t>
      </w:r>
      <w:r w:rsidR="003C51A9">
        <w:rPr>
          <w:rFonts w:ascii="Arial" w:hAnsi="Arial" w:cs="Arial"/>
          <w:sz w:val="22"/>
          <w:szCs w:val="22"/>
        </w:rPr>
        <w:t xml:space="preserve">whatever </w:t>
      </w:r>
      <w:r w:rsidRPr="00EF4855">
        <w:rPr>
          <w:rFonts w:ascii="Arial" w:hAnsi="Arial" w:cs="Arial"/>
          <w:sz w:val="22"/>
          <w:szCs w:val="22"/>
        </w:rPr>
        <w:t>PMRR shortfalls the</w:t>
      </w:r>
      <w:r w:rsidR="003C51A9">
        <w:rPr>
          <w:rFonts w:ascii="Arial" w:hAnsi="Arial" w:cs="Arial"/>
          <w:sz w:val="22"/>
          <w:szCs w:val="22"/>
        </w:rPr>
        <w:t>se</w:t>
      </w:r>
      <w:r w:rsidRPr="00EF4855">
        <w:rPr>
          <w:rFonts w:ascii="Arial" w:hAnsi="Arial" w:cs="Arial"/>
          <w:sz w:val="22"/>
          <w:szCs w:val="22"/>
        </w:rPr>
        <w:t xml:space="preserve"> AACs </w:t>
      </w:r>
      <w:r w:rsidR="003C51A9">
        <w:rPr>
          <w:rFonts w:ascii="Arial" w:hAnsi="Arial" w:cs="Arial"/>
          <w:sz w:val="22"/>
          <w:szCs w:val="22"/>
        </w:rPr>
        <w:t>would incur when it comes to a</w:t>
      </w:r>
      <w:r w:rsidRPr="00EF4855">
        <w:rPr>
          <w:rFonts w:ascii="Arial" w:hAnsi="Arial" w:cs="Arial"/>
          <w:sz w:val="22"/>
          <w:szCs w:val="22"/>
        </w:rPr>
        <w:t xml:space="preserve"> point </w:t>
      </w:r>
      <w:r w:rsidR="003C51A9">
        <w:rPr>
          <w:rFonts w:ascii="Arial" w:hAnsi="Arial" w:cs="Arial"/>
          <w:sz w:val="22"/>
          <w:szCs w:val="22"/>
        </w:rPr>
        <w:t xml:space="preserve">that they would default on the </w:t>
      </w:r>
      <w:r w:rsidR="006E1456">
        <w:rPr>
          <w:rFonts w:ascii="Arial" w:hAnsi="Arial" w:cs="Arial"/>
          <w:sz w:val="22"/>
          <w:szCs w:val="22"/>
        </w:rPr>
        <w:t>remittance</w:t>
      </w:r>
      <w:r w:rsidR="003C51A9">
        <w:rPr>
          <w:rFonts w:ascii="Arial" w:hAnsi="Arial" w:cs="Arial"/>
          <w:sz w:val="22"/>
          <w:szCs w:val="22"/>
        </w:rPr>
        <w:t xml:space="preserve"> of </w:t>
      </w:r>
      <w:r w:rsidR="006E1456">
        <w:rPr>
          <w:rFonts w:ascii="Arial" w:hAnsi="Arial" w:cs="Arial"/>
          <w:sz w:val="22"/>
          <w:szCs w:val="22"/>
        </w:rPr>
        <w:t xml:space="preserve">their </w:t>
      </w:r>
      <w:r w:rsidR="003C51A9">
        <w:rPr>
          <w:rFonts w:ascii="Arial" w:hAnsi="Arial" w:cs="Arial"/>
          <w:sz w:val="22"/>
          <w:szCs w:val="22"/>
        </w:rPr>
        <w:t>PMRR.</w:t>
      </w:r>
    </w:p>
    <w:p w:rsidR="00D53214" w:rsidRPr="00EF4855" w:rsidRDefault="00D53214" w:rsidP="00D53214">
      <w:pPr>
        <w:pStyle w:val="ListParagraph"/>
        <w:ind w:left="1296"/>
        <w:jc w:val="both"/>
        <w:rPr>
          <w:rFonts w:ascii="Arial" w:hAnsi="Arial" w:cs="Arial"/>
          <w:sz w:val="22"/>
          <w:szCs w:val="22"/>
        </w:rPr>
      </w:pPr>
    </w:p>
    <w:p w:rsidR="006E1456" w:rsidRDefault="008865EB" w:rsidP="00DA78B4">
      <w:pPr>
        <w:pStyle w:val="ListParagraph"/>
        <w:numPr>
          <w:ilvl w:val="1"/>
          <w:numId w:val="21"/>
        </w:numPr>
        <w:ind w:left="1440"/>
        <w:jc w:val="both"/>
        <w:rPr>
          <w:rFonts w:ascii="Arial" w:hAnsi="Arial" w:cs="Arial"/>
          <w:b/>
          <w:sz w:val="22"/>
          <w:szCs w:val="22"/>
        </w:rPr>
      </w:pPr>
      <w:r w:rsidRPr="001A7C49">
        <w:rPr>
          <w:rFonts w:ascii="Arial" w:hAnsi="Arial" w:cs="Arial"/>
          <w:b/>
          <w:sz w:val="22"/>
          <w:szCs w:val="22"/>
        </w:rPr>
        <w:t>We recommend</w:t>
      </w:r>
      <w:r w:rsidR="004808C1" w:rsidRPr="001A7C49">
        <w:rPr>
          <w:rFonts w:ascii="Arial" w:hAnsi="Arial" w:cs="Arial"/>
          <w:b/>
          <w:sz w:val="22"/>
          <w:szCs w:val="22"/>
        </w:rPr>
        <w:t>ed</w:t>
      </w:r>
      <w:r w:rsidRPr="001A7C49">
        <w:rPr>
          <w:rFonts w:ascii="Arial" w:hAnsi="Arial" w:cs="Arial"/>
          <w:b/>
          <w:sz w:val="22"/>
          <w:szCs w:val="22"/>
        </w:rPr>
        <w:t xml:space="preserve"> that Management</w:t>
      </w:r>
      <w:r w:rsidR="006E1456">
        <w:rPr>
          <w:rFonts w:ascii="Arial" w:hAnsi="Arial" w:cs="Arial"/>
          <w:b/>
          <w:sz w:val="22"/>
          <w:szCs w:val="22"/>
        </w:rPr>
        <w:t>:</w:t>
      </w:r>
    </w:p>
    <w:p w:rsidR="006E1456" w:rsidRPr="006E1456" w:rsidRDefault="006E1456" w:rsidP="006E1456">
      <w:pPr>
        <w:pStyle w:val="ListParagraph"/>
        <w:rPr>
          <w:rFonts w:ascii="Arial" w:hAnsi="Arial" w:cs="Arial"/>
          <w:b/>
          <w:sz w:val="22"/>
          <w:szCs w:val="22"/>
        </w:rPr>
      </w:pPr>
    </w:p>
    <w:p w:rsidR="006E1456" w:rsidRDefault="006E1456" w:rsidP="00DA78B4">
      <w:pPr>
        <w:pStyle w:val="ListParagraph"/>
        <w:numPr>
          <w:ilvl w:val="0"/>
          <w:numId w:val="28"/>
        </w:numPr>
        <w:ind w:left="1980" w:hanging="540"/>
        <w:jc w:val="both"/>
        <w:rPr>
          <w:rFonts w:ascii="Arial" w:hAnsi="Arial" w:cs="Arial"/>
          <w:b/>
          <w:sz w:val="22"/>
          <w:szCs w:val="22"/>
        </w:rPr>
      </w:pPr>
      <w:r>
        <w:rPr>
          <w:rFonts w:ascii="Arial" w:hAnsi="Arial" w:cs="Arial"/>
          <w:b/>
          <w:sz w:val="22"/>
          <w:szCs w:val="22"/>
        </w:rPr>
        <w:t>E</w:t>
      </w:r>
      <w:r w:rsidR="008865EB" w:rsidRPr="001A7C49">
        <w:rPr>
          <w:rFonts w:ascii="Arial" w:hAnsi="Arial" w:cs="Arial"/>
          <w:b/>
          <w:sz w:val="22"/>
          <w:szCs w:val="22"/>
        </w:rPr>
        <w:t>nforce collections of the cash bond deficiencies totaling P106</w:t>
      </w:r>
      <w:r w:rsidR="00356139" w:rsidRPr="001A7C49">
        <w:rPr>
          <w:rFonts w:ascii="Arial" w:hAnsi="Arial" w:cs="Arial"/>
          <w:b/>
          <w:sz w:val="22"/>
          <w:szCs w:val="22"/>
        </w:rPr>
        <w:t>.</w:t>
      </w:r>
      <w:r w:rsidR="008865EB" w:rsidRPr="001A7C49">
        <w:rPr>
          <w:rFonts w:ascii="Arial" w:hAnsi="Arial" w:cs="Arial"/>
          <w:b/>
          <w:sz w:val="22"/>
          <w:szCs w:val="22"/>
        </w:rPr>
        <w:t>34</w:t>
      </w:r>
      <w:r w:rsidR="00154063">
        <w:rPr>
          <w:rFonts w:ascii="Arial" w:hAnsi="Arial" w:cs="Arial"/>
          <w:b/>
          <w:sz w:val="22"/>
          <w:szCs w:val="22"/>
        </w:rPr>
        <w:t>9</w:t>
      </w:r>
      <w:r w:rsidR="00356139" w:rsidRPr="001A7C49">
        <w:rPr>
          <w:rFonts w:ascii="Arial" w:hAnsi="Arial" w:cs="Arial"/>
          <w:b/>
          <w:sz w:val="22"/>
          <w:szCs w:val="22"/>
        </w:rPr>
        <w:t xml:space="preserve"> million</w:t>
      </w:r>
      <w:r w:rsidR="008865EB" w:rsidRPr="001A7C49">
        <w:rPr>
          <w:rFonts w:ascii="Arial" w:hAnsi="Arial" w:cs="Arial"/>
          <w:b/>
          <w:sz w:val="22"/>
          <w:szCs w:val="22"/>
        </w:rPr>
        <w:t xml:space="preserve"> from the subject AACs</w:t>
      </w:r>
      <w:r w:rsidR="00F5678F">
        <w:rPr>
          <w:rFonts w:ascii="Arial" w:hAnsi="Arial" w:cs="Arial"/>
          <w:b/>
          <w:sz w:val="22"/>
          <w:szCs w:val="22"/>
        </w:rPr>
        <w:t>/ASAs</w:t>
      </w:r>
      <w:r w:rsidR="008865EB" w:rsidRPr="001A7C49">
        <w:rPr>
          <w:rFonts w:ascii="Arial" w:hAnsi="Arial" w:cs="Arial"/>
          <w:b/>
          <w:sz w:val="22"/>
          <w:szCs w:val="22"/>
        </w:rPr>
        <w:t xml:space="preserve"> to answer for whatever PMRR shortfall due to PCSO that may</w:t>
      </w:r>
      <w:r w:rsidR="009468C3">
        <w:rPr>
          <w:rFonts w:ascii="Arial" w:hAnsi="Arial" w:cs="Arial"/>
          <w:b/>
          <w:sz w:val="22"/>
          <w:szCs w:val="22"/>
        </w:rPr>
        <w:t xml:space="preserve"> not be remitted in the future; and</w:t>
      </w:r>
      <w:r w:rsidR="008865EB" w:rsidRPr="001A7C49">
        <w:rPr>
          <w:rFonts w:ascii="Arial" w:hAnsi="Arial" w:cs="Arial"/>
          <w:b/>
          <w:sz w:val="22"/>
          <w:szCs w:val="22"/>
        </w:rPr>
        <w:t xml:space="preserve"> </w:t>
      </w:r>
    </w:p>
    <w:p w:rsidR="006E1456" w:rsidRDefault="006E1456" w:rsidP="006E1456">
      <w:pPr>
        <w:pStyle w:val="ListParagraph"/>
        <w:ind w:left="1980" w:hanging="540"/>
        <w:jc w:val="both"/>
        <w:rPr>
          <w:rFonts w:ascii="Arial" w:hAnsi="Arial" w:cs="Arial"/>
          <w:b/>
          <w:sz w:val="22"/>
          <w:szCs w:val="22"/>
        </w:rPr>
      </w:pPr>
    </w:p>
    <w:p w:rsidR="008865EB" w:rsidRPr="001A7C49" w:rsidRDefault="006E1456" w:rsidP="00DA78B4">
      <w:pPr>
        <w:pStyle w:val="ListParagraph"/>
        <w:numPr>
          <w:ilvl w:val="0"/>
          <w:numId w:val="28"/>
        </w:numPr>
        <w:ind w:left="1980" w:hanging="540"/>
        <w:jc w:val="both"/>
        <w:rPr>
          <w:rFonts w:ascii="Arial" w:hAnsi="Arial" w:cs="Arial"/>
          <w:b/>
          <w:sz w:val="22"/>
          <w:szCs w:val="22"/>
        </w:rPr>
      </w:pPr>
      <w:r>
        <w:rPr>
          <w:rFonts w:ascii="Arial" w:hAnsi="Arial" w:cs="Arial"/>
          <w:b/>
          <w:sz w:val="22"/>
          <w:szCs w:val="22"/>
        </w:rPr>
        <w:lastRenderedPageBreak/>
        <w:t>U</w:t>
      </w:r>
      <w:r w:rsidR="008865EB" w:rsidRPr="001A7C49">
        <w:rPr>
          <w:rFonts w:ascii="Arial" w:hAnsi="Arial" w:cs="Arial"/>
          <w:b/>
          <w:sz w:val="22"/>
          <w:szCs w:val="22"/>
        </w:rPr>
        <w:t>ndertake appropriate actions under the circumstances in accordance with Section 17 of the R</w:t>
      </w:r>
      <w:r>
        <w:rPr>
          <w:rFonts w:ascii="Arial" w:hAnsi="Arial" w:cs="Arial"/>
          <w:b/>
          <w:sz w:val="22"/>
          <w:szCs w:val="22"/>
        </w:rPr>
        <w:t xml:space="preserve">evised </w:t>
      </w:r>
      <w:r w:rsidR="008865EB" w:rsidRPr="001A7C49">
        <w:rPr>
          <w:rFonts w:ascii="Arial" w:hAnsi="Arial" w:cs="Arial"/>
          <w:b/>
          <w:sz w:val="22"/>
          <w:szCs w:val="22"/>
        </w:rPr>
        <w:t>IRR for the STL to protect the interest of the PCSO.</w:t>
      </w:r>
    </w:p>
    <w:p w:rsidR="004F3F00" w:rsidRPr="00EF4855" w:rsidRDefault="004F3F00" w:rsidP="004F3F00">
      <w:pPr>
        <w:pStyle w:val="ListParagraph"/>
        <w:rPr>
          <w:rFonts w:ascii="Arial" w:hAnsi="Arial" w:cs="Arial"/>
          <w:sz w:val="22"/>
          <w:szCs w:val="22"/>
        </w:rPr>
      </w:pPr>
    </w:p>
    <w:p w:rsidR="0093322F" w:rsidRPr="00EF4855" w:rsidRDefault="0093322F" w:rsidP="00DA78B4">
      <w:pPr>
        <w:pStyle w:val="ListParagraph"/>
        <w:numPr>
          <w:ilvl w:val="1"/>
          <w:numId w:val="21"/>
        </w:numPr>
        <w:ind w:left="1440"/>
        <w:jc w:val="both"/>
        <w:rPr>
          <w:rFonts w:ascii="Arial" w:hAnsi="Arial" w:cs="Arial"/>
          <w:sz w:val="22"/>
          <w:szCs w:val="22"/>
        </w:rPr>
      </w:pPr>
      <w:r w:rsidRPr="005943AE">
        <w:rPr>
          <w:rFonts w:ascii="Arial" w:hAnsi="Arial" w:cs="Arial"/>
          <w:sz w:val="22"/>
          <w:szCs w:val="22"/>
        </w:rPr>
        <w:t>Management</w:t>
      </w:r>
      <w:r w:rsidRPr="00EF4855">
        <w:rPr>
          <w:rFonts w:ascii="Arial" w:hAnsi="Arial" w:cs="Arial"/>
          <w:sz w:val="22"/>
          <w:szCs w:val="22"/>
        </w:rPr>
        <w:t xml:space="preserve"> commented that the CGCC is operating under Writ of Preliminary Injunction (WPI) where several notices were sent for replenishment of its Cash Bond and settlement of its obligations.  However, PCSO cannot impose sanctions due to WPI and the case was already referred to </w:t>
      </w:r>
      <w:r w:rsidR="00962806">
        <w:rPr>
          <w:rFonts w:ascii="Arial" w:hAnsi="Arial" w:cs="Arial"/>
          <w:sz w:val="22"/>
          <w:szCs w:val="22"/>
        </w:rPr>
        <w:t xml:space="preserve">the </w:t>
      </w:r>
      <w:r w:rsidRPr="00EF4855">
        <w:rPr>
          <w:rFonts w:ascii="Arial" w:hAnsi="Arial" w:cs="Arial"/>
          <w:sz w:val="22"/>
          <w:szCs w:val="22"/>
        </w:rPr>
        <w:t>Legal Department for arbitration.</w:t>
      </w:r>
      <w:r w:rsidR="006C345B" w:rsidRPr="00EF4855">
        <w:rPr>
          <w:rFonts w:ascii="Arial" w:hAnsi="Arial" w:cs="Arial"/>
          <w:sz w:val="22"/>
          <w:szCs w:val="22"/>
        </w:rPr>
        <w:t xml:space="preserve">  In the case of </w:t>
      </w:r>
      <w:r w:rsidRPr="00EF4855">
        <w:rPr>
          <w:rFonts w:ascii="Arial" w:hAnsi="Arial" w:cs="Arial"/>
          <w:sz w:val="22"/>
          <w:szCs w:val="22"/>
        </w:rPr>
        <w:t>SC, a notice of non-renewal dated May 6, 2019 was sent for non-settlement of its outstanding obligations</w:t>
      </w:r>
      <w:r w:rsidR="006C345B" w:rsidRPr="00EF4855">
        <w:rPr>
          <w:rFonts w:ascii="Arial" w:hAnsi="Arial" w:cs="Arial"/>
          <w:sz w:val="22"/>
          <w:szCs w:val="22"/>
        </w:rPr>
        <w:t xml:space="preserve"> and </w:t>
      </w:r>
      <w:r w:rsidRPr="00EF4855">
        <w:rPr>
          <w:rFonts w:ascii="Arial" w:hAnsi="Arial" w:cs="Arial"/>
          <w:sz w:val="22"/>
          <w:szCs w:val="22"/>
        </w:rPr>
        <w:t>has been directed to wind down its operations within thirty (30) days upon receipt of the notice and to cease conducting STL activities.  The notice was received by S</w:t>
      </w:r>
      <w:r w:rsidR="006E1456">
        <w:rPr>
          <w:rFonts w:ascii="Arial" w:hAnsi="Arial" w:cs="Arial"/>
          <w:sz w:val="22"/>
          <w:szCs w:val="22"/>
        </w:rPr>
        <w:t>C</w:t>
      </w:r>
      <w:r w:rsidRPr="00EF4855">
        <w:rPr>
          <w:rFonts w:ascii="Arial" w:hAnsi="Arial" w:cs="Arial"/>
          <w:sz w:val="22"/>
          <w:szCs w:val="22"/>
        </w:rPr>
        <w:t xml:space="preserve"> on May 24, 2019.</w:t>
      </w:r>
      <w:r w:rsidR="00962806">
        <w:rPr>
          <w:rFonts w:ascii="Arial" w:hAnsi="Arial" w:cs="Arial"/>
          <w:sz w:val="22"/>
          <w:szCs w:val="22"/>
        </w:rPr>
        <w:t xml:space="preserve"> </w:t>
      </w:r>
      <w:r w:rsidR="006C345B" w:rsidRPr="00EF4855">
        <w:rPr>
          <w:rFonts w:ascii="Arial" w:hAnsi="Arial" w:cs="Arial"/>
          <w:sz w:val="22"/>
          <w:szCs w:val="22"/>
        </w:rPr>
        <w:t xml:space="preserve">For </w:t>
      </w:r>
      <w:r w:rsidRPr="00EF4855">
        <w:rPr>
          <w:rFonts w:ascii="Arial" w:hAnsi="Arial" w:cs="Arial"/>
          <w:sz w:val="22"/>
          <w:szCs w:val="22"/>
        </w:rPr>
        <w:t>GE</w:t>
      </w:r>
      <w:r w:rsidR="006E1456">
        <w:rPr>
          <w:rFonts w:ascii="Arial" w:hAnsi="Arial" w:cs="Arial"/>
          <w:sz w:val="22"/>
          <w:szCs w:val="22"/>
        </w:rPr>
        <w:t>L</w:t>
      </w:r>
      <w:r w:rsidRPr="00EF4855">
        <w:rPr>
          <w:rFonts w:ascii="Arial" w:hAnsi="Arial" w:cs="Arial"/>
          <w:sz w:val="22"/>
          <w:szCs w:val="22"/>
        </w:rPr>
        <w:t>SGC</w:t>
      </w:r>
      <w:r w:rsidR="00F027F1" w:rsidRPr="00EF4855">
        <w:rPr>
          <w:rFonts w:ascii="Arial" w:hAnsi="Arial" w:cs="Arial"/>
          <w:sz w:val="22"/>
          <w:szCs w:val="22"/>
        </w:rPr>
        <w:t>,</w:t>
      </w:r>
      <w:r w:rsidR="006C345B" w:rsidRPr="00EF4855">
        <w:rPr>
          <w:rFonts w:ascii="Arial" w:hAnsi="Arial" w:cs="Arial"/>
          <w:sz w:val="22"/>
          <w:szCs w:val="22"/>
        </w:rPr>
        <w:t xml:space="preserve"> its</w:t>
      </w:r>
      <w:r w:rsidRPr="00EF4855">
        <w:rPr>
          <w:rFonts w:ascii="Arial" w:hAnsi="Arial" w:cs="Arial"/>
          <w:sz w:val="22"/>
          <w:szCs w:val="22"/>
        </w:rPr>
        <w:t xml:space="preserve"> authority to operate STL was terminated with finality pursuant to Board Resolution No. 0481</w:t>
      </w:r>
      <w:r w:rsidR="006E1456">
        <w:rPr>
          <w:rFonts w:ascii="Arial" w:hAnsi="Arial" w:cs="Arial"/>
          <w:sz w:val="22"/>
          <w:szCs w:val="22"/>
        </w:rPr>
        <w:t>,</w:t>
      </w:r>
      <w:r w:rsidRPr="00EF4855">
        <w:rPr>
          <w:rFonts w:ascii="Arial" w:hAnsi="Arial" w:cs="Arial"/>
          <w:sz w:val="22"/>
          <w:szCs w:val="22"/>
        </w:rPr>
        <w:t xml:space="preserve"> s. 2018. </w:t>
      </w:r>
      <w:r w:rsidR="006C345B" w:rsidRPr="00EF4855">
        <w:rPr>
          <w:rFonts w:ascii="Arial" w:hAnsi="Arial" w:cs="Arial"/>
          <w:sz w:val="22"/>
          <w:szCs w:val="22"/>
        </w:rPr>
        <w:t xml:space="preserve"> Its</w:t>
      </w:r>
      <w:r w:rsidRPr="00EF4855">
        <w:rPr>
          <w:rFonts w:ascii="Arial" w:hAnsi="Arial" w:cs="Arial"/>
          <w:sz w:val="22"/>
          <w:szCs w:val="22"/>
        </w:rPr>
        <w:t xml:space="preserve"> last day of operation was on December 10, 2018 and the remaining Cash Bond was already forfeited.</w:t>
      </w:r>
    </w:p>
    <w:p w:rsidR="00F027F1" w:rsidRPr="00EF4855" w:rsidRDefault="00F027F1" w:rsidP="00F027F1">
      <w:pPr>
        <w:pStyle w:val="ListParagraph"/>
        <w:rPr>
          <w:rFonts w:ascii="Arial" w:hAnsi="Arial" w:cs="Arial"/>
          <w:sz w:val="22"/>
          <w:szCs w:val="22"/>
        </w:rPr>
      </w:pPr>
    </w:p>
    <w:p w:rsidR="00C872B5" w:rsidRPr="00B64B09" w:rsidRDefault="00C872B5" w:rsidP="004F6C55">
      <w:pPr>
        <w:pStyle w:val="ListParagraph"/>
        <w:ind w:left="1170"/>
        <w:jc w:val="both"/>
        <w:rPr>
          <w:rFonts w:ascii="Arial" w:hAnsi="Arial" w:cs="Arial"/>
        </w:rPr>
      </w:pPr>
    </w:p>
    <w:p w:rsidR="00DC44A2" w:rsidRPr="003E692D" w:rsidRDefault="00DC44A2" w:rsidP="00DA78B4">
      <w:pPr>
        <w:pStyle w:val="ListParagraph"/>
        <w:numPr>
          <w:ilvl w:val="0"/>
          <w:numId w:val="21"/>
        </w:numPr>
        <w:ind w:left="720" w:hanging="720"/>
        <w:jc w:val="both"/>
        <w:rPr>
          <w:rFonts w:ascii="Arial" w:hAnsi="Arial" w:cs="Arial"/>
          <w:b/>
          <w:color w:val="000000" w:themeColor="text1"/>
        </w:rPr>
      </w:pPr>
      <w:r w:rsidRPr="003E692D">
        <w:rPr>
          <w:rFonts w:ascii="Arial" w:hAnsi="Arial" w:cs="Arial"/>
          <w:b/>
          <w:color w:val="000000" w:themeColor="text1"/>
          <w:sz w:val="22"/>
          <w:szCs w:val="22"/>
        </w:rPr>
        <w:t>Copies</w:t>
      </w:r>
      <w:r w:rsidR="00962806" w:rsidRPr="003E692D">
        <w:rPr>
          <w:rFonts w:ascii="Arial" w:hAnsi="Arial" w:cs="Arial"/>
          <w:b/>
          <w:color w:val="000000" w:themeColor="text1"/>
          <w:sz w:val="22"/>
          <w:szCs w:val="22"/>
        </w:rPr>
        <w:t xml:space="preserve"> of </w:t>
      </w:r>
      <w:r w:rsidR="003E692D" w:rsidRPr="003E692D">
        <w:rPr>
          <w:rFonts w:ascii="Arial" w:hAnsi="Arial" w:cs="Arial"/>
          <w:b/>
          <w:color w:val="000000" w:themeColor="text1"/>
          <w:sz w:val="22"/>
          <w:szCs w:val="22"/>
        </w:rPr>
        <w:t>twenty-five</w:t>
      </w:r>
      <w:r w:rsidR="00962806" w:rsidRPr="003E692D">
        <w:rPr>
          <w:rFonts w:ascii="Arial" w:hAnsi="Arial" w:cs="Arial"/>
          <w:b/>
          <w:color w:val="000000" w:themeColor="text1"/>
          <w:sz w:val="22"/>
          <w:szCs w:val="22"/>
        </w:rPr>
        <w:t xml:space="preserve"> (</w:t>
      </w:r>
      <w:r w:rsidR="003E692D" w:rsidRPr="003E692D">
        <w:rPr>
          <w:rFonts w:ascii="Arial" w:hAnsi="Arial" w:cs="Arial"/>
          <w:b/>
          <w:color w:val="000000" w:themeColor="text1"/>
          <w:sz w:val="22"/>
          <w:szCs w:val="22"/>
        </w:rPr>
        <w:t>25</w:t>
      </w:r>
      <w:r w:rsidRPr="003E692D">
        <w:rPr>
          <w:rFonts w:ascii="Arial" w:hAnsi="Arial" w:cs="Arial"/>
          <w:b/>
          <w:color w:val="000000" w:themeColor="text1"/>
          <w:sz w:val="22"/>
          <w:szCs w:val="22"/>
        </w:rPr>
        <w:t>) contracts</w:t>
      </w:r>
      <w:r w:rsidR="00962806" w:rsidRPr="003E692D">
        <w:rPr>
          <w:rFonts w:ascii="Arial" w:hAnsi="Arial" w:cs="Arial"/>
          <w:b/>
          <w:color w:val="000000" w:themeColor="text1"/>
          <w:sz w:val="22"/>
          <w:szCs w:val="22"/>
        </w:rPr>
        <w:t xml:space="preserve"> </w:t>
      </w:r>
      <w:r w:rsidR="00C1447E" w:rsidRPr="003E692D">
        <w:rPr>
          <w:rFonts w:ascii="Arial" w:hAnsi="Arial" w:cs="Arial"/>
          <w:b/>
          <w:color w:val="000000" w:themeColor="text1"/>
          <w:sz w:val="22"/>
          <w:szCs w:val="22"/>
        </w:rPr>
        <w:t xml:space="preserve">executed by PCSO during </w:t>
      </w:r>
      <w:r w:rsidR="00962806" w:rsidRPr="003E692D">
        <w:rPr>
          <w:rFonts w:ascii="Arial" w:hAnsi="Arial" w:cs="Arial"/>
          <w:b/>
          <w:color w:val="000000" w:themeColor="text1"/>
          <w:sz w:val="22"/>
          <w:szCs w:val="22"/>
        </w:rPr>
        <w:t>CY</w:t>
      </w:r>
      <w:r w:rsidR="00C1447E" w:rsidRPr="003E692D">
        <w:rPr>
          <w:rFonts w:ascii="Arial" w:hAnsi="Arial" w:cs="Arial"/>
          <w:b/>
          <w:color w:val="000000" w:themeColor="text1"/>
          <w:sz w:val="22"/>
          <w:szCs w:val="22"/>
        </w:rPr>
        <w:t>s</w:t>
      </w:r>
      <w:r w:rsidR="00962806" w:rsidRPr="003E692D">
        <w:rPr>
          <w:rFonts w:ascii="Arial" w:hAnsi="Arial" w:cs="Arial"/>
          <w:b/>
          <w:color w:val="000000" w:themeColor="text1"/>
          <w:sz w:val="22"/>
          <w:szCs w:val="22"/>
        </w:rPr>
        <w:t xml:space="preserve"> 2017 and 2018</w:t>
      </w:r>
      <w:r w:rsidR="00C1447E" w:rsidRPr="003E692D">
        <w:rPr>
          <w:rFonts w:ascii="Arial" w:hAnsi="Arial" w:cs="Arial"/>
          <w:b/>
          <w:color w:val="000000" w:themeColor="text1"/>
          <w:sz w:val="22"/>
          <w:szCs w:val="22"/>
        </w:rPr>
        <w:t xml:space="preserve"> in the total amount of P131.480 million</w:t>
      </w:r>
      <w:r w:rsidRPr="003E692D">
        <w:rPr>
          <w:rFonts w:ascii="Arial" w:hAnsi="Arial" w:cs="Arial"/>
          <w:b/>
          <w:color w:val="000000" w:themeColor="text1"/>
          <w:sz w:val="22"/>
          <w:szCs w:val="22"/>
        </w:rPr>
        <w:t xml:space="preserve"> </w:t>
      </w:r>
      <w:r w:rsidR="00C1447E" w:rsidRPr="003E692D">
        <w:rPr>
          <w:rFonts w:ascii="Arial" w:hAnsi="Arial" w:cs="Arial"/>
          <w:b/>
          <w:color w:val="000000" w:themeColor="text1"/>
          <w:sz w:val="22"/>
          <w:szCs w:val="22"/>
        </w:rPr>
        <w:t xml:space="preserve">together with the </w:t>
      </w:r>
      <w:r w:rsidR="00592556" w:rsidRPr="003E692D">
        <w:rPr>
          <w:rFonts w:ascii="Arial" w:hAnsi="Arial" w:cs="Arial"/>
          <w:b/>
          <w:color w:val="000000" w:themeColor="text1"/>
          <w:sz w:val="22"/>
          <w:szCs w:val="22"/>
        </w:rPr>
        <w:t>pertinent supporting</w:t>
      </w:r>
      <w:r w:rsidRPr="003E692D">
        <w:rPr>
          <w:rFonts w:ascii="Arial" w:hAnsi="Arial" w:cs="Arial"/>
          <w:b/>
          <w:color w:val="000000" w:themeColor="text1"/>
          <w:sz w:val="22"/>
          <w:szCs w:val="22"/>
        </w:rPr>
        <w:t xml:space="preserve"> documents </w:t>
      </w:r>
      <w:r w:rsidR="00C1447E" w:rsidRPr="003E692D">
        <w:rPr>
          <w:rFonts w:ascii="Arial" w:hAnsi="Arial" w:cs="Arial"/>
          <w:b/>
          <w:color w:val="000000" w:themeColor="text1"/>
          <w:sz w:val="22"/>
          <w:szCs w:val="22"/>
        </w:rPr>
        <w:t xml:space="preserve">were not furnished to the Office of the </w:t>
      </w:r>
      <w:r w:rsidR="00592556" w:rsidRPr="003E692D">
        <w:rPr>
          <w:rFonts w:ascii="Arial" w:hAnsi="Arial" w:cs="Arial"/>
          <w:b/>
          <w:color w:val="000000" w:themeColor="text1"/>
          <w:sz w:val="22"/>
          <w:szCs w:val="22"/>
        </w:rPr>
        <w:t>Auditor within</w:t>
      </w:r>
      <w:r w:rsidRPr="003E692D">
        <w:rPr>
          <w:rFonts w:ascii="Arial" w:hAnsi="Arial" w:cs="Arial"/>
          <w:b/>
          <w:color w:val="000000" w:themeColor="text1"/>
          <w:sz w:val="22"/>
          <w:szCs w:val="22"/>
        </w:rPr>
        <w:t xml:space="preserve"> five (5) working days upon execution thereof, contrary to Section 3.1.1 of COA Circular No. 2009-001, thereby precluding the Audit Team from conducting timely review and evaluation of the </w:t>
      </w:r>
      <w:r w:rsidR="00C1447E" w:rsidRPr="003E692D">
        <w:rPr>
          <w:rFonts w:ascii="Arial" w:hAnsi="Arial" w:cs="Arial"/>
          <w:b/>
          <w:color w:val="000000" w:themeColor="text1"/>
          <w:sz w:val="22"/>
          <w:szCs w:val="22"/>
        </w:rPr>
        <w:t xml:space="preserve">said </w:t>
      </w:r>
      <w:r w:rsidRPr="003E692D">
        <w:rPr>
          <w:rFonts w:ascii="Arial" w:hAnsi="Arial" w:cs="Arial"/>
          <w:b/>
          <w:color w:val="000000" w:themeColor="text1"/>
          <w:sz w:val="22"/>
          <w:szCs w:val="22"/>
        </w:rPr>
        <w:t>contracts</w:t>
      </w:r>
      <w:r w:rsidR="00C1447E" w:rsidRPr="003E692D">
        <w:rPr>
          <w:rFonts w:ascii="Arial" w:hAnsi="Arial" w:cs="Arial"/>
          <w:b/>
          <w:color w:val="000000" w:themeColor="text1"/>
          <w:sz w:val="22"/>
          <w:szCs w:val="22"/>
        </w:rPr>
        <w:t xml:space="preserve">. </w:t>
      </w:r>
    </w:p>
    <w:p w:rsidR="00C1447E" w:rsidRPr="00C1447E" w:rsidRDefault="00C1447E" w:rsidP="00C1447E">
      <w:pPr>
        <w:pStyle w:val="ListParagraph"/>
        <w:ind w:left="576"/>
        <w:jc w:val="both"/>
        <w:rPr>
          <w:rFonts w:ascii="Arial" w:hAnsi="Arial" w:cs="Arial"/>
          <w:b/>
        </w:rPr>
      </w:pPr>
    </w:p>
    <w:p w:rsidR="00DC44A2" w:rsidRDefault="00DC44A2" w:rsidP="00DA78B4">
      <w:pPr>
        <w:pStyle w:val="ListParagraph"/>
        <w:numPr>
          <w:ilvl w:val="1"/>
          <w:numId w:val="21"/>
        </w:numPr>
        <w:ind w:left="1440"/>
        <w:jc w:val="both"/>
        <w:rPr>
          <w:rFonts w:ascii="Arial" w:hAnsi="Arial" w:cs="Arial"/>
          <w:sz w:val="22"/>
          <w:szCs w:val="22"/>
        </w:rPr>
      </w:pPr>
      <w:r w:rsidRPr="00554B8A">
        <w:rPr>
          <w:rFonts w:ascii="Arial" w:hAnsi="Arial" w:cs="Arial"/>
          <w:sz w:val="22"/>
          <w:szCs w:val="22"/>
        </w:rPr>
        <w:t>Section</w:t>
      </w:r>
      <w:r w:rsidRPr="00EF4855">
        <w:rPr>
          <w:rFonts w:ascii="Arial" w:hAnsi="Arial" w:cs="Arial"/>
          <w:sz w:val="22"/>
          <w:szCs w:val="22"/>
        </w:rPr>
        <w:t xml:space="preserve"> 3.1.1 of COA Circular No. 2009-001 date</w:t>
      </w:r>
      <w:r w:rsidR="00361F64">
        <w:rPr>
          <w:rFonts w:ascii="Arial" w:hAnsi="Arial" w:cs="Arial"/>
          <w:sz w:val="22"/>
          <w:szCs w:val="22"/>
        </w:rPr>
        <w:t>d February 12, 2009  states</w:t>
      </w:r>
      <w:r w:rsidRPr="00EF4855">
        <w:rPr>
          <w:rFonts w:ascii="Arial" w:hAnsi="Arial" w:cs="Arial"/>
          <w:sz w:val="22"/>
          <w:szCs w:val="22"/>
        </w:rPr>
        <w:t xml:space="preserve">: </w:t>
      </w:r>
    </w:p>
    <w:p w:rsidR="00554B8A" w:rsidRPr="00EF4855" w:rsidRDefault="00554B8A" w:rsidP="004F6C55">
      <w:pPr>
        <w:pStyle w:val="ListParagraph"/>
        <w:ind w:left="1170"/>
        <w:jc w:val="both"/>
        <w:rPr>
          <w:rFonts w:ascii="Arial" w:hAnsi="Arial" w:cs="Arial"/>
          <w:sz w:val="22"/>
          <w:szCs w:val="22"/>
        </w:rPr>
      </w:pPr>
    </w:p>
    <w:p w:rsidR="00DC44A2" w:rsidRPr="00EF4855" w:rsidRDefault="00DC44A2" w:rsidP="006E1456">
      <w:pPr>
        <w:pStyle w:val="NoSpacing"/>
        <w:ind w:left="1800" w:right="720"/>
        <w:jc w:val="both"/>
        <w:rPr>
          <w:rStyle w:val="NoSpacingChar"/>
          <w:rFonts w:ascii="Arial" w:hAnsi="Arial" w:cs="Arial"/>
          <w:i/>
          <w:color w:val="000000"/>
        </w:rPr>
      </w:pPr>
      <w:r w:rsidRPr="00EF4855">
        <w:rPr>
          <w:rStyle w:val="NoSpacingChar"/>
          <w:rFonts w:ascii="Arial" w:hAnsi="Arial" w:cs="Arial"/>
          <w:i/>
          <w:color w:val="000000"/>
        </w:rPr>
        <w:t>Within five (5) working days from the execution of a contract by the government or any of its subdivisions, agencies or instrumentalities, including government-owned and controlled corporations and their subsidiaries, a copy of said contract and each of all documents forming part thereof by reference or incorporation shall be furnished to the Auditor of the agency concerned. Xxx</w:t>
      </w:r>
      <w:r w:rsidR="006E1456">
        <w:rPr>
          <w:rStyle w:val="NoSpacingChar"/>
          <w:rFonts w:ascii="Arial" w:hAnsi="Arial" w:cs="Arial"/>
          <w:i/>
          <w:color w:val="000000"/>
        </w:rPr>
        <w:t>.</w:t>
      </w:r>
    </w:p>
    <w:p w:rsidR="00DC44A2" w:rsidRPr="00EF4855" w:rsidRDefault="00DC44A2">
      <w:pPr>
        <w:pStyle w:val="NoSpacing"/>
        <w:ind w:left="1418" w:right="1514"/>
        <w:jc w:val="both"/>
        <w:rPr>
          <w:rStyle w:val="NoSpacingChar"/>
          <w:rFonts w:ascii="Arial" w:hAnsi="Arial" w:cs="Arial"/>
          <w:i/>
          <w:color w:val="000000"/>
        </w:rPr>
      </w:pPr>
    </w:p>
    <w:p w:rsidR="00DC44A2" w:rsidRPr="003E692D" w:rsidRDefault="00DC44A2" w:rsidP="00DA78B4">
      <w:pPr>
        <w:pStyle w:val="ListParagraph"/>
        <w:numPr>
          <w:ilvl w:val="1"/>
          <w:numId w:val="21"/>
        </w:numPr>
        <w:ind w:left="1440"/>
        <w:jc w:val="both"/>
        <w:rPr>
          <w:rFonts w:ascii="Arial" w:hAnsi="Arial" w:cs="Arial"/>
          <w:color w:val="000000" w:themeColor="text1"/>
          <w:sz w:val="22"/>
          <w:szCs w:val="22"/>
        </w:rPr>
      </w:pPr>
      <w:r w:rsidRPr="003E692D">
        <w:rPr>
          <w:rFonts w:ascii="Arial" w:hAnsi="Arial" w:cs="Arial"/>
          <w:color w:val="000000" w:themeColor="text1"/>
          <w:sz w:val="22"/>
          <w:szCs w:val="22"/>
        </w:rPr>
        <w:t>Review of the Summary of Contracts Awarded by PCSO during CYs 2017 and 2018 provided by the Bids and Awards Committee (BAC) disclosed that thirteen (1</w:t>
      </w:r>
      <w:r w:rsidR="003E692D" w:rsidRPr="003E692D">
        <w:rPr>
          <w:rFonts w:ascii="Arial" w:hAnsi="Arial" w:cs="Arial"/>
          <w:color w:val="000000" w:themeColor="text1"/>
          <w:sz w:val="22"/>
          <w:szCs w:val="22"/>
        </w:rPr>
        <w:t>0</w:t>
      </w:r>
      <w:r w:rsidRPr="003E692D">
        <w:rPr>
          <w:rFonts w:ascii="Arial" w:hAnsi="Arial" w:cs="Arial"/>
          <w:color w:val="000000" w:themeColor="text1"/>
          <w:sz w:val="22"/>
          <w:szCs w:val="22"/>
        </w:rPr>
        <w:t>) contracts amounting to P96.587 million were submitted beyond the prescribed period by 2 to 87 days</w:t>
      </w:r>
      <w:r w:rsidR="009554D5" w:rsidRPr="003E692D">
        <w:rPr>
          <w:rFonts w:ascii="Arial" w:hAnsi="Arial" w:cs="Arial"/>
          <w:color w:val="000000" w:themeColor="text1"/>
          <w:sz w:val="22"/>
          <w:szCs w:val="22"/>
        </w:rPr>
        <w:t>,</w:t>
      </w:r>
      <w:r w:rsidRPr="003E692D">
        <w:rPr>
          <w:rFonts w:ascii="Arial" w:hAnsi="Arial" w:cs="Arial"/>
          <w:color w:val="000000" w:themeColor="text1"/>
          <w:sz w:val="22"/>
          <w:szCs w:val="22"/>
        </w:rPr>
        <w:t xml:space="preserve"> while fifteen</w:t>
      </w:r>
      <w:r w:rsidR="00361F64" w:rsidRPr="003E692D">
        <w:rPr>
          <w:rFonts w:ascii="Arial" w:hAnsi="Arial" w:cs="Arial"/>
          <w:color w:val="000000" w:themeColor="text1"/>
          <w:sz w:val="22"/>
          <w:szCs w:val="22"/>
        </w:rPr>
        <w:t xml:space="preserve"> (15) </w:t>
      </w:r>
      <w:r w:rsidRPr="003E692D">
        <w:rPr>
          <w:rFonts w:ascii="Arial" w:hAnsi="Arial" w:cs="Arial"/>
          <w:color w:val="000000" w:themeColor="text1"/>
          <w:sz w:val="22"/>
          <w:szCs w:val="22"/>
        </w:rPr>
        <w:t>contracts in the total amount of P</w:t>
      </w:r>
      <w:r w:rsidR="00361F64" w:rsidRPr="003E692D">
        <w:rPr>
          <w:rFonts w:ascii="Arial" w:hAnsi="Arial" w:cs="Arial"/>
          <w:color w:val="000000" w:themeColor="text1"/>
          <w:sz w:val="22"/>
          <w:szCs w:val="22"/>
        </w:rPr>
        <w:t xml:space="preserve">34.893 million </w:t>
      </w:r>
      <w:r w:rsidRPr="003E692D">
        <w:rPr>
          <w:rFonts w:ascii="Arial" w:hAnsi="Arial" w:cs="Arial"/>
          <w:color w:val="000000" w:themeColor="text1"/>
          <w:sz w:val="22"/>
          <w:szCs w:val="22"/>
        </w:rPr>
        <w:t xml:space="preserve">remained </w:t>
      </w:r>
      <w:r w:rsidR="00361F64" w:rsidRPr="003E692D">
        <w:rPr>
          <w:rFonts w:ascii="Arial" w:hAnsi="Arial" w:cs="Arial"/>
          <w:color w:val="000000" w:themeColor="text1"/>
          <w:sz w:val="22"/>
          <w:szCs w:val="22"/>
        </w:rPr>
        <w:t xml:space="preserve">unsubmitted to the Office of the Auditor </w:t>
      </w:r>
      <w:r w:rsidRPr="003E692D">
        <w:rPr>
          <w:rFonts w:ascii="Arial" w:hAnsi="Arial" w:cs="Arial"/>
          <w:color w:val="000000" w:themeColor="text1"/>
          <w:sz w:val="22"/>
          <w:szCs w:val="22"/>
        </w:rPr>
        <w:t>as of December 31, 2018</w:t>
      </w:r>
      <w:r w:rsidR="009554D5" w:rsidRPr="003E692D">
        <w:rPr>
          <w:rFonts w:ascii="Arial" w:hAnsi="Arial" w:cs="Arial"/>
          <w:color w:val="000000" w:themeColor="text1"/>
          <w:sz w:val="22"/>
          <w:szCs w:val="22"/>
        </w:rPr>
        <w:t>,</w:t>
      </w:r>
      <w:r w:rsidRPr="003E692D">
        <w:rPr>
          <w:rFonts w:ascii="Arial" w:hAnsi="Arial" w:cs="Arial"/>
          <w:color w:val="000000" w:themeColor="text1"/>
          <w:sz w:val="22"/>
          <w:szCs w:val="22"/>
        </w:rPr>
        <w:t xml:space="preserve"> </w:t>
      </w:r>
      <w:r w:rsidRPr="003E692D">
        <w:rPr>
          <w:rStyle w:val="NoSpacingChar"/>
          <w:rFonts w:ascii="Arial" w:hAnsi="Arial" w:cs="Arial"/>
          <w:color w:val="000000" w:themeColor="text1"/>
          <w:sz w:val="22"/>
          <w:szCs w:val="22"/>
        </w:rPr>
        <w:t>contrary to Section 3.1.1 of the above</w:t>
      </w:r>
      <w:r w:rsidR="00361F64" w:rsidRPr="003E692D">
        <w:rPr>
          <w:rStyle w:val="NoSpacingChar"/>
          <w:rFonts w:ascii="Arial" w:hAnsi="Arial" w:cs="Arial"/>
          <w:color w:val="000000" w:themeColor="text1"/>
          <w:sz w:val="22"/>
          <w:szCs w:val="22"/>
        </w:rPr>
        <w:t>- stated COA</w:t>
      </w:r>
      <w:r w:rsidRPr="003E692D">
        <w:rPr>
          <w:rStyle w:val="NoSpacingChar"/>
          <w:rFonts w:ascii="Arial" w:hAnsi="Arial" w:cs="Arial"/>
          <w:color w:val="000000" w:themeColor="text1"/>
          <w:sz w:val="22"/>
          <w:szCs w:val="22"/>
        </w:rPr>
        <w:t xml:space="preserve"> Circular.</w:t>
      </w:r>
    </w:p>
    <w:p w:rsidR="00F367F2" w:rsidRDefault="00F367F2" w:rsidP="00DA78B4">
      <w:pPr>
        <w:pStyle w:val="ListParagraph"/>
        <w:numPr>
          <w:ilvl w:val="1"/>
          <w:numId w:val="21"/>
        </w:numPr>
        <w:ind w:left="1440"/>
        <w:jc w:val="both"/>
        <w:rPr>
          <w:rFonts w:ascii="Arial" w:hAnsi="Arial" w:cs="Arial"/>
          <w:sz w:val="22"/>
          <w:szCs w:val="22"/>
        </w:rPr>
      </w:pPr>
      <w:r>
        <w:rPr>
          <w:rFonts w:ascii="Arial" w:hAnsi="Arial" w:cs="Arial"/>
          <w:sz w:val="22"/>
          <w:szCs w:val="22"/>
        </w:rPr>
        <w:t>Similar observation was noted</w:t>
      </w:r>
      <w:r w:rsidR="005D70E6">
        <w:rPr>
          <w:rFonts w:ascii="Arial" w:hAnsi="Arial" w:cs="Arial"/>
          <w:sz w:val="22"/>
          <w:szCs w:val="22"/>
        </w:rPr>
        <w:t xml:space="preserve"> by the Audit Team Leaders of the PCSO </w:t>
      </w:r>
      <w:r>
        <w:rPr>
          <w:rFonts w:ascii="Arial" w:hAnsi="Arial" w:cs="Arial"/>
          <w:sz w:val="22"/>
          <w:szCs w:val="22"/>
        </w:rPr>
        <w:t xml:space="preserve"> Kalinga, Nueva Vizcaya, Cagayan, Isabela, Surigao Del Norte and Agusan Del Norte branches.</w:t>
      </w:r>
    </w:p>
    <w:p w:rsidR="00F367F2" w:rsidRPr="00F367F2" w:rsidRDefault="00F367F2" w:rsidP="00F367F2">
      <w:pPr>
        <w:pStyle w:val="ListParagraph"/>
        <w:rPr>
          <w:rFonts w:ascii="Arial" w:hAnsi="Arial" w:cs="Arial"/>
          <w:sz w:val="22"/>
          <w:szCs w:val="22"/>
        </w:rPr>
      </w:pPr>
    </w:p>
    <w:p w:rsidR="00DC44A2" w:rsidRPr="009554D5" w:rsidRDefault="00DC44A2" w:rsidP="00DA78B4">
      <w:pPr>
        <w:pStyle w:val="ListParagraph"/>
        <w:numPr>
          <w:ilvl w:val="1"/>
          <w:numId w:val="21"/>
        </w:numPr>
        <w:tabs>
          <w:tab w:val="left" w:pos="1440"/>
        </w:tabs>
        <w:ind w:left="1440"/>
        <w:jc w:val="both"/>
        <w:rPr>
          <w:rFonts w:ascii="Arial" w:hAnsi="Arial" w:cs="Arial"/>
          <w:color w:val="000000" w:themeColor="text1"/>
          <w:sz w:val="22"/>
          <w:szCs w:val="22"/>
        </w:rPr>
      </w:pPr>
      <w:r w:rsidRPr="009554D5">
        <w:rPr>
          <w:rFonts w:ascii="Arial" w:hAnsi="Arial" w:cs="Arial"/>
          <w:color w:val="000000" w:themeColor="text1"/>
          <w:sz w:val="22"/>
          <w:szCs w:val="22"/>
        </w:rPr>
        <w:t>Th</w:t>
      </w:r>
      <w:r w:rsidR="005D70E6" w:rsidRPr="009554D5">
        <w:rPr>
          <w:rFonts w:ascii="Arial" w:hAnsi="Arial" w:cs="Arial"/>
          <w:color w:val="000000" w:themeColor="text1"/>
          <w:sz w:val="22"/>
          <w:szCs w:val="22"/>
        </w:rPr>
        <w:t>e non-submission by PCSO to the Office of the Auditor of copies of th</w:t>
      </w:r>
      <w:r w:rsidR="00BE6CE3" w:rsidRPr="009554D5">
        <w:rPr>
          <w:rFonts w:ascii="Arial" w:hAnsi="Arial" w:cs="Arial"/>
          <w:color w:val="000000" w:themeColor="text1"/>
          <w:sz w:val="22"/>
          <w:szCs w:val="22"/>
        </w:rPr>
        <w:t xml:space="preserve">e subject contracts together with </w:t>
      </w:r>
      <w:r w:rsidR="00F5678F" w:rsidRPr="009554D5">
        <w:rPr>
          <w:rFonts w:ascii="Arial" w:hAnsi="Arial" w:cs="Arial"/>
          <w:color w:val="000000" w:themeColor="text1"/>
          <w:sz w:val="22"/>
          <w:szCs w:val="22"/>
        </w:rPr>
        <w:t>their</w:t>
      </w:r>
      <w:r w:rsidR="00BE6CE3" w:rsidRPr="009554D5">
        <w:rPr>
          <w:rFonts w:ascii="Arial" w:hAnsi="Arial" w:cs="Arial"/>
          <w:color w:val="000000" w:themeColor="text1"/>
          <w:sz w:val="22"/>
          <w:szCs w:val="22"/>
        </w:rPr>
        <w:t xml:space="preserve"> pertinent supporting documents within</w:t>
      </w:r>
      <w:r w:rsidRPr="009554D5">
        <w:rPr>
          <w:rFonts w:ascii="Arial" w:hAnsi="Arial" w:cs="Arial"/>
          <w:color w:val="000000" w:themeColor="text1"/>
          <w:sz w:val="22"/>
          <w:szCs w:val="22"/>
        </w:rPr>
        <w:t xml:space="preserve"> five (5) working days from their execution</w:t>
      </w:r>
      <w:r w:rsidR="00746C9D" w:rsidRPr="009554D5">
        <w:rPr>
          <w:rFonts w:ascii="Arial" w:hAnsi="Arial" w:cs="Arial"/>
          <w:color w:val="000000" w:themeColor="text1"/>
          <w:sz w:val="22"/>
          <w:szCs w:val="22"/>
        </w:rPr>
        <w:t xml:space="preserve"> </w:t>
      </w:r>
      <w:r w:rsidR="00BE6CE3" w:rsidRPr="009554D5">
        <w:rPr>
          <w:rFonts w:ascii="Arial" w:hAnsi="Arial" w:cs="Arial"/>
          <w:color w:val="000000" w:themeColor="text1"/>
          <w:sz w:val="22"/>
          <w:szCs w:val="22"/>
        </w:rPr>
        <w:t xml:space="preserve">hindered </w:t>
      </w:r>
      <w:r w:rsidRPr="009554D5">
        <w:rPr>
          <w:rFonts w:ascii="Arial" w:hAnsi="Arial" w:cs="Arial"/>
          <w:color w:val="000000" w:themeColor="text1"/>
          <w:sz w:val="22"/>
          <w:szCs w:val="22"/>
        </w:rPr>
        <w:t>the Audit Team</w:t>
      </w:r>
      <w:r w:rsidR="00BE6CE3" w:rsidRPr="009554D5">
        <w:rPr>
          <w:rFonts w:ascii="Arial" w:hAnsi="Arial" w:cs="Arial"/>
          <w:color w:val="000000" w:themeColor="text1"/>
          <w:sz w:val="22"/>
          <w:szCs w:val="22"/>
        </w:rPr>
        <w:t xml:space="preserve"> </w:t>
      </w:r>
      <w:r w:rsidR="00BE6CE3" w:rsidRPr="009554D5">
        <w:rPr>
          <w:rFonts w:ascii="Arial" w:hAnsi="Arial" w:cs="Arial"/>
          <w:color w:val="000000" w:themeColor="text1"/>
          <w:sz w:val="22"/>
          <w:szCs w:val="22"/>
        </w:rPr>
        <w:lastRenderedPageBreak/>
        <w:t xml:space="preserve">to conduct </w:t>
      </w:r>
      <w:r w:rsidRPr="009554D5">
        <w:rPr>
          <w:rFonts w:ascii="Arial" w:hAnsi="Arial" w:cs="Arial"/>
          <w:color w:val="000000" w:themeColor="text1"/>
          <w:sz w:val="22"/>
          <w:szCs w:val="22"/>
        </w:rPr>
        <w:t xml:space="preserve">timely review </w:t>
      </w:r>
      <w:r w:rsidR="00BE6CE3" w:rsidRPr="009554D5">
        <w:rPr>
          <w:rFonts w:ascii="Arial" w:hAnsi="Arial" w:cs="Arial"/>
          <w:color w:val="000000" w:themeColor="text1"/>
          <w:sz w:val="22"/>
          <w:szCs w:val="22"/>
        </w:rPr>
        <w:t xml:space="preserve">of the contractual covenants </w:t>
      </w:r>
      <w:r w:rsidRPr="009554D5">
        <w:rPr>
          <w:rFonts w:ascii="Arial" w:hAnsi="Arial" w:cs="Arial"/>
          <w:color w:val="000000" w:themeColor="text1"/>
          <w:sz w:val="22"/>
          <w:szCs w:val="22"/>
        </w:rPr>
        <w:t xml:space="preserve">and </w:t>
      </w:r>
      <w:r w:rsidR="00BE6CE3" w:rsidRPr="009554D5">
        <w:rPr>
          <w:rFonts w:ascii="Arial" w:hAnsi="Arial" w:cs="Arial"/>
          <w:color w:val="000000" w:themeColor="text1"/>
          <w:sz w:val="22"/>
          <w:szCs w:val="22"/>
        </w:rPr>
        <w:t xml:space="preserve">to evaluate </w:t>
      </w:r>
      <w:r w:rsidR="005F5B2B" w:rsidRPr="009554D5">
        <w:rPr>
          <w:rFonts w:ascii="Arial" w:hAnsi="Arial" w:cs="Arial"/>
          <w:color w:val="000000" w:themeColor="text1"/>
          <w:sz w:val="22"/>
          <w:szCs w:val="22"/>
        </w:rPr>
        <w:t>PCSO</w:t>
      </w:r>
      <w:r w:rsidR="00BE6CE3" w:rsidRPr="009554D5">
        <w:rPr>
          <w:rFonts w:ascii="Arial" w:hAnsi="Arial" w:cs="Arial"/>
          <w:color w:val="000000" w:themeColor="text1"/>
          <w:sz w:val="22"/>
          <w:szCs w:val="22"/>
        </w:rPr>
        <w:t>’s compliance with applicable laws and regulations</w:t>
      </w:r>
      <w:r w:rsidRPr="009554D5">
        <w:rPr>
          <w:rFonts w:ascii="Arial" w:hAnsi="Arial" w:cs="Arial"/>
          <w:color w:val="000000" w:themeColor="text1"/>
          <w:sz w:val="22"/>
          <w:szCs w:val="22"/>
        </w:rPr>
        <w:t>.</w:t>
      </w:r>
    </w:p>
    <w:p w:rsidR="00DC44A2" w:rsidRPr="00EF4855" w:rsidRDefault="00DC44A2" w:rsidP="00DC44A2">
      <w:pPr>
        <w:pStyle w:val="NoSpacing"/>
        <w:jc w:val="both"/>
        <w:rPr>
          <w:rFonts w:ascii="Arial" w:hAnsi="Arial" w:cs="Arial"/>
        </w:rPr>
      </w:pPr>
    </w:p>
    <w:p w:rsidR="00DC44A2" w:rsidRPr="00710228" w:rsidRDefault="00DC44A2" w:rsidP="00DA78B4">
      <w:pPr>
        <w:pStyle w:val="ListParagraph"/>
        <w:numPr>
          <w:ilvl w:val="1"/>
          <w:numId w:val="21"/>
        </w:numPr>
        <w:ind w:left="1440"/>
        <w:jc w:val="both"/>
        <w:rPr>
          <w:rFonts w:ascii="Arial" w:hAnsi="Arial" w:cs="Arial"/>
          <w:b/>
          <w:color w:val="000000" w:themeColor="text1"/>
          <w:sz w:val="22"/>
          <w:szCs w:val="22"/>
        </w:rPr>
      </w:pPr>
      <w:r w:rsidRPr="00710228">
        <w:rPr>
          <w:rFonts w:ascii="Arial" w:hAnsi="Arial" w:cs="Arial"/>
          <w:b/>
          <w:color w:val="000000" w:themeColor="text1"/>
          <w:sz w:val="22"/>
          <w:szCs w:val="22"/>
        </w:rPr>
        <w:t>We recommended that</w:t>
      </w:r>
      <w:r w:rsidR="00BE6CE3" w:rsidRPr="00710228">
        <w:rPr>
          <w:rFonts w:ascii="Arial" w:hAnsi="Arial" w:cs="Arial"/>
          <w:b/>
          <w:color w:val="000000" w:themeColor="text1"/>
          <w:sz w:val="22"/>
          <w:szCs w:val="22"/>
        </w:rPr>
        <w:t xml:space="preserve"> Managemen</w:t>
      </w:r>
      <w:r w:rsidR="00F5678F" w:rsidRPr="00710228">
        <w:rPr>
          <w:rFonts w:ascii="Arial" w:hAnsi="Arial" w:cs="Arial"/>
          <w:b/>
          <w:color w:val="000000" w:themeColor="text1"/>
          <w:sz w:val="22"/>
          <w:szCs w:val="22"/>
        </w:rPr>
        <w:t>t</w:t>
      </w:r>
      <w:r w:rsidR="00BE6CE3" w:rsidRPr="00710228">
        <w:rPr>
          <w:rFonts w:ascii="Arial" w:hAnsi="Arial" w:cs="Arial"/>
          <w:b/>
          <w:color w:val="000000" w:themeColor="text1"/>
          <w:sz w:val="22"/>
          <w:szCs w:val="22"/>
        </w:rPr>
        <w:t xml:space="preserve"> </w:t>
      </w:r>
      <w:r w:rsidRPr="00710228">
        <w:rPr>
          <w:rFonts w:ascii="Arial" w:hAnsi="Arial" w:cs="Arial"/>
          <w:b/>
          <w:color w:val="000000" w:themeColor="text1"/>
          <w:sz w:val="22"/>
          <w:szCs w:val="22"/>
        </w:rPr>
        <w:t>ensure compliance with the provisions of COA Circular No. 2009-001 dated February 12, 2009</w:t>
      </w:r>
      <w:r w:rsidR="00710228">
        <w:rPr>
          <w:rFonts w:ascii="Arial" w:hAnsi="Arial" w:cs="Arial"/>
          <w:b/>
          <w:color w:val="000000" w:themeColor="text1"/>
          <w:sz w:val="22"/>
          <w:szCs w:val="22"/>
        </w:rPr>
        <w:t>,</w:t>
      </w:r>
      <w:r w:rsidRPr="00710228">
        <w:rPr>
          <w:rFonts w:ascii="Arial" w:hAnsi="Arial" w:cs="Arial"/>
          <w:b/>
          <w:color w:val="000000" w:themeColor="text1"/>
          <w:sz w:val="22"/>
          <w:szCs w:val="22"/>
        </w:rPr>
        <w:t xml:space="preserve"> requiring submission to the Auditor of all contracts entered into by concerned government agencies, together with each of all the documents forming part thereof by reference or incorporation,  within five (5) working days from the execution thereof so that </w:t>
      </w:r>
      <w:r w:rsidRPr="00710228">
        <w:rPr>
          <w:rFonts w:ascii="Arial" w:hAnsi="Arial" w:cs="Arial"/>
          <w:b/>
          <w:bCs/>
          <w:color w:val="000000" w:themeColor="text1"/>
          <w:sz w:val="22"/>
          <w:szCs w:val="22"/>
        </w:rPr>
        <w:t xml:space="preserve">timely </w:t>
      </w:r>
      <w:r w:rsidRPr="00710228">
        <w:rPr>
          <w:rFonts w:ascii="Arial" w:hAnsi="Arial" w:cs="Arial"/>
          <w:b/>
          <w:color w:val="000000" w:themeColor="text1"/>
          <w:sz w:val="22"/>
          <w:szCs w:val="22"/>
        </w:rPr>
        <w:t>review of the contractual covenants and evaluation of PCSO’s compliance with applicable laws, rules and regulation can be promptly undertaken by this Office.</w:t>
      </w:r>
    </w:p>
    <w:p w:rsidR="00E72BB7" w:rsidRDefault="00E72BB7" w:rsidP="004C39E3">
      <w:pPr>
        <w:pStyle w:val="NoSpacing"/>
        <w:ind w:firstLine="720"/>
        <w:jc w:val="both"/>
        <w:rPr>
          <w:rFonts w:ascii="Arial" w:hAnsi="Arial" w:cs="Arial"/>
          <w:lang w:eastAsia="en-PH"/>
        </w:rPr>
      </w:pPr>
    </w:p>
    <w:p w:rsidR="00710228" w:rsidRPr="00EF4855" w:rsidRDefault="00710228" w:rsidP="004C39E3">
      <w:pPr>
        <w:pStyle w:val="NoSpacing"/>
        <w:ind w:firstLine="720"/>
        <w:jc w:val="both"/>
        <w:rPr>
          <w:rFonts w:ascii="Arial" w:hAnsi="Arial" w:cs="Arial"/>
          <w:lang w:eastAsia="en-PH"/>
        </w:rPr>
      </w:pPr>
    </w:p>
    <w:p w:rsidR="007B13FB" w:rsidRPr="005F5B2B" w:rsidRDefault="007B13FB" w:rsidP="00DA78B4">
      <w:pPr>
        <w:pStyle w:val="ListParagraph"/>
        <w:numPr>
          <w:ilvl w:val="0"/>
          <w:numId w:val="21"/>
        </w:numPr>
        <w:ind w:left="720" w:hanging="720"/>
        <w:jc w:val="both"/>
        <w:rPr>
          <w:rFonts w:ascii="Arial" w:hAnsi="Arial" w:cs="Arial"/>
          <w:b/>
          <w:sz w:val="22"/>
          <w:szCs w:val="22"/>
          <w:lang w:eastAsia="en-PH"/>
        </w:rPr>
      </w:pPr>
      <w:r w:rsidRPr="005F5B2B">
        <w:rPr>
          <w:rFonts w:ascii="Arial" w:hAnsi="Arial" w:cs="Arial"/>
          <w:b/>
          <w:sz w:val="22"/>
          <w:szCs w:val="22"/>
          <w:lang w:eastAsia="en-PH"/>
        </w:rPr>
        <w:t>The propriety of the payments made to RLI</w:t>
      </w:r>
      <w:r w:rsidR="00806D17">
        <w:rPr>
          <w:rFonts w:ascii="Arial" w:hAnsi="Arial" w:cs="Arial"/>
          <w:b/>
          <w:sz w:val="22"/>
          <w:szCs w:val="22"/>
          <w:lang w:eastAsia="en-PH"/>
        </w:rPr>
        <w:t>A</w:t>
      </w:r>
      <w:r w:rsidRPr="005F5B2B">
        <w:rPr>
          <w:rFonts w:ascii="Arial" w:hAnsi="Arial" w:cs="Arial"/>
          <w:b/>
          <w:sz w:val="22"/>
          <w:szCs w:val="22"/>
          <w:lang w:eastAsia="en-PH"/>
        </w:rPr>
        <w:t>C in the total amount of P5</w:t>
      </w:r>
      <w:r w:rsidR="008A5D91">
        <w:rPr>
          <w:rFonts w:ascii="Arial" w:hAnsi="Arial" w:cs="Arial"/>
          <w:b/>
          <w:sz w:val="22"/>
          <w:szCs w:val="22"/>
          <w:lang w:eastAsia="en-PH"/>
        </w:rPr>
        <w:t>.</w:t>
      </w:r>
      <w:r w:rsidRPr="005F5B2B">
        <w:rPr>
          <w:rFonts w:ascii="Arial" w:hAnsi="Arial" w:cs="Arial"/>
          <w:b/>
          <w:sz w:val="22"/>
          <w:szCs w:val="22"/>
          <w:lang w:eastAsia="en-PH"/>
        </w:rPr>
        <w:t xml:space="preserve">063 was doubtful due to lack of and/or questionable supporting documents required under Section VII of the IRR of the </w:t>
      </w:r>
      <w:r w:rsidR="00BE6CE3">
        <w:rPr>
          <w:rFonts w:ascii="Arial" w:hAnsi="Arial" w:cs="Arial"/>
          <w:b/>
          <w:sz w:val="22"/>
          <w:szCs w:val="22"/>
          <w:lang w:eastAsia="en-PH"/>
        </w:rPr>
        <w:t>Individual Medical Assistance Program (</w:t>
      </w:r>
      <w:r w:rsidRPr="005F5B2B">
        <w:rPr>
          <w:rFonts w:ascii="Arial" w:hAnsi="Arial" w:cs="Arial"/>
          <w:b/>
          <w:sz w:val="22"/>
          <w:szCs w:val="22"/>
          <w:lang w:eastAsia="en-PH"/>
        </w:rPr>
        <w:t>IMAP</w:t>
      </w:r>
      <w:r w:rsidR="00BE6CE3">
        <w:rPr>
          <w:rFonts w:ascii="Arial" w:hAnsi="Arial" w:cs="Arial"/>
          <w:b/>
          <w:sz w:val="22"/>
          <w:szCs w:val="22"/>
          <w:lang w:eastAsia="en-PH"/>
        </w:rPr>
        <w:t>).</w:t>
      </w:r>
    </w:p>
    <w:p w:rsidR="00245214" w:rsidRPr="005F5B2B" w:rsidRDefault="00245214" w:rsidP="007B13FB">
      <w:pPr>
        <w:pStyle w:val="ListParagraph"/>
        <w:ind w:left="576"/>
        <w:jc w:val="both"/>
        <w:rPr>
          <w:rFonts w:ascii="Arial" w:hAnsi="Arial" w:cs="Arial"/>
          <w:b/>
          <w:sz w:val="22"/>
          <w:szCs w:val="22"/>
          <w:lang w:eastAsia="en-PH"/>
        </w:rPr>
      </w:pPr>
    </w:p>
    <w:p w:rsidR="007B13FB" w:rsidRPr="005F5B2B" w:rsidRDefault="007B13FB" w:rsidP="00710228">
      <w:pPr>
        <w:pStyle w:val="ListParagraph"/>
        <w:ind w:left="709" w:right="3600"/>
        <w:jc w:val="both"/>
        <w:rPr>
          <w:rFonts w:ascii="Arial" w:hAnsi="Arial" w:cs="Arial"/>
          <w:i/>
          <w:sz w:val="22"/>
          <w:szCs w:val="22"/>
          <w:lang w:eastAsia="en-PH"/>
        </w:rPr>
      </w:pPr>
      <w:r w:rsidRPr="005F5B2B">
        <w:rPr>
          <w:rFonts w:ascii="Arial" w:hAnsi="Arial" w:cs="Arial"/>
          <w:i/>
          <w:sz w:val="22"/>
          <w:szCs w:val="22"/>
          <w:lang w:eastAsia="en-PH"/>
        </w:rPr>
        <w:t xml:space="preserve">One hundred-one </w:t>
      </w:r>
      <w:r w:rsidR="008F6E47">
        <w:rPr>
          <w:rFonts w:ascii="Arial" w:hAnsi="Arial" w:cs="Arial"/>
          <w:i/>
          <w:sz w:val="22"/>
          <w:szCs w:val="22"/>
          <w:lang w:eastAsia="en-PH"/>
        </w:rPr>
        <w:t>(101) cases amounting to P2.168 million</w:t>
      </w:r>
      <w:r w:rsidRPr="005F5B2B">
        <w:rPr>
          <w:rFonts w:ascii="Arial" w:hAnsi="Arial" w:cs="Arial"/>
          <w:i/>
          <w:sz w:val="22"/>
          <w:szCs w:val="22"/>
          <w:lang w:eastAsia="en-PH"/>
        </w:rPr>
        <w:t xml:space="preserve"> claims from PCSO were not supported with valid identification cards of the patients and representatives</w:t>
      </w:r>
    </w:p>
    <w:p w:rsidR="007B13FB" w:rsidRPr="005F5B2B" w:rsidRDefault="007B13FB" w:rsidP="007B13FB">
      <w:pPr>
        <w:pStyle w:val="ListParagraph"/>
        <w:ind w:left="0"/>
        <w:jc w:val="both"/>
        <w:rPr>
          <w:rFonts w:ascii="Arial" w:hAnsi="Arial" w:cs="Arial"/>
          <w:sz w:val="22"/>
          <w:szCs w:val="22"/>
        </w:rPr>
      </w:pPr>
    </w:p>
    <w:p w:rsidR="007B13FB" w:rsidRPr="005F5B2B" w:rsidRDefault="007B13FB" w:rsidP="00DA78B4">
      <w:pPr>
        <w:pStyle w:val="ListParagraph"/>
        <w:numPr>
          <w:ilvl w:val="1"/>
          <w:numId w:val="21"/>
        </w:numPr>
        <w:ind w:left="1440"/>
        <w:jc w:val="both"/>
        <w:rPr>
          <w:rFonts w:ascii="Arial" w:hAnsi="Arial" w:cs="Arial"/>
          <w:sz w:val="22"/>
          <w:szCs w:val="22"/>
        </w:rPr>
      </w:pPr>
      <w:r w:rsidRPr="005F5B2B">
        <w:rPr>
          <w:rFonts w:ascii="Arial" w:hAnsi="Arial" w:cs="Arial"/>
          <w:sz w:val="22"/>
          <w:szCs w:val="22"/>
        </w:rPr>
        <w:t>Review of supporting documents attached to th</w:t>
      </w:r>
      <w:r w:rsidR="008F6E47">
        <w:rPr>
          <w:rFonts w:ascii="Arial" w:hAnsi="Arial" w:cs="Arial"/>
          <w:sz w:val="22"/>
          <w:szCs w:val="22"/>
        </w:rPr>
        <w:t>e 101 cases amounting to P2.168 million</w:t>
      </w:r>
      <w:r w:rsidRPr="005F5B2B">
        <w:rPr>
          <w:rFonts w:ascii="Arial" w:hAnsi="Arial" w:cs="Arial"/>
          <w:sz w:val="22"/>
          <w:szCs w:val="22"/>
        </w:rPr>
        <w:t xml:space="preserve"> claimed by </w:t>
      </w:r>
      <w:r w:rsidR="00932D78" w:rsidRPr="00932D78">
        <w:rPr>
          <w:rFonts w:ascii="Arial" w:hAnsi="Arial" w:cs="Arial"/>
          <w:sz w:val="22"/>
          <w:szCs w:val="22"/>
          <w:lang w:eastAsia="en-PH"/>
        </w:rPr>
        <w:t>RLIAC</w:t>
      </w:r>
      <w:r w:rsidR="00932D78" w:rsidRPr="005F5B2B">
        <w:rPr>
          <w:rFonts w:ascii="Arial" w:hAnsi="Arial" w:cs="Arial"/>
          <w:sz w:val="22"/>
          <w:szCs w:val="22"/>
        </w:rPr>
        <w:t xml:space="preserve"> </w:t>
      </w:r>
      <w:r w:rsidRPr="005F5B2B">
        <w:rPr>
          <w:rFonts w:ascii="Arial" w:hAnsi="Arial" w:cs="Arial"/>
          <w:sz w:val="22"/>
          <w:szCs w:val="22"/>
        </w:rPr>
        <w:t xml:space="preserve">disclosed that photocopies of valid IDs with signatures of the patient and/or patient’s representative, which was one of the documentary requirements stipulated under Section VII of the IRR of the IMAP, were not attached to the said claims. This requirement would prove the identity and actual existence of the concerned person requesting for financial assistance thru the Partner Hospital.  Absence thereof may indicate that the said persons were fictitious.  </w:t>
      </w:r>
    </w:p>
    <w:p w:rsidR="007B13FB" w:rsidRPr="005F5B2B" w:rsidRDefault="007B13FB" w:rsidP="00597807">
      <w:pPr>
        <w:pStyle w:val="ListParagraph"/>
        <w:ind w:left="576" w:right="1977"/>
        <w:jc w:val="both"/>
        <w:rPr>
          <w:rFonts w:ascii="Arial" w:hAnsi="Arial" w:cs="Arial"/>
          <w:b/>
          <w:sz w:val="22"/>
          <w:szCs w:val="22"/>
          <w:lang w:eastAsia="en-PH"/>
        </w:rPr>
      </w:pPr>
    </w:p>
    <w:p w:rsidR="007B13FB" w:rsidRPr="005F5B2B" w:rsidRDefault="007B13FB" w:rsidP="00710228">
      <w:pPr>
        <w:pStyle w:val="ListParagraph"/>
        <w:ind w:right="3600"/>
        <w:jc w:val="both"/>
        <w:rPr>
          <w:rFonts w:ascii="Arial" w:hAnsi="Arial" w:cs="Arial"/>
          <w:i/>
          <w:sz w:val="22"/>
          <w:szCs w:val="22"/>
          <w:lang w:eastAsia="en-PH"/>
        </w:rPr>
      </w:pPr>
      <w:r w:rsidRPr="005F5B2B">
        <w:rPr>
          <w:rFonts w:ascii="Arial" w:hAnsi="Arial" w:cs="Arial"/>
          <w:i/>
          <w:sz w:val="22"/>
          <w:szCs w:val="22"/>
          <w:lang w:eastAsia="en-PH"/>
        </w:rPr>
        <w:t>The Clinical Abstracts (CAs) attached to</w:t>
      </w:r>
      <w:r w:rsidR="00597807" w:rsidRPr="005F5B2B">
        <w:rPr>
          <w:rFonts w:ascii="Arial" w:hAnsi="Arial" w:cs="Arial"/>
          <w:i/>
          <w:sz w:val="22"/>
          <w:szCs w:val="22"/>
          <w:lang w:eastAsia="en-PH"/>
        </w:rPr>
        <w:t xml:space="preserve"> claims </w:t>
      </w:r>
      <w:r w:rsidR="008F6E47">
        <w:rPr>
          <w:rFonts w:ascii="Arial" w:hAnsi="Arial" w:cs="Arial"/>
          <w:i/>
          <w:sz w:val="22"/>
          <w:szCs w:val="22"/>
          <w:lang w:eastAsia="en-PH"/>
        </w:rPr>
        <w:t>totaling P4.834 million</w:t>
      </w:r>
      <w:r w:rsidR="00597807" w:rsidRPr="005F5B2B">
        <w:rPr>
          <w:rFonts w:ascii="Arial" w:hAnsi="Arial" w:cs="Arial"/>
          <w:i/>
          <w:sz w:val="22"/>
          <w:szCs w:val="22"/>
          <w:lang w:eastAsia="en-PH"/>
        </w:rPr>
        <w:t xml:space="preserve"> for</w:t>
      </w:r>
      <w:r w:rsidRPr="005F5B2B">
        <w:rPr>
          <w:rFonts w:ascii="Arial" w:hAnsi="Arial" w:cs="Arial"/>
          <w:i/>
          <w:sz w:val="22"/>
          <w:szCs w:val="22"/>
          <w:lang w:eastAsia="en-PH"/>
        </w:rPr>
        <w:t xml:space="preserve"> two-hundred nine (209) cases (patients) contained identical information about the history of the patients’ illnesses for the same kind of illness, which were quite unusual</w:t>
      </w:r>
    </w:p>
    <w:p w:rsidR="007B13FB" w:rsidRPr="005F5B2B" w:rsidRDefault="007B13FB" w:rsidP="007B13FB">
      <w:pPr>
        <w:pStyle w:val="ListParagraph"/>
        <w:ind w:left="576"/>
        <w:jc w:val="both"/>
        <w:rPr>
          <w:rFonts w:ascii="Arial" w:hAnsi="Arial" w:cs="Arial"/>
          <w:b/>
          <w:sz w:val="22"/>
          <w:szCs w:val="22"/>
          <w:lang w:eastAsia="en-PH"/>
        </w:rPr>
      </w:pPr>
    </w:p>
    <w:p w:rsidR="00AE2073" w:rsidRPr="005F5B2B" w:rsidRDefault="00413E5A" w:rsidP="00DA78B4">
      <w:pPr>
        <w:pStyle w:val="ListParagraph"/>
        <w:numPr>
          <w:ilvl w:val="1"/>
          <w:numId w:val="21"/>
        </w:numPr>
        <w:tabs>
          <w:tab w:val="left" w:pos="1440"/>
        </w:tabs>
        <w:ind w:left="1440"/>
        <w:jc w:val="both"/>
        <w:rPr>
          <w:rFonts w:ascii="Arial" w:hAnsi="Arial" w:cs="Arial"/>
          <w:sz w:val="22"/>
          <w:szCs w:val="22"/>
        </w:rPr>
      </w:pPr>
      <w:r w:rsidRPr="005F5B2B">
        <w:rPr>
          <w:rFonts w:ascii="Arial" w:hAnsi="Arial" w:cs="Arial"/>
          <w:sz w:val="22"/>
          <w:szCs w:val="22"/>
        </w:rPr>
        <w:t>Review of the CAs attached to the 209 cases (patients), w</w:t>
      </w:r>
      <w:r w:rsidR="008F6E47">
        <w:rPr>
          <w:rFonts w:ascii="Arial" w:hAnsi="Arial" w:cs="Arial"/>
          <w:sz w:val="22"/>
          <w:szCs w:val="22"/>
        </w:rPr>
        <w:t>ho claimed a total amount of P4.834 million</w:t>
      </w:r>
      <w:r w:rsidRPr="005F5B2B">
        <w:rPr>
          <w:rFonts w:ascii="Arial" w:hAnsi="Arial" w:cs="Arial"/>
          <w:sz w:val="22"/>
          <w:szCs w:val="22"/>
        </w:rPr>
        <w:t xml:space="preserve"> from PCSO in the form of financial assistance thru the </w:t>
      </w:r>
      <w:r w:rsidR="00A76F2C" w:rsidRPr="00932D78">
        <w:rPr>
          <w:rFonts w:ascii="Arial" w:hAnsi="Arial" w:cs="Arial"/>
          <w:sz w:val="22"/>
          <w:szCs w:val="22"/>
          <w:lang w:eastAsia="en-PH"/>
        </w:rPr>
        <w:t>RLIAC</w:t>
      </w:r>
      <w:r w:rsidRPr="005F5B2B">
        <w:rPr>
          <w:rFonts w:ascii="Arial" w:hAnsi="Arial" w:cs="Arial"/>
          <w:sz w:val="22"/>
          <w:szCs w:val="22"/>
        </w:rPr>
        <w:t>, revealed that all information such as chief complaint; history of the patients’ sickness</w:t>
      </w:r>
      <w:r w:rsidR="00CA7F83" w:rsidRPr="005F5B2B">
        <w:rPr>
          <w:rFonts w:ascii="Arial" w:hAnsi="Arial" w:cs="Arial"/>
          <w:sz w:val="22"/>
          <w:szCs w:val="22"/>
        </w:rPr>
        <w:t>,</w:t>
      </w:r>
      <w:r w:rsidRPr="005F5B2B">
        <w:rPr>
          <w:rFonts w:ascii="Arial" w:hAnsi="Arial" w:cs="Arial"/>
          <w:sz w:val="22"/>
          <w:szCs w:val="22"/>
        </w:rPr>
        <w:t xml:space="preserve"> order/time of happening &amp; symptoms of the illness</w:t>
      </w:r>
      <w:r w:rsidR="00CA7F83" w:rsidRPr="005F5B2B">
        <w:rPr>
          <w:rFonts w:ascii="Arial" w:hAnsi="Arial" w:cs="Arial"/>
          <w:sz w:val="22"/>
          <w:szCs w:val="22"/>
        </w:rPr>
        <w:t>,</w:t>
      </w:r>
      <w:r w:rsidRPr="005F5B2B">
        <w:rPr>
          <w:rFonts w:ascii="Arial" w:hAnsi="Arial" w:cs="Arial"/>
          <w:sz w:val="22"/>
          <w:szCs w:val="22"/>
        </w:rPr>
        <w:t xml:space="preserve"> </w:t>
      </w:r>
      <w:r w:rsidR="00AE2073" w:rsidRPr="005F5B2B">
        <w:rPr>
          <w:rFonts w:ascii="Arial" w:hAnsi="Arial" w:cs="Arial"/>
          <w:sz w:val="22"/>
          <w:szCs w:val="22"/>
        </w:rPr>
        <w:t xml:space="preserve">and </w:t>
      </w:r>
      <w:r w:rsidRPr="005F5B2B">
        <w:rPr>
          <w:rFonts w:ascii="Arial" w:hAnsi="Arial" w:cs="Arial"/>
          <w:sz w:val="22"/>
          <w:szCs w:val="22"/>
        </w:rPr>
        <w:t>vital signs</w:t>
      </w:r>
      <w:r w:rsidR="00AE2073" w:rsidRPr="005F5B2B">
        <w:rPr>
          <w:rFonts w:ascii="Arial" w:hAnsi="Arial" w:cs="Arial"/>
          <w:sz w:val="22"/>
          <w:szCs w:val="22"/>
        </w:rPr>
        <w:t xml:space="preserve"> plus </w:t>
      </w:r>
      <w:r w:rsidR="00026E50" w:rsidRPr="005F5B2B">
        <w:rPr>
          <w:rFonts w:ascii="Arial" w:hAnsi="Arial" w:cs="Arial"/>
          <w:sz w:val="22"/>
          <w:szCs w:val="22"/>
        </w:rPr>
        <w:t>the</w:t>
      </w:r>
      <w:r w:rsidRPr="005F5B2B">
        <w:rPr>
          <w:rFonts w:ascii="Arial" w:hAnsi="Arial" w:cs="Arial"/>
          <w:sz w:val="22"/>
          <w:szCs w:val="22"/>
        </w:rPr>
        <w:t xml:space="preserve">  number of days of confinement</w:t>
      </w:r>
      <w:r w:rsidR="00CA7F83" w:rsidRPr="005F5B2B">
        <w:rPr>
          <w:rFonts w:ascii="Arial" w:hAnsi="Arial" w:cs="Arial"/>
          <w:sz w:val="22"/>
          <w:szCs w:val="22"/>
        </w:rPr>
        <w:t>,</w:t>
      </w:r>
      <w:r w:rsidRPr="005F5B2B">
        <w:rPr>
          <w:rFonts w:ascii="Arial" w:hAnsi="Arial" w:cs="Arial"/>
          <w:sz w:val="22"/>
          <w:szCs w:val="22"/>
        </w:rPr>
        <w:t xml:space="preserve"> result of physical examinations</w:t>
      </w:r>
      <w:r w:rsidR="00CA7F83" w:rsidRPr="005F5B2B">
        <w:rPr>
          <w:rFonts w:ascii="Arial" w:hAnsi="Arial" w:cs="Arial"/>
          <w:sz w:val="22"/>
          <w:szCs w:val="22"/>
        </w:rPr>
        <w:t>,</w:t>
      </w:r>
      <w:r w:rsidRPr="005F5B2B">
        <w:rPr>
          <w:rFonts w:ascii="Arial" w:hAnsi="Arial" w:cs="Arial"/>
          <w:sz w:val="22"/>
          <w:szCs w:val="22"/>
        </w:rPr>
        <w:t xml:space="preserve"> medications needed</w:t>
      </w:r>
      <w:r w:rsidR="00CA7F83" w:rsidRPr="005F5B2B">
        <w:rPr>
          <w:rFonts w:ascii="Arial" w:hAnsi="Arial" w:cs="Arial"/>
          <w:sz w:val="22"/>
          <w:szCs w:val="22"/>
        </w:rPr>
        <w:t>,</w:t>
      </w:r>
      <w:r w:rsidRPr="005F5B2B">
        <w:rPr>
          <w:rFonts w:ascii="Arial" w:hAnsi="Arial" w:cs="Arial"/>
          <w:sz w:val="22"/>
          <w:szCs w:val="22"/>
        </w:rPr>
        <w:t xml:space="preserve"> and the doctor’s recommendations for the same illness of different persons were identical.  They only differ in their personal information such as name, gender, age, status, and date of admission/discharge.  </w:t>
      </w:r>
    </w:p>
    <w:p w:rsidR="00AE2073" w:rsidRPr="005F5B2B" w:rsidRDefault="00AE2073" w:rsidP="00AE2073">
      <w:pPr>
        <w:pStyle w:val="ListParagraph"/>
        <w:ind w:left="1296"/>
        <w:jc w:val="both"/>
        <w:rPr>
          <w:rFonts w:ascii="Arial" w:hAnsi="Arial" w:cs="Arial"/>
          <w:sz w:val="22"/>
          <w:szCs w:val="22"/>
        </w:rPr>
      </w:pPr>
    </w:p>
    <w:p w:rsidR="006857ED" w:rsidRPr="005F5B2B" w:rsidRDefault="00AE2073" w:rsidP="00DA78B4">
      <w:pPr>
        <w:pStyle w:val="ListParagraph"/>
        <w:numPr>
          <w:ilvl w:val="1"/>
          <w:numId w:val="21"/>
        </w:numPr>
        <w:ind w:left="1440"/>
        <w:jc w:val="both"/>
        <w:rPr>
          <w:rFonts w:ascii="Arial" w:hAnsi="Arial" w:cs="Arial"/>
          <w:sz w:val="22"/>
          <w:szCs w:val="22"/>
        </w:rPr>
      </w:pPr>
      <w:r w:rsidRPr="005F5B2B">
        <w:rPr>
          <w:rFonts w:ascii="Arial" w:hAnsi="Arial" w:cs="Arial"/>
          <w:sz w:val="22"/>
          <w:szCs w:val="22"/>
        </w:rPr>
        <w:lastRenderedPageBreak/>
        <w:t xml:space="preserve">Said </w:t>
      </w:r>
      <w:r w:rsidR="00413E5A" w:rsidRPr="005F5B2B">
        <w:rPr>
          <w:rFonts w:ascii="Arial" w:hAnsi="Arial" w:cs="Arial"/>
          <w:sz w:val="22"/>
          <w:szCs w:val="22"/>
        </w:rPr>
        <w:t>situations were very unusual considering that the above-mentioned information supposed to vary to a certain extent from one patient to another.</w:t>
      </w:r>
      <w:r w:rsidR="006857ED" w:rsidRPr="005F5B2B">
        <w:rPr>
          <w:rFonts w:ascii="Arial" w:hAnsi="Arial" w:cs="Arial"/>
          <w:sz w:val="22"/>
          <w:szCs w:val="22"/>
        </w:rPr>
        <w:t xml:space="preserve"> Shown in Table </w:t>
      </w:r>
      <w:r w:rsidR="006E022A" w:rsidRPr="005F5B2B">
        <w:rPr>
          <w:rFonts w:ascii="Arial" w:hAnsi="Arial" w:cs="Arial"/>
          <w:sz w:val="22"/>
          <w:szCs w:val="22"/>
        </w:rPr>
        <w:t>15</w:t>
      </w:r>
      <w:r w:rsidR="006857ED" w:rsidRPr="005F5B2B">
        <w:rPr>
          <w:rFonts w:ascii="Arial" w:hAnsi="Arial" w:cs="Arial"/>
          <w:sz w:val="22"/>
          <w:szCs w:val="22"/>
        </w:rPr>
        <w:t xml:space="preserve"> </w:t>
      </w:r>
      <w:r w:rsidR="0033193B" w:rsidRPr="005F5B2B">
        <w:rPr>
          <w:rFonts w:ascii="Arial" w:hAnsi="Arial" w:cs="Arial"/>
          <w:sz w:val="22"/>
          <w:szCs w:val="22"/>
        </w:rPr>
        <w:t xml:space="preserve">are </w:t>
      </w:r>
      <w:r w:rsidR="006857ED" w:rsidRPr="005F5B2B">
        <w:rPr>
          <w:rFonts w:ascii="Arial" w:hAnsi="Arial" w:cs="Arial"/>
          <w:sz w:val="22"/>
          <w:szCs w:val="22"/>
        </w:rPr>
        <w:t>cases (patients) whose resp</w:t>
      </w:r>
      <w:r w:rsidR="008F6E47">
        <w:rPr>
          <w:rFonts w:ascii="Arial" w:hAnsi="Arial" w:cs="Arial"/>
          <w:sz w:val="22"/>
          <w:szCs w:val="22"/>
        </w:rPr>
        <w:t>ective CAs contained almost 100 per cent</w:t>
      </w:r>
      <w:r w:rsidR="006857ED" w:rsidRPr="005F5B2B">
        <w:rPr>
          <w:rFonts w:ascii="Arial" w:hAnsi="Arial" w:cs="Arial"/>
          <w:sz w:val="22"/>
          <w:szCs w:val="22"/>
        </w:rPr>
        <w:t xml:space="preserve"> identical information for the same illness.</w:t>
      </w:r>
    </w:p>
    <w:p w:rsidR="00AD4A7A" w:rsidRDefault="00AD4A7A" w:rsidP="00AF119C">
      <w:pPr>
        <w:pStyle w:val="ListParagraph"/>
        <w:ind w:left="1296"/>
        <w:jc w:val="both"/>
        <w:rPr>
          <w:rFonts w:ascii="Arial" w:hAnsi="Arial" w:cs="Arial"/>
          <w:sz w:val="10"/>
          <w:szCs w:val="22"/>
        </w:rPr>
      </w:pPr>
    </w:p>
    <w:p w:rsidR="000C6B69" w:rsidRPr="006B018F" w:rsidRDefault="000C6B69" w:rsidP="00AF119C">
      <w:pPr>
        <w:pStyle w:val="ListParagraph"/>
        <w:ind w:left="1296"/>
        <w:jc w:val="both"/>
        <w:rPr>
          <w:rFonts w:ascii="Arial" w:hAnsi="Arial" w:cs="Arial"/>
          <w:sz w:val="10"/>
          <w:szCs w:val="22"/>
        </w:rPr>
      </w:pPr>
    </w:p>
    <w:p w:rsidR="00AF119C" w:rsidRPr="00542609" w:rsidRDefault="00AD4A7A" w:rsidP="000C6B69">
      <w:pPr>
        <w:spacing w:after="0" w:line="240" w:lineRule="auto"/>
        <w:ind w:left="720"/>
        <w:jc w:val="center"/>
        <w:rPr>
          <w:rFonts w:ascii="Arial" w:hAnsi="Arial" w:cs="Arial"/>
          <w:b/>
          <w:sz w:val="20"/>
          <w:szCs w:val="20"/>
        </w:rPr>
      </w:pPr>
      <w:r w:rsidRPr="00542609">
        <w:rPr>
          <w:rFonts w:ascii="Arial" w:hAnsi="Arial" w:cs="Arial"/>
          <w:b/>
          <w:sz w:val="20"/>
          <w:szCs w:val="20"/>
        </w:rPr>
        <w:t xml:space="preserve">Table </w:t>
      </w:r>
      <w:r w:rsidR="006E022A" w:rsidRPr="00542609">
        <w:rPr>
          <w:rFonts w:ascii="Arial" w:hAnsi="Arial" w:cs="Arial"/>
          <w:b/>
          <w:sz w:val="20"/>
          <w:szCs w:val="20"/>
        </w:rPr>
        <w:t>15</w:t>
      </w:r>
      <w:r w:rsidR="006857ED" w:rsidRPr="00542609">
        <w:rPr>
          <w:rFonts w:ascii="Arial" w:hAnsi="Arial" w:cs="Arial"/>
          <w:b/>
          <w:sz w:val="20"/>
          <w:szCs w:val="20"/>
        </w:rPr>
        <w:t xml:space="preserve"> </w:t>
      </w:r>
      <w:r w:rsidR="00AF119C" w:rsidRPr="00542609">
        <w:rPr>
          <w:rFonts w:ascii="Arial" w:hAnsi="Arial" w:cs="Arial"/>
          <w:b/>
          <w:sz w:val="20"/>
          <w:szCs w:val="20"/>
        </w:rPr>
        <w:t xml:space="preserve">- </w:t>
      </w:r>
      <w:r w:rsidRPr="00542609">
        <w:rPr>
          <w:rFonts w:ascii="Arial" w:hAnsi="Arial" w:cs="Arial"/>
          <w:b/>
          <w:sz w:val="20"/>
          <w:szCs w:val="20"/>
        </w:rPr>
        <w:t>Summary of cases for same illnesses</w:t>
      </w:r>
    </w:p>
    <w:p w:rsidR="00413E5A" w:rsidRPr="00542609" w:rsidRDefault="00AD4A7A" w:rsidP="000C6B69">
      <w:pPr>
        <w:spacing w:after="0" w:line="240" w:lineRule="auto"/>
        <w:ind w:left="720"/>
        <w:jc w:val="center"/>
        <w:rPr>
          <w:rFonts w:ascii="Arial" w:hAnsi="Arial" w:cs="Arial"/>
          <w:b/>
          <w:sz w:val="20"/>
          <w:szCs w:val="20"/>
        </w:rPr>
      </w:pPr>
      <w:r w:rsidRPr="00542609">
        <w:rPr>
          <w:rFonts w:ascii="Arial" w:hAnsi="Arial" w:cs="Arial"/>
          <w:b/>
          <w:sz w:val="20"/>
          <w:szCs w:val="20"/>
        </w:rPr>
        <w:t>with identical information</w:t>
      </w:r>
    </w:p>
    <w:p w:rsidR="00413E5A" w:rsidRPr="006B018F" w:rsidRDefault="00413E5A" w:rsidP="00AF119C">
      <w:pPr>
        <w:pStyle w:val="ListParagraph"/>
        <w:ind w:left="0"/>
        <w:jc w:val="both"/>
        <w:rPr>
          <w:rFonts w:ascii="Arial" w:hAnsi="Arial" w:cs="Arial"/>
          <w:b/>
          <w:sz w:val="8"/>
          <w:szCs w:val="20"/>
        </w:rPr>
      </w:pPr>
    </w:p>
    <w:tbl>
      <w:tblPr>
        <w:tblW w:w="8230" w:type="dxa"/>
        <w:jc w:val="right"/>
        <w:tblBorders>
          <w:top w:val="single" w:sz="4" w:space="0" w:color="auto"/>
          <w:bottom w:val="single" w:sz="4" w:space="0" w:color="auto"/>
        </w:tblBorders>
        <w:tblLook w:val="04A0" w:firstRow="1" w:lastRow="0" w:firstColumn="1" w:lastColumn="0" w:noHBand="0" w:noVBand="1"/>
      </w:tblPr>
      <w:tblGrid>
        <w:gridCol w:w="308"/>
        <w:gridCol w:w="2026"/>
        <w:gridCol w:w="806"/>
        <w:gridCol w:w="1384"/>
        <w:gridCol w:w="1316"/>
        <w:gridCol w:w="1006"/>
        <w:gridCol w:w="1384"/>
      </w:tblGrid>
      <w:tr w:rsidR="00AF119C" w:rsidRPr="000C6B69" w:rsidTr="006B018F">
        <w:trPr>
          <w:trHeight w:val="376"/>
          <w:jc w:val="right"/>
        </w:trPr>
        <w:tc>
          <w:tcPr>
            <w:tcW w:w="308" w:type="dxa"/>
            <w:tcBorders>
              <w:bottom w:val="single" w:sz="4" w:space="0" w:color="auto"/>
            </w:tcBorders>
            <w:shd w:val="clear" w:color="auto" w:fill="auto"/>
            <w:vAlign w:val="center"/>
            <w:hideMark/>
          </w:tcPr>
          <w:p w:rsidR="00AF119C" w:rsidRPr="007427AA" w:rsidRDefault="00AF119C" w:rsidP="0079404B">
            <w:pPr>
              <w:spacing w:after="0" w:line="240" w:lineRule="auto"/>
              <w:jc w:val="center"/>
              <w:rPr>
                <w:rFonts w:ascii="Arial Narrow" w:hAnsi="Arial Narrow" w:cs="Arial"/>
                <w:b/>
                <w:bCs/>
                <w:color w:val="000000"/>
                <w:sz w:val="18"/>
                <w:szCs w:val="18"/>
                <w:lang w:eastAsia="en-PH"/>
              </w:rPr>
            </w:pPr>
            <w:r w:rsidRPr="007427AA">
              <w:rPr>
                <w:rFonts w:ascii="Arial Narrow" w:hAnsi="Arial Narrow" w:cs="Arial"/>
                <w:b/>
                <w:bCs/>
                <w:color w:val="000000"/>
                <w:sz w:val="18"/>
                <w:szCs w:val="18"/>
              </w:rPr>
              <w:t> </w:t>
            </w:r>
          </w:p>
        </w:tc>
        <w:tc>
          <w:tcPr>
            <w:tcW w:w="2026" w:type="dxa"/>
            <w:tcBorders>
              <w:bottom w:val="single" w:sz="4" w:space="0" w:color="auto"/>
            </w:tcBorders>
            <w:shd w:val="clear" w:color="auto" w:fill="auto"/>
            <w:vAlign w:val="center"/>
            <w:hideMark/>
          </w:tcPr>
          <w:p w:rsidR="00AF119C" w:rsidRPr="007427AA" w:rsidRDefault="00AF119C" w:rsidP="0079404B">
            <w:pPr>
              <w:spacing w:after="0" w:line="240" w:lineRule="auto"/>
              <w:jc w:val="center"/>
              <w:rPr>
                <w:rFonts w:ascii="Arial Narrow" w:hAnsi="Arial Narrow" w:cs="Arial"/>
                <w:b/>
                <w:bCs/>
                <w:color w:val="000000"/>
                <w:sz w:val="18"/>
                <w:szCs w:val="18"/>
              </w:rPr>
            </w:pPr>
            <w:r w:rsidRPr="007427AA">
              <w:rPr>
                <w:rFonts w:ascii="Arial Narrow" w:hAnsi="Arial Narrow" w:cs="Arial"/>
                <w:b/>
                <w:bCs/>
                <w:color w:val="000000"/>
                <w:sz w:val="18"/>
                <w:szCs w:val="18"/>
              </w:rPr>
              <w:t>Name of Illness</w:t>
            </w:r>
          </w:p>
        </w:tc>
        <w:tc>
          <w:tcPr>
            <w:tcW w:w="806" w:type="dxa"/>
            <w:tcBorders>
              <w:bottom w:val="single" w:sz="4" w:space="0" w:color="auto"/>
            </w:tcBorders>
            <w:shd w:val="clear" w:color="auto" w:fill="auto"/>
            <w:vAlign w:val="center"/>
            <w:hideMark/>
          </w:tcPr>
          <w:p w:rsidR="00AF119C" w:rsidRPr="007427AA" w:rsidRDefault="00AF119C" w:rsidP="0079404B">
            <w:pPr>
              <w:spacing w:after="0" w:line="240" w:lineRule="auto"/>
              <w:jc w:val="center"/>
              <w:rPr>
                <w:rFonts w:ascii="Arial Narrow" w:hAnsi="Arial Narrow" w:cs="Arial"/>
                <w:b/>
                <w:bCs/>
                <w:color w:val="000000"/>
                <w:sz w:val="18"/>
                <w:szCs w:val="18"/>
              </w:rPr>
            </w:pPr>
            <w:r w:rsidRPr="007427AA">
              <w:rPr>
                <w:rFonts w:ascii="Arial Narrow" w:hAnsi="Arial Narrow" w:cs="Arial"/>
                <w:b/>
                <w:bCs/>
                <w:color w:val="000000"/>
                <w:sz w:val="18"/>
                <w:szCs w:val="18"/>
              </w:rPr>
              <w:t>No. of Cases</w:t>
            </w:r>
          </w:p>
        </w:tc>
        <w:tc>
          <w:tcPr>
            <w:tcW w:w="1384" w:type="dxa"/>
            <w:tcBorders>
              <w:bottom w:val="single" w:sz="4" w:space="0" w:color="auto"/>
            </w:tcBorders>
            <w:shd w:val="clear" w:color="auto" w:fill="auto"/>
            <w:vAlign w:val="center"/>
            <w:hideMark/>
          </w:tcPr>
          <w:p w:rsidR="00AF119C" w:rsidRPr="007427AA" w:rsidRDefault="00AF119C" w:rsidP="005F05E4">
            <w:pPr>
              <w:spacing w:after="0" w:line="240" w:lineRule="auto"/>
              <w:jc w:val="right"/>
              <w:rPr>
                <w:rFonts w:ascii="Arial Narrow" w:hAnsi="Arial Narrow" w:cs="Arial"/>
                <w:b/>
                <w:bCs/>
                <w:color w:val="000000"/>
                <w:sz w:val="18"/>
                <w:szCs w:val="18"/>
              </w:rPr>
            </w:pPr>
          </w:p>
          <w:p w:rsidR="00AF119C" w:rsidRPr="007427AA" w:rsidRDefault="00AF119C" w:rsidP="005F05E4">
            <w:pPr>
              <w:spacing w:after="0" w:line="240" w:lineRule="auto"/>
              <w:jc w:val="right"/>
              <w:rPr>
                <w:rFonts w:ascii="Arial Narrow" w:hAnsi="Arial Narrow" w:cs="Arial"/>
                <w:b/>
                <w:bCs/>
                <w:color w:val="000000"/>
                <w:sz w:val="18"/>
                <w:szCs w:val="18"/>
              </w:rPr>
            </w:pPr>
            <w:r w:rsidRPr="007427AA">
              <w:rPr>
                <w:rFonts w:ascii="Arial Narrow" w:hAnsi="Arial Narrow" w:cs="Arial"/>
                <w:b/>
                <w:bCs/>
                <w:color w:val="000000"/>
                <w:sz w:val="18"/>
                <w:szCs w:val="18"/>
              </w:rPr>
              <w:t>Amount</w:t>
            </w:r>
          </w:p>
        </w:tc>
        <w:tc>
          <w:tcPr>
            <w:tcW w:w="1316" w:type="dxa"/>
            <w:tcBorders>
              <w:bottom w:val="single" w:sz="4" w:space="0" w:color="auto"/>
            </w:tcBorders>
            <w:shd w:val="clear" w:color="auto" w:fill="auto"/>
            <w:vAlign w:val="center"/>
            <w:hideMark/>
          </w:tcPr>
          <w:p w:rsidR="00AF119C" w:rsidRPr="007427AA" w:rsidRDefault="00AF119C" w:rsidP="0079404B">
            <w:pPr>
              <w:spacing w:after="0" w:line="240" w:lineRule="auto"/>
              <w:jc w:val="center"/>
              <w:rPr>
                <w:rFonts w:ascii="Arial Narrow" w:hAnsi="Arial Narrow" w:cs="Arial"/>
                <w:b/>
                <w:bCs/>
                <w:color w:val="000000"/>
                <w:sz w:val="18"/>
                <w:szCs w:val="18"/>
              </w:rPr>
            </w:pPr>
            <w:r w:rsidRPr="007427AA">
              <w:rPr>
                <w:rFonts w:ascii="Arial Narrow" w:hAnsi="Arial Narrow" w:cs="Arial"/>
                <w:b/>
                <w:bCs/>
                <w:color w:val="000000"/>
                <w:sz w:val="18"/>
                <w:szCs w:val="18"/>
              </w:rPr>
              <w:t>No. of CAs with identical information</w:t>
            </w:r>
          </w:p>
        </w:tc>
        <w:tc>
          <w:tcPr>
            <w:tcW w:w="1006" w:type="dxa"/>
            <w:tcBorders>
              <w:bottom w:val="single" w:sz="4" w:space="0" w:color="auto"/>
            </w:tcBorders>
            <w:shd w:val="clear" w:color="auto" w:fill="auto"/>
            <w:vAlign w:val="center"/>
            <w:hideMark/>
          </w:tcPr>
          <w:p w:rsidR="00AF119C" w:rsidRPr="007427AA" w:rsidRDefault="00AF119C" w:rsidP="0079404B">
            <w:pPr>
              <w:spacing w:after="0" w:line="240" w:lineRule="auto"/>
              <w:jc w:val="center"/>
              <w:rPr>
                <w:rFonts w:ascii="Arial Narrow" w:hAnsi="Arial Narrow" w:cs="Arial"/>
                <w:b/>
                <w:bCs/>
                <w:color w:val="000000"/>
                <w:sz w:val="18"/>
                <w:szCs w:val="18"/>
              </w:rPr>
            </w:pPr>
            <w:r w:rsidRPr="007427AA">
              <w:rPr>
                <w:rFonts w:ascii="Arial Narrow" w:hAnsi="Arial Narrow" w:cs="Arial"/>
                <w:b/>
                <w:bCs/>
                <w:color w:val="000000"/>
                <w:sz w:val="18"/>
                <w:szCs w:val="18"/>
              </w:rPr>
              <w:t>%</w:t>
            </w:r>
          </w:p>
        </w:tc>
        <w:tc>
          <w:tcPr>
            <w:tcW w:w="1384" w:type="dxa"/>
            <w:tcBorders>
              <w:bottom w:val="single" w:sz="4" w:space="0" w:color="auto"/>
            </w:tcBorders>
            <w:shd w:val="clear" w:color="auto" w:fill="auto"/>
            <w:vAlign w:val="center"/>
            <w:hideMark/>
          </w:tcPr>
          <w:p w:rsidR="00AF119C" w:rsidRPr="007427AA" w:rsidRDefault="00AF119C" w:rsidP="000C6B69">
            <w:pPr>
              <w:spacing w:after="0" w:line="240" w:lineRule="auto"/>
              <w:ind w:right="-90"/>
              <w:jc w:val="right"/>
              <w:rPr>
                <w:rFonts w:ascii="Arial Narrow" w:hAnsi="Arial Narrow" w:cs="Arial"/>
                <w:b/>
                <w:bCs/>
                <w:color w:val="000000"/>
                <w:sz w:val="18"/>
                <w:szCs w:val="18"/>
              </w:rPr>
            </w:pPr>
          </w:p>
          <w:p w:rsidR="00AF119C" w:rsidRPr="007427AA" w:rsidRDefault="00AF119C" w:rsidP="000C6B69">
            <w:pPr>
              <w:spacing w:after="0" w:line="240" w:lineRule="auto"/>
              <w:ind w:right="-90"/>
              <w:jc w:val="right"/>
              <w:rPr>
                <w:rFonts w:ascii="Arial Narrow" w:hAnsi="Arial Narrow" w:cs="Arial"/>
                <w:b/>
                <w:bCs/>
                <w:color w:val="000000"/>
                <w:sz w:val="18"/>
                <w:szCs w:val="18"/>
              </w:rPr>
            </w:pPr>
            <w:r w:rsidRPr="007427AA">
              <w:rPr>
                <w:rFonts w:ascii="Arial Narrow" w:hAnsi="Arial Narrow" w:cs="Arial"/>
                <w:b/>
                <w:bCs/>
                <w:color w:val="000000"/>
                <w:sz w:val="18"/>
                <w:szCs w:val="18"/>
              </w:rPr>
              <w:t>Amount</w:t>
            </w:r>
          </w:p>
        </w:tc>
      </w:tr>
      <w:tr w:rsidR="00AF119C" w:rsidRPr="000C6B69" w:rsidTr="006B018F">
        <w:trPr>
          <w:trHeight w:val="192"/>
          <w:jc w:val="right"/>
        </w:trPr>
        <w:tc>
          <w:tcPr>
            <w:tcW w:w="308" w:type="dxa"/>
            <w:tcBorders>
              <w:top w:val="single" w:sz="4" w:space="0" w:color="auto"/>
              <w:bottom w:val="nil"/>
            </w:tcBorders>
            <w:shd w:val="clear" w:color="auto" w:fill="auto"/>
            <w:noWrap/>
            <w:vAlign w:val="bottom"/>
            <w:hideMark/>
          </w:tcPr>
          <w:p w:rsidR="00AF119C" w:rsidRPr="007427AA" w:rsidRDefault="00AF119C" w:rsidP="005F05E4">
            <w:pPr>
              <w:spacing w:after="0" w:line="240" w:lineRule="auto"/>
              <w:ind w:hanging="85"/>
              <w:jc w:val="center"/>
              <w:rPr>
                <w:rFonts w:ascii="Arial Narrow" w:hAnsi="Arial Narrow" w:cs="Arial"/>
                <w:color w:val="000000"/>
                <w:sz w:val="18"/>
                <w:szCs w:val="18"/>
              </w:rPr>
            </w:pPr>
            <w:r w:rsidRPr="007427AA">
              <w:rPr>
                <w:rFonts w:ascii="Arial Narrow" w:hAnsi="Arial Narrow" w:cs="Arial"/>
                <w:color w:val="000000"/>
                <w:sz w:val="18"/>
                <w:szCs w:val="18"/>
              </w:rPr>
              <w:t>1</w:t>
            </w:r>
          </w:p>
        </w:tc>
        <w:tc>
          <w:tcPr>
            <w:tcW w:w="2026" w:type="dxa"/>
            <w:tcBorders>
              <w:top w:val="single" w:sz="4" w:space="0" w:color="auto"/>
              <w:bottom w:val="nil"/>
            </w:tcBorders>
            <w:shd w:val="clear" w:color="auto" w:fill="auto"/>
            <w:noWrap/>
            <w:vAlign w:val="bottom"/>
            <w:hideMark/>
          </w:tcPr>
          <w:p w:rsidR="00AF119C" w:rsidRPr="007427AA" w:rsidRDefault="00AF119C" w:rsidP="00AF119C">
            <w:pPr>
              <w:spacing w:after="0" w:line="240" w:lineRule="auto"/>
              <w:rPr>
                <w:rFonts w:ascii="Arial Narrow" w:hAnsi="Arial Narrow" w:cs="Arial"/>
                <w:color w:val="000000"/>
                <w:sz w:val="18"/>
                <w:szCs w:val="18"/>
              </w:rPr>
            </w:pPr>
            <w:r w:rsidRPr="007427AA">
              <w:rPr>
                <w:rFonts w:ascii="Arial Narrow" w:hAnsi="Arial Narrow" w:cs="Arial"/>
                <w:color w:val="000000"/>
                <w:sz w:val="18"/>
                <w:szCs w:val="18"/>
              </w:rPr>
              <w:t>Bronchitis</w:t>
            </w:r>
          </w:p>
        </w:tc>
        <w:tc>
          <w:tcPr>
            <w:tcW w:w="806" w:type="dxa"/>
            <w:tcBorders>
              <w:top w:val="single" w:sz="4" w:space="0" w:color="auto"/>
              <w:bottom w:val="nil"/>
            </w:tcBorders>
            <w:shd w:val="clear" w:color="auto" w:fill="auto"/>
            <w:noWrap/>
            <w:vAlign w:val="bottom"/>
            <w:hideMark/>
          </w:tcPr>
          <w:p w:rsidR="00AF119C" w:rsidRPr="007427AA" w:rsidRDefault="00AF119C" w:rsidP="00AF119C">
            <w:pPr>
              <w:spacing w:after="0" w:line="240" w:lineRule="auto"/>
              <w:jc w:val="center"/>
              <w:rPr>
                <w:rFonts w:ascii="Arial Narrow" w:hAnsi="Arial Narrow" w:cs="Arial"/>
                <w:color w:val="000000"/>
                <w:sz w:val="18"/>
                <w:szCs w:val="18"/>
              </w:rPr>
            </w:pPr>
            <w:r w:rsidRPr="007427AA">
              <w:rPr>
                <w:rFonts w:ascii="Arial Narrow" w:hAnsi="Arial Narrow" w:cs="Arial"/>
                <w:color w:val="000000"/>
                <w:sz w:val="18"/>
                <w:szCs w:val="18"/>
              </w:rPr>
              <w:t>20</w:t>
            </w:r>
          </w:p>
        </w:tc>
        <w:tc>
          <w:tcPr>
            <w:tcW w:w="1384" w:type="dxa"/>
            <w:tcBorders>
              <w:top w:val="single" w:sz="4" w:space="0" w:color="auto"/>
              <w:bottom w:val="nil"/>
            </w:tcBorders>
            <w:shd w:val="clear" w:color="auto" w:fill="auto"/>
            <w:noWrap/>
            <w:vAlign w:val="bottom"/>
            <w:hideMark/>
          </w:tcPr>
          <w:p w:rsidR="00AF119C" w:rsidRPr="007427AA" w:rsidRDefault="005F05E4" w:rsidP="005F05E4">
            <w:pPr>
              <w:spacing w:after="0" w:line="240" w:lineRule="auto"/>
              <w:jc w:val="right"/>
              <w:rPr>
                <w:rFonts w:ascii="Arial Narrow" w:hAnsi="Arial Narrow" w:cs="Arial"/>
                <w:color w:val="000000"/>
                <w:sz w:val="18"/>
                <w:szCs w:val="18"/>
              </w:rPr>
            </w:pPr>
            <w:r w:rsidRPr="007427AA">
              <w:rPr>
                <w:rFonts w:ascii="Arial Narrow" w:hAnsi="Arial Narrow" w:cs="Arial"/>
                <w:color w:val="000000"/>
                <w:sz w:val="18"/>
                <w:szCs w:val="18"/>
              </w:rPr>
              <w:t xml:space="preserve">P    </w:t>
            </w:r>
            <w:r w:rsidR="00AF119C" w:rsidRPr="007427AA">
              <w:rPr>
                <w:rFonts w:ascii="Arial Narrow" w:hAnsi="Arial Narrow" w:cs="Arial"/>
                <w:color w:val="000000"/>
                <w:sz w:val="18"/>
                <w:szCs w:val="18"/>
              </w:rPr>
              <w:t>512,000.00</w:t>
            </w:r>
          </w:p>
        </w:tc>
        <w:tc>
          <w:tcPr>
            <w:tcW w:w="1316" w:type="dxa"/>
            <w:tcBorders>
              <w:top w:val="single" w:sz="4" w:space="0" w:color="auto"/>
              <w:bottom w:val="nil"/>
            </w:tcBorders>
            <w:shd w:val="clear" w:color="auto" w:fill="auto"/>
            <w:noWrap/>
            <w:vAlign w:val="bottom"/>
            <w:hideMark/>
          </w:tcPr>
          <w:p w:rsidR="00AF119C" w:rsidRPr="007427AA" w:rsidRDefault="00AF119C" w:rsidP="005F05E4">
            <w:pPr>
              <w:spacing w:after="0" w:line="240" w:lineRule="auto"/>
              <w:ind w:right="280"/>
              <w:jc w:val="right"/>
              <w:rPr>
                <w:rFonts w:ascii="Arial Narrow" w:hAnsi="Arial Narrow" w:cs="Arial"/>
                <w:color w:val="000000"/>
                <w:sz w:val="18"/>
                <w:szCs w:val="18"/>
              </w:rPr>
            </w:pPr>
            <w:r w:rsidRPr="007427AA">
              <w:rPr>
                <w:rFonts w:ascii="Arial Narrow" w:hAnsi="Arial Narrow" w:cs="Arial"/>
                <w:color w:val="000000"/>
                <w:sz w:val="18"/>
                <w:szCs w:val="18"/>
              </w:rPr>
              <w:t>19</w:t>
            </w:r>
          </w:p>
        </w:tc>
        <w:tc>
          <w:tcPr>
            <w:tcW w:w="1006" w:type="dxa"/>
            <w:tcBorders>
              <w:top w:val="single" w:sz="4" w:space="0" w:color="auto"/>
              <w:bottom w:val="nil"/>
            </w:tcBorders>
            <w:shd w:val="clear" w:color="auto" w:fill="auto"/>
            <w:noWrap/>
            <w:vAlign w:val="bottom"/>
            <w:hideMark/>
          </w:tcPr>
          <w:p w:rsidR="00AF119C" w:rsidRPr="007427AA" w:rsidRDefault="00AF119C" w:rsidP="00AF119C">
            <w:pPr>
              <w:spacing w:after="0" w:line="240" w:lineRule="auto"/>
              <w:jc w:val="center"/>
              <w:rPr>
                <w:rFonts w:ascii="Arial Narrow" w:hAnsi="Arial Narrow" w:cs="Arial"/>
                <w:color w:val="000000"/>
                <w:sz w:val="18"/>
                <w:szCs w:val="18"/>
              </w:rPr>
            </w:pPr>
            <w:r w:rsidRPr="007427AA">
              <w:rPr>
                <w:rFonts w:ascii="Arial Narrow" w:hAnsi="Arial Narrow" w:cs="Arial"/>
                <w:color w:val="000000"/>
                <w:sz w:val="18"/>
                <w:szCs w:val="18"/>
              </w:rPr>
              <w:t>95.00%</w:t>
            </w:r>
          </w:p>
        </w:tc>
        <w:tc>
          <w:tcPr>
            <w:tcW w:w="1384" w:type="dxa"/>
            <w:tcBorders>
              <w:top w:val="single" w:sz="4" w:space="0" w:color="auto"/>
              <w:bottom w:val="nil"/>
            </w:tcBorders>
            <w:shd w:val="clear" w:color="auto" w:fill="auto"/>
            <w:noWrap/>
            <w:vAlign w:val="bottom"/>
            <w:hideMark/>
          </w:tcPr>
          <w:p w:rsidR="00AF119C" w:rsidRPr="007427AA" w:rsidRDefault="005F05E4" w:rsidP="000C6B69">
            <w:pPr>
              <w:spacing w:after="0" w:line="240" w:lineRule="auto"/>
              <w:ind w:right="-90"/>
              <w:jc w:val="right"/>
              <w:rPr>
                <w:rFonts w:ascii="Arial Narrow" w:hAnsi="Arial Narrow" w:cs="Arial"/>
                <w:color w:val="000000"/>
                <w:sz w:val="18"/>
                <w:szCs w:val="18"/>
              </w:rPr>
            </w:pPr>
            <w:r w:rsidRPr="007427AA">
              <w:rPr>
                <w:rFonts w:ascii="Arial Narrow" w:hAnsi="Arial Narrow" w:cs="Arial"/>
                <w:color w:val="000000"/>
                <w:sz w:val="18"/>
                <w:szCs w:val="18"/>
              </w:rPr>
              <w:t xml:space="preserve">P    </w:t>
            </w:r>
            <w:r w:rsidR="00AF119C" w:rsidRPr="007427AA">
              <w:rPr>
                <w:rFonts w:ascii="Arial Narrow" w:hAnsi="Arial Narrow" w:cs="Arial"/>
                <w:color w:val="000000"/>
                <w:sz w:val="18"/>
                <w:szCs w:val="18"/>
              </w:rPr>
              <w:t>488,000.00</w:t>
            </w:r>
          </w:p>
        </w:tc>
      </w:tr>
      <w:tr w:rsidR="00AF119C" w:rsidRPr="000C6B69" w:rsidTr="006B018F">
        <w:trPr>
          <w:trHeight w:val="192"/>
          <w:jc w:val="right"/>
        </w:trPr>
        <w:tc>
          <w:tcPr>
            <w:tcW w:w="308" w:type="dxa"/>
            <w:tcBorders>
              <w:top w:val="nil"/>
              <w:bottom w:val="nil"/>
            </w:tcBorders>
            <w:shd w:val="clear" w:color="auto" w:fill="auto"/>
            <w:noWrap/>
            <w:vAlign w:val="bottom"/>
            <w:hideMark/>
          </w:tcPr>
          <w:p w:rsidR="00AF119C" w:rsidRPr="007427AA" w:rsidRDefault="00AF119C" w:rsidP="005F05E4">
            <w:pPr>
              <w:spacing w:after="0" w:line="240" w:lineRule="auto"/>
              <w:ind w:hanging="85"/>
              <w:jc w:val="center"/>
              <w:rPr>
                <w:rFonts w:ascii="Arial Narrow" w:hAnsi="Arial Narrow" w:cs="Arial"/>
                <w:color w:val="000000"/>
                <w:sz w:val="18"/>
                <w:szCs w:val="18"/>
              </w:rPr>
            </w:pPr>
            <w:r w:rsidRPr="007427AA">
              <w:rPr>
                <w:rFonts w:ascii="Arial Narrow" w:hAnsi="Arial Narrow" w:cs="Arial"/>
                <w:color w:val="000000"/>
                <w:sz w:val="18"/>
                <w:szCs w:val="18"/>
              </w:rPr>
              <w:t>2</w:t>
            </w:r>
          </w:p>
        </w:tc>
        <w:tc>
          <w:tcPr>
            <w:tcW w:w="2026" w:type="dxa"/>
            <w:tcBorders>
              <w:top w:val="nil"/>
              <w:bottom w:val="nil"/>
            </w:tcBorders>
            <w:shd w:val="clear" w:color="auto" w:fill="auto"/>
            <w:noWrap/>
            <w:vAlign w:val="bottom"/>
            <w:hideMark/>
          </w:tcPr>
          <w:p w:rsidR="00AF119C" w:rsidRPr="007427AA" w:rsidRDefault="00AF119C" w:rsidP="00AF119C">
            <w:pPr>
              <w:spacing w:after="0" w:line="240" w:lineRule="auto"/>
              <w:rPr>
                <w:rFonts w:ascii="Arial Narrow" w:hAnsi="Arial Narrow" w:cs="Arial"/>
                <w:color w:val="000000"/>
                <w:sz w:val="18"/>
                <w:szCs w:val="18"/>
              </w:rPr>
            </w:pPr>
            <w:r w:rsidRPr="007427AA">
              <w:rPr>
                <w:rFonts w:ascii="Arial Narrow" w:hAnsi="Arial Narrow" w:cs="Arial"/>
                <w:color w:val="000000"/>
                <w:sz w:val="18"/>
                <w:szCs w:val="18"/>
              </w:rPr>
              <w:t>Gastroenteritis</w:t>
            </w:r>
          </w:p>
        </w:tc>
        <w:tc>
          <w:tcPr>
            <w:tcW w:w="806" w:type="dxa"/>
            <w:tcBorders>
              <w:top w:val="nil"/>
              <w:bottom w:val="nil"/>
            </w:tcBorders>
            <w:shd w:val="clear" w:color="auto" w:fill="auto"/>
            <w:noWrap/>
            <w:vAlign w:val="bottom"/>
            <w:hideMark/>
          </w:tcPr>
          <w:p w:rsidR="00AF119C" w:rsidRPr="007427AA" w:rsidRDefault="00AF119C" w:rsidP="00AF119C">
            <w:pPr>
              <w:spacing w:after="0" w:line="240" w:lineRule="auto"/>
              <w:jc w:val="center"/>
              <w:rPr>
                <w:rFonts w:ascii="Arial Narrow" w:hAnsi="Arial Narrow" w:cs="Arial"/>
                <w:color w:val="000000"/>
                <w:sz w:val="18"/>
                <w:szCs w:val="18"/>
              </w:rPr>
            </w:pPr>
            <w:r w:rsidRPr="007427AA">
              <w:rPr>
                <w:rFonts w:ascii="Arial Narrow" w:hAnsi="Arial Narrow" w:cs="Arial"/>
                <w:color w:val="000000"/>
                <w:sz w:val="18"/>
                <w:szCs w:val="18"/>
              </w:rPr>
              <w:t>24</w:t>
            </w:r>
          </w:p>
        </w:tc>
        <w:tc>
          <w:tcPr>
            <w:tcW w:w="1384" w:type="dxa"/>
            <w:tcBorders>
              <w:top w:val="nil"/>
              <w:bottom w:val="nil"/>
            </w:tcBorders>
            <w:shd w:val="clear" w:color="auto" w:fill="auto"/>
            <w:noWrap/>
            <w:vAlign w:val="bottom"/>
            <w:hideMark/>
          </w:tcPr>
          <w:p w:rsidR="00AF119C" w:rsidRPr="007427AA" w:rsidRDefault="00AF119C" w:rsidP="005F05E4">
            <w:pPr>
              <w:spacing w:after="0" w:line="240" w:lineRule="auto"/>
              <w:jc w:val="right"/>
              <w:rPr>
                <w:rFonts w:ascii="Arial Narrow" w:hAnsi="Arial Narrow" w:cs="Arial"/>
                <w:color w:val="000000"/>
                <w:sz w:val="18"/>
                <w:szCs w:val="18"/>
              </w:rPr>
            </w:pPr>
            <w:r w:rsidRPr="007427AA">
              <w:rPr>
                <w:rFonts w:ascii="Arial Narrow" w:hAnsi="Arial Narrow" w:cs="Arial"/>
                <w:color w:val="000000"/>
                <w:sz w:val="18"/>
                <w:szCs w:val="18"/>
              </w:rPr>
              <w:t>429,900.00</w:t>
            </w:r>
          </w:p>
        </w:tc>
        <w:tc>
          <w:tcPr>
            <w:tcW w:w="1316" w:type="dxa"/>
            <w:tcBorders>
              <w:top w:val="nil"/>
              <w:bottom w:val="nil"/>
            </w:tcBorders>
            <w:shd w:val="clear" w:color="auto" w:fill="auto"/>
            <w:noWrap/>
            <w:vAlign w:val="bottom"/>
            <w:hideMark/>
          </w:tcPr>
          <w:p w:rsidR="00AF119C" w:rsidRPr="007427AA" w:rsidRDefault="00AF119C" w:rsidP="005F05E4">
            <w:pPr>
              <w:spacing w:after="0" w:line="240" w:lineRule="auto"/>
              <w:ind w:right="280"/>
              <w:jc w:val="right"/>
              <w:rPr>
                <w:rFonts w:ascii="Arial Narrow" w:hAnsi="Arial Narrow" w:cs="Arial"/>
                <w:color w:val="000000"/>
                <w:sz w:val="18"/>
                <w:szCs w:val="18"/>
              </w:rPr>
            </w:pPr>
            <w:r w:rsidRPr="007427AA">
              <w:rPr>
                <w:rFonts w:ascii="Arial Narrow" w:hAnsi="Arial Narrow" w:cs="Arial"/>
                <w:color w:val="000000"/>
                <w:sz w:val="18"/>
                <w:szCs w:val="18"/>
              </w:rPr>
              <w:t>23</w:t>
            </w:r>
          </w:p>
        </w:tc>
        <w:tc>
          <w:tcPr>
            <w:tcW w:w="1006" w:type="dxa"/>
            <w:tcBorders>
              <w:top w:val="nil"/>
              <w:bottom w:val="nil"/>
            </w:tcBorders>
            <w:shd w:val="clear" w:color="auto" w:fill="auto"/>
            <w:noWrap/>
            <w:vAlign w:val="bottom"/>
            <w:hideMark/>
          </w:tcPr>
          <w:p w:rsidR="00AF119C" w:rsidRPr="007427AA" w:rsidRDefault="00AF119C" w:rsidP="00AF119C">
            <w:pPr>
              <w:spacing w:after="0" w:line="240" w:lineRule="auto"/>
              <w:jc w:val="center"/>
              <w:rPr>
                <w:rFonts w:ascii="Arial Narrow" w:hAnsi="Arial Narrow" w:cs="Arial"/>
                <w:color w:val="000000"/>
                <w:sz w:val="18"/>
                <w:szCs w:val="18"/>
              </w:rPr>
            </w:pPr>
            <w:r w:rsidRPr="007427AA">
              <w:rPr>
                <w:rFonts w:ascii="Arial Narrow" w:hAnsi="Arial Narrow" w:cs="Arial"/>
                <w:color w:val="000000"/>
                <w:sz w:val="18"/>
                <w:szCs w:val="18"/>
              </w:rPr>
              <w:t>95.83%</w:t>
            </w:r>
          </w:p>
        </w:tc>
        <w:tc>
          <w:tcPr>
            <w:tcW w:w="1384" w:type="dxa"/>
            <w:tcBorders>
              <w:top w:val="nil"/>
              <w:bottom w:val="nil"/>
            </w:tcBorders>
            <w:shd w:val="clear" w:color="auto" w:fill="auto"/>
            <w:noWrap/>
            <w:vAlign w:val="bottom"/>
            <w:hideMark/>
          </w:tcPr>
          <w:p w:rsidR="00AF119C" w:rsidRPr="007427AA" w:rsidRDefault="00AF119C" w:rsidP="000C6B69">
            <w:pPr>
              <w:spacing w:after="0" w:line="240" w:lineRule="auto"/>
              <w:ind w:right="-90"/>
              <w:jc w:val="right"/>
              <w:rPr>
                <w:rFonts w:ascii="Arial Narrow" w:hAnsi="Arial Narrow" w:cs="Arial"/>
                <w:color w:val="000000"/>
                <w:sz w:val="18"/>
                <w:szCs w:val="18"/>
              </w:rPr>
            </w:pPr>
            <w:r w:rsidRPr="007427AA">
              <w:rPr>
                <w:rFonts w:ascii="Arial Narrow" w:hAnsi="Arial Narrow" w:cs="Arial"/>
                <w:color w:val="000000"/>
                <w:sz w:val="18"/>
                <w:szCs w:val="18"/>
              </w:rPr>
              <w:t>412,900.00</w:t>
            </w:r>
          </w:p>
        </w:tc>
      </w:tr>
      <w:tr w:rsidR="00AF119C" w:rsidRPr="000C6B69" w:rsidTr="006B018F">
        <w:trPr>
          <w:trHeight w:val="192"/>
          <w:jc w:val="right"/>
        </w:trPr>
        <w:tc>
          <w:tcPr>
            <w:tcW w:w="308" w:type="dxa"/>
            <w:tcBorders>
              <w:top w:val="nil"/>
              <w:bottom w:val="nil"/>
            </w:tcBorders>
            <w:shd w:val="clear" w:color="auto" w:fill="auto"/>
            <w:noWrap/>
            <w:vAlign w:val="bottom"/>
            <w:hideMark/>
          </w:tcPr>
          <w:p w:rsidR="00AF119C" w:rsidRPr="007427AA" w:rsidRDefault="00AF119C" w:rsidP="005F05E4">
            <w:pPr>
              <w:spacing w:after="0" w:line="240" w:lineRule="auto"/>
              <w:ind w:hanging="85"/>
              <w:jc w:val="center"/>
              <w:rPr>
                <w:rFonts w:ascii="Arial Narrow" w:hAnsi="Arial Narrow" w:cs="Arial"/>
                <w:color w:val="000000"/>
                <w:sz w:val="18"/>
                <w:szCs w:val="18"/>
              </w:rPr>
            </w:pPr>
            <w:r w:rsidRPr="007427AA">
              <w:rPr>
                <w:rFonts w:ascii="Arial Narrow" w:hAnsi="Arial Narrow" w:cs="Arial"/>
                <w:color w:val="000000"/>
                <w:sz w:val="18"/>
                <w:szCs w:val="18"/>
              </w:rPr>
              <w:t>3</w:t>
            </w:r>
          </w:p>
        </w:tc>
        <w:tc>
          <w:tcPr>
            <w:tcW w:w="2026" w:type="dxa"/>
            <w:tcBorders>
              <w:top w:val="nil"/>
              <w:bottom w:val="nil"/>
            </w:tcBorders>
            <w:shd w:val="clear" w:color="auto" w:fill="auto"/>
            <w:noWrap/>
            <w:vAlign w:val="bottom"/>
            <w:hideMark/>
          </w:tcPr>
          <w:p w:rsidR="00AF119C" w:rsidRPr="007427AA" w:rsidRDefault="00AF119C" w:rsidP="00AF119C">
            <w:pPr>
              <w:spacing w:after="0" w:line="240" w:lineRule="auto"/>
              <w:rPr>
                <w:rFonts w:ascii="Arial Narrow" w:hAnsi="Arial Narrow" w:cs="Arial"/>
                <w:color w:val="000000"/>
                <w:sz w:val="18"/>
                <w:szCs w:val="18"/>
              </w:rPr>
            </w:pPr>
            <w:r w:rsidRPr="007427AA">
              <w:rPr>
                <w:rFonts w:ascii="Arial Narrow" w:hAnsi="Arial Narrow" w:cs="Arial"/>
                <w:color w:val="000000"/>
                <w:sz w:val="18"/>
                <w:szCs w:val="18"/>
              </w:rPr>
              <w:t>Glomerulonephritis</w:t>
            </w:r>
          </w:p>
        </w:tc>
        <w:tc>
          <w:tcPr>
            <w:tcW w:w="806" w:type="dxa"/>
            <w:tcBorders>
              <w:top w:val="nil"/>
              <w:bottom w:val="nil"/>
            </w:tcBorders>
            <w:shd w:val="clear" w:color="auto" w:fill="auto"/>
            <w:noWrap/>
            <w:vAlign w:val="bottom"/>
            <w:hideMark/>
          </w:tcPr>
          <w:p w:rsidR="00AF119C" w:rsidRPr="007427AA" w:rsidRDefault="00AF119C" w:rsidP="00AF119C">
            <w:pPr>
              <w:spacing w:after="0" w:line="240" w:lineRule="auto"/>
              <w:jc w:val="center"/>
              <w:rPr>
                <w:rFonts w:ascii="Arial Narrow" w:hAnsi="Arial Narrow" w:cs="Arial"/>
                <w:color w:val="000000"/>
                <w:sz w:val="18"/>
                <w:szCs w:val="18"/>
              </w:rPr>
            </w:pPr>
            <w:r w:rsidRPr="007427AA">
              <w:rPr>
                <w:rFonts w:ascii="Arial Narrow" w:hAnsi="Arial Narrow" w:cs="Arial"/>
                <w:color w:val="000000"/>
                <w:sz w:val="18"/>
                <w:szCs w:val="18"/>
              </w:rPr>
              <w:t>24</w:t>
            </w:r>
          </w:p>
        </w:tc>
        <w:tc>
          <w:tcPr>
            <w:tcW w:w="1384" w:type="dxa"/>
            <w:tcBorders>
              <w:top w:val="nil"/>
              <w:bottom w:val="nil"/>
            </w:tcBorders>
            <w:shd w:val="clear" w:color="auto" w:fill="auto"/>
            <w:noWrap/>
            <w:vAlign w:val="bottom"/>
            <w:hideMark/>
          </w:tcPr>
          <w:p w:rsidR="00AF119C" w:rsidRPr="007427AA" w:rsidRDefault="00AF119C" w:rsidP="005F05E4">
            <w:pPr>
              <w:spacing w:after="0" w:line="240" w:lineRule="auto"/>
              <w:jc w:val="right"/>
              <w:rPr>
                <w:rFonts w:ascii="Arial Narrow" w:hAnsi="Arial Narrow" w:cs="Arial"/>
                <w:color w:val="000000"/>
                <w:sz w:val="18"/>
                <w:szCs w:val="18"/>
              </w:rPr>
            </w:pPr>
            <w:r w:rsidRPr="007427AA">
              <w:rPr>
                <w:rFonts w:ascii="Arial Narrow" w:hAnsi="Arial Narrow" w:cs="Arial"/>
                <w:color w:val="000000"/>
                <w:sz w:val="18"/>
                <w:szCs w:val="18"/>
              </w:rPr>
              <w:t>447,600.00</w:t>
            </w:r>
          </w:p>
        </w:tc>
        <w:tc>
          <w:tcPr>
            <w:tcW w:w="1316" w:type="dxa"/>
            <w:tcBorders>
              <w:top w:val="nil"/>
              <w:bottom w:val="nil"/>
            </w:tcBorders>
            <w:shd w:val="clear" w:color="auto" w:fill="auto"/>
            <w:noWrap/>
            <w:vAlign w:val="bottom"/>
            <w:hideMark/>
          </w:tcPr>
          <w:p w:rsidR="00AF119C" w:rsidRPr="007427AA" w:rsidRDefault="00AF119C" w:rsidP="005F05E4">
            <w:pPr>
              <w:spacing w:after="0" w:line="240" w:lineRule="auto"/>
              <w:ind w:right="280"/>
              <w:jc w:val="right"/>
              <w:rPr>
                <w:rFonts w:ascii="Arial Narrow" w:hAnsi="Arial Narrow" w:cs="Arial"/>
                <w:color w:val="000000"/>
                <w:sz w:val="18"/>
                <w:szCs w:val="18"/>
              </w:rPr>
            </w:pPr>
            <w:r w:rsidRPr="007427AA">
              <w:rPr>
                <w:rFonts w:ascii="Arial Narrow" w:hAnsi="Arial Narrow" w:cs="Arial"/>
                <w:color w:val="000000"/>
                <w:sz w:val="18"/>
                <w:szCs w:val="18"/>
              </w:rPr>
              <w:t>24</w:t>
            </w:r>
          </w:p>
        </w:tc>
        <w:tc>
          <w:tcPr>
            <w:tcW w:w="1006" w:type="dxa"/>
            <w:tcBorders>
              <w:top w:val="nil"/>
              <w:bottom w:val="nil"/>
            </w:tcBorders>
            <w:shd w:val="clear" w:color="auto" w:fill="auto"/>
            <w:noWrap/>
            <w:vAlign w:val="bottom"/>
            <w:hideMark/>
          </w:tcPr>
          <w:p w:rsidR="00AF119C" w:rsidRPr="007427AA" w:rsidRDefault="00AF119C" w:rsidP="00AF119C">
            <w:pPr>
              <w:spacing w:after="0" w:line="240" w:lineRule="auto"/>
              <w:jc w:val="center"/>
              <w:rPr>
                <w:rFonts w:ascii="Arial Narrow" w:hAnsi="Arial Narrow" w:cs="Arial"/>
                <w:color w:val="000000"/>
                <w:sz w:val="18"/>
                <w:szCs w:val="18"/>
              </w:rPr>
            </w:pPr>
            <w:r w:rsidRPr="007427AA">
              <w:rPr>
                <w:rFonts w:ascii="Arial Narrow" w:hAnsi="Arial Narrow" w:cs="Arial"/>
                <w:color w:val="000000"/>
                <w:sz w:val="18"/>
                <w:szCs w:val="18"/>
              </w:rPr>
              <w:t>100.00%</w:t>
            </w:r>
          </w:p>
        </w:tc>
        <w:tc>
          <w:tcPr>
            <w:tcW w:w="1384" w:type="dxa"/>
            <w:tcBorders>
              <w:top w:val="nil"/>
              <w:bottom w:val="nil"/>
            </w:tcBorders>
            <w:shd w:val="clear" w:color="auto" w:fill="auto"/>
            <w:noWrap/>
            <w:vAlign w:val="bottom"/>
            <w:hideMark/>
          </w:tcPr>
          <w:p w:rsidR="00AF119C" w:rsidRPr="007427AA" w:rsidRDefault="00AF119C" w:rsidP="000C6B69">
            <w:pPr>
              <w:spacing w:after="0" w:line="240" w:lineRule="auto"/>
              <w:ind w:right="-90"/>
              <w:jc w:val="right"/>
              <w:rPr>
                <w:rFonts w:ascii="Arial Narrow" w:hAnsi="Arial Narrow" w:cs="Arial"/>
                <w:color w:val="000000"/>
                <w:sz w:val="18"/>
                <w:szCs w:val="18"/>
              </w:rPr>
            </w:pPr>
            <w:r w:rsidRPr="007427AA">
              <w:rPr>
                <w:rFonts w:ascii="Arial Narrow" w:hAnsi="Arial Narrow" w:cs="Arial"/>
                <w:color w:val="000000"/>
                <w:sz w:val="18"/>
                <w:szCs w:val="18"/>
              </w:rPr>
              <w:t>447,600.00</w:t>
            </w:r>
          </w:p>
        </w:tc>
      </w:tr>
      <w:tr w:rsidR="00AF119C" w:rsidRPr="000C6B69" w:rsidTr="006B018F">
        <w:trPr>
          <w:trHeight w:val="192"/>
          <w:jc w:val="right"/>
        </w:trPr>
        <w:tc>
          <w:tcPr>
            <w:tcW w:w="308" w:type="dxa"/>
            <w:tcBorders>
              <w:top w:val="nil"/>
              <w:bottom w:val="nil"/>
            </w:tcBorders>
            <w:shd w:val="clear" w:color="auto" w:fill="auto"/>
            <w:noWrap/>
            <w:vAlign w:val="bottom"/>
            <w:hideMark/>
          </w:tcPr>
          <w:p w:rsidR="00AF119C" w:rsidRPr="007427AA" w:rsidRDefault="00AF119C" w:rsidP="005F05E4">
            <w:pPr>
              <w:spacing w:after="0" w:line="240" w:lineRule="auto"/>
              <w:ind w:hanging="85"/>
              <w:jc w:val="center"/>
              <w:rPr>
                <w:rFonts w:ascii="Arial Narrow" w:hAnsi="Arial Narrow" w:cs="Arial"/>
                <w:color w:val="000000"/>
                <w:sz w:val="18"/>
                <w:szCs w:val="18"/>
              </w:rPr>
            </w:pPr>
            <w:r w:rsidRPr="007427AA">
              <w:rPr>
                <w:rFonts w:ascii="Arial Narrow" w:hAnsi="Arial Narrow" w:cs="Arial"/>
                <w:color w:val="000000"/>
                <w:sz w:val="18"/>
                <w:szCs w:val="18"/>
              </w:rPr>
              <w:t>4</w:t>
            </w:r>
          </w:p>
        </w:tc>
        <w:tc>
          <w:tcPr>
            <w:tcW w:w="2026" w:type="dxa"/>
            <w:tcBorders>
              <w:top w:val="nil"/>
              <w:bottom w:val="nil"/>
            </w:tcBorders>
            <w:shd w:val="clear" w:color="auto" w:fill="auto"/>
            <w:noWrap/>
            <w:vAlign w:val="bottom"/>
            <w:hideMark/>
          </w:tcPr>
          <w:p w:rsidR="00AF119C" w:rsidRPr="007427AA" w:rsidRDefault="00AF119C" w:rsidP="00AF119C">
            <w:pPr>
              <w:spacing w:after="0" w:line="240" w:lineRule="auto"/>
              <w:rPr>
                <w:rFonts w:ascii="Arial Narrow" w:hAnsi="Arial Narrow" w:cs="Arial"/>
                <w:color w:val="000000"/>
                <w:sz w:val="18"/>
                <w:szCs w:val="18"/>
              </w:rPr>
            </w:pPr>
            <w:r w:rsidRPr="007427AA">
              <w:rPr>
                <w:rFonts w:ascii="Arial Narrow" w:hAnsi="Arial Narrow" w:cs="Arial"/>
                <w:color w:val="000000"/>
                <w:sz w:val="18"/>
                <w:szCs w:val="18"/>
              </w:rPr>
              <w:t>Pneumonia</w:t>
            </w:r>
          </w:p>
        </w:tc>
        <w:tc>
          <w:tcPr>
            <w:tcW w:w="806" w:type="dxa"/>
            <w:tcBorders>
              <w:top w:val="nil"/>
              <w:bottom w:val="nil"/>
            </w:tcBorders>
            <w:shd w:val="clear" w:color="auto" w:fill="auto"/>
            <w:noWrap/>
            <w:vAlign w:val="bottom"/>
            <w:hideMark/>
          </w:tcPr>
          <w:p w:rsidR="00AF119C" w:rsidRPr="007427AA" w:rsidRDefault="00AF119C" w:rsidP="00AF119C">
            <w:pPr>
              <w:spacing w:after="0" w:line="240" w:lineRule="auto"/>
              <w:jc w:val="center"/>
              <w:rPr>
                <w:rFonts w:ascii="Arial Narrow" w:hAnsi="Arial Narrow" w:cs="Arial"/>
                <w:color w:val="000000"/>
                <w:sz w:val="18"/>
                <w:szCs w:val="18"/>
              </w:rPr>
            </w:pPr>
            <w:r w:rsidRPr="007427AA">
              <w:rPr>
                <w:rFonts w:ascii="Arial Narrow" w:hAnsi="Arial Narrow" w:cs="Arial"/>
                <w:color w:val="000000"/>
                <w:sz w:val="18"/>
                <w:szCs w:val="18"/>
              </w:rPr>
              <w:t>55</w:t>
            </w:r>
          </w:p>
        </w:tc>
        <w:tc>
          <w:tcPr>
            <w:tcW w:w="1384" w:type="dxa"/>
            <w:tcBorders>
              <w:top w:val="nil"/>
              <w:bottom w:val="nil"/>
            </w:tcBorders>
            <w:shd w:val="clear" w:color="auto" w:fill="auto"/>
            <w:noWrap/>
            <w:vAlign w:val="bottom"/>
            <w:hideMark/>
          </w:tcPr>
          <w:p w:rsidR="00AF119C" w:rsidRPr="007427AA" w:rsidRDefault="00AF119C" w:rsidP="005F05E4">
            <w:pPr>
              <w:spacing w:after="0" w:line="240" w:lineRule="auto"/>
              <w:jc w:val="right"/>
              <w:rPr>
                <w:rFonts w:ascii="Arial Narrow" w:hAnsi="Arial Narrow" w:cs="Arial"/>
                <w:color w:val="000000"/>
                <w:sz w:val="18"/>
                <w:szCs w:val="18"/>
              </w:rPr>
            </w:pPr>
            <w:r w:rsidRPr="007427AA">
              <w:rPr>
                <w:rFonts w:ascii="Arial Narrow" w:hAnsi="Arial Narrow" w:cs="Arial"/>
                <w:color w:val="000000"/>
                <w:sz w:val="18"/>
                <w:szCs w:val="18"/>
              </w:rPr>
              <w:t>1,339,980.00</w:t>
            </w:r>
          </w:p>
        </w:tc>
        <w:tc>
          <w:tcPr>
            <w:tcW w:w="1316" w:type="dxa"/>
            <w:tcBorders>
              <w:top w:val="nil"/>
              <w:bottom w:val="nil"/>
            </w:tcBorders>
            <w:shd w:val="clear" w:color="auto" w:fill="auto"/>
            <w:noWrap/>
            <w:vAlign w:val="bottom"/>
            <w:hideMark/>
          </w:tcPr>
          <w:p w:rsidR="00AF119C" w:rsidRPr="007427AA" w:rsidRDefault="00AF119C" w:rsidP="005F05E4">
            <w:pPr>
              <w:spacing w:after="0" w:line="240" w:lineRule="auto"/>
              <w:ind w:right="280"/>
              <w:jc w:val="right"/>
              <w:rPr>
                <w:rFonts w:ascii="Arial Narrow" w:hAnsi="Arial Narrow" w:cs="Arial"/>
                <w:color w:val="000000"/>
                <w:sz w:val="18"/>
                <w:szCs w:val="18"/>
              </w:rPr>
            </w:pPr>
            <w:r w:rsidRPr="007427AA">
              <w:rPr>
                <w:rFonts w:ascii="Arial Narrow" w:hAnsi="Arial Narrow" w:cs="Arial"/>
                <w:color w:val="000000"/>
                <w:sz w:val="18"/>
                <w:szCs w:val="18"/>
              </w:rPr>
              <w:t>51</w:t>
            </w:r>
          </w:p>
        </w:tc>
        <w:tc>
          <w:tcPr>
            <w:tcW w:w="1006" w:type="dxa"/>
            <w:tcBorders>
              <w:top w:val="nil"/>
              <w:bottom w:val="nil"/>
            </w:tcBorders>
            <w:shd w:val="clear" w:color="auto" w:fill="auto"/>
            <w:noWrap/>
            <w:vAlign w:val="bottom"/>
            <w:hideMark/>
          </w:tcPr>
          <w:p w:rsidR="00AF119C" w:rsidRPr="007427AA" w:rsidRDefault="00AF119C" w:rsidP="00AF119C">
            <w:pPr>
              <w:spacing w:after="0" w:line="240" w:lineRule="auto"/>
              <w:jc w:val="center"/>
              <w:rPr>
                <w:rFonts w:ascii="Arial Narrow" w:hAnsi="Arial Narrow" w:cs="Arial"/>
                <w:color w:val="000000"/>
                <w:sz w:val="18"/>
                <w:szCs w:val="18"/>
              </w:rPr>
            </w:pPr>
            <w:r w:rsidRPr="007427AA">
              <w:rPr>
                <w:rFonts w:ascii="Arial Narrow" w:hAnsi="Arial Narrow" w:cs="Arial"/>
                <w:color w:val="000000"/>
                <w:sz w:val="18"/>
                <w:szCs w:val="18"/>
              </w:rPr>
              <w:t>92.73%</w:t>
            </w:r>
          </w:p>
        </w:tc>
        <w:tc>
          <w:tcPr>
            <w:tcW w:w="1384" w:type="dxa"/>
            <w:tcBorders>
              <w:top w:val="nil"/>
              <w:bottom w:val="nil"/>
            </w:tcBorders>
            <w:shd w:val="clear" w:color="auto" w:fill="auto"/>
            <w:noWrap/>
            <w:vAlign w:val="bottom"/>
            <w:hideMark/>
          </w:tcPr>
          <w:p w:rsidR="00AF119C" w:rsidRPr="007427AA" w:rsidRDefault="00AF119C" w:rsidP="000C6B69">
            <w:pPr>
              <w:spacing w:after="0" w:line="240" w:lineRule="auto"/>
              <w:ind w:right="-90"/>
              <w:jc w:val="right"/>
              <w:rPr>
                <w:rFonts w:ascii="Arial Narrow" w:hAnsi="Arial Narrow" w:cs="Arial"/>
                <w:color w:val="000000"/>
                <w:sz w:val="18"/>
                <w:szCs w:val="18"/>
              </w:rPr>
            </w:pPr>
            <w:r w:rsidRPr="007427AA">
              <w:rPr>
                <w:rFonts w:ascii="Arial Narrow" w:hAnsi="Arial Narrow" w:cs="Arial"/>
                <w:color w:val="000000"/>
                <w:sz w:val="18"/>
                <w:szCs w:val="18"/>
              </w:rPr>
              <w:t>1,246,980.00</w:t>
            </w:r>
          </w:p>
        </w:tc>
      </w:tr>
      <w:tr w:rsidR="00AF119C" w:rsidRPr="000C6B69" w:rsidTr="006B018F">
        <w:trPr>
          <w:trHeight w:val="192"/>
          <w:jc w:val="right"/>
        </w:trPr>
        <w:tc>
          <w:tcPr>
            <w:tcW w:w="308" w:type="dxa"/>
            <w:tcBorders>
              <w:top w:val="nil"/>
              <w:bottom w:val="nil"/>
            </w:tcBorders>
            <w:shd w:val="clear" w:color="auto" w:fill="auto"/>
            <w:noWrap/>
            <w:vAlign w:val="bottom"/>
            <w:hideMark/>
          </w:tcPr>
          <w:p w:rsidR="00AF119C" w:rsidRPr="007427AA" w:rsidRDefault="00AF119C" w:rsidP="005F05E4">
            <w:pPr>
              <w:spacing w:after="0" w:line="240" w:lineRule="auto"/>
              <w:ind w:hanging="85"/>
              <w:jc w:val="center"/>
              <w:rPr>
                <w:rFonts w:ascii="Arial Narrow" w:hAnsi="Arial Narrow" w:cs="Arial"/>
                <w:color w:val="000000"/>
                <w:sz w:val="18"/>
                <w:szCs w:val="18"/>
              </w:rPr>
            </w:pPr>
            <w:r w:rsidRPr="007427AA">
              <w:rPr>
                <w:rFonts w:ascii="Arial Narrow" w:hAnsi="Arial Narrow" w:cs="Arial"/>
                <w:color w:val="000000"/>
                <w:sz w:val="18"/>
                <w:szCs w:val="18"/>
              </w:rPr>
              <w:t>5</w:t>
            </w:r>
          </w:p>
        </w:tc>
        <w:tc>
          <w:tcPr>
            <w:tcW w:w="2026" w:type="dxa"/>
            <w:tcBorders>
              <w:top w:val="nil"/>
              <w:bottom w:val="nil"/>
            </w:tcBorders>
            <w:shd w:val="clear" w:color="auto" w:fill="auto"/>
            <w:noWrap/>
            <w:vAlign w:val="bottom"/>
            <w:hideMark/>
          </w:tcPr>
          <w:p w:rsidR="00AF119C" w:rsidRPr="007427AA" w:rsidRDefault="00AF119C" w:rsidP="00AF119C">
            <w:pPr>
              <w:spacing w:after="0" w:line="240" w:lineRule="auto"/>
              <w:rPr>
                <w:rFonts w:ascii="Arial Narrow" w:hAnsi="Arial Narrow" w:cs="Arial"/>
                <w:color w:val="000000"/>
                <w:sz w:val="18"/>
                <w:szCs w:val="18"/>
              </w:rPr>
            </w:pPr>
            <w:r w:rsidRPr="007427AA">
              <w:rPr>
                <w:rFonts w:ascii="Arial Narrow" w:hAnsi="Arial Narrow" w:cs="Arial"/>
                <w:color w:val="000000"/>
                <w:sz w:val="18"/>
                <w:szCs w:val="18"/>
              </w:rPr>
              <w:t>Bronchial Asthma</w:t>
            </w:r>
          </w:p>
        </w:tc>
        <w:tc>
          <w:tcPr>
            <w:tcW w:w="806" w:type="dxa"/>
            <w:tcBorders>
              <w:top w:val="nil"/>
              <w:bottom w:val="nil"/>
            </w:tcBorders>
            <w:shd w:val="clear" w:color="auto" w:fill="auto"/>
            <w:noWrap/>
            <w:vAlign w:val="bottom"/>
            <w:hideMark/>
          </w:tcPr>
          <w:p w:rsidR="00AF119C" w:rsidRPr="007427AA" w:rsidRDefault="00AF119C" w:rsidP="00AF119C">
            <w:pPr>
              <w:spacing w:after="0" w:line="240" w:lineRule="auto"/>
              <w:jc w:val="center"/>
              <w:rPr>
                <w:rFonts w:ascii="Arial Narrow" w:hAnsi="Arial Narrow" w:cs="Arial"/>
                <w:color w:val="000000"/>
                <w:sz w:val="18"/>
                <w:szCs w:val="18"/>
              </w:rPr>
            </w:pPr>
            <w:r w:rsidRPr="007427AA">
              <w:rPr>
                <w:rFonts w:ascii="Arial Narrow" w:hAnsi="Arial Narrow" w:cs="Arial"/>
                <w:color w:val="000000"/>
                <w:sz w:val="18"/>
                <w:szCs w:val="18"/>
              </w:rPr>
              <w:t>23</w:t>
            </w:r>
          </w:p>
        </w:tc>
        <w:tc>
          <w:tcPr>
            <w:tcW w:w="1384" w:type="dxa"/>
            <w:tcBorders>
              <w:top w:val="nil"/>
              <w:bottom w:val="nil"/>
            </w:tcBorders>
            <w:shd w:val="clear" w:color="auto" w:fill="auto"/>
            <w:noWrap/>
            <w:vAlign w:val="bottom"/>
            <w:hideMark/>
          </w:tcPr>
          <w:p w:rsidR="00AF119C" w:rsidRPr="007427AA" w:rsidRDefault="00AF119C" w:rsidP="005F05E4">
            <w:pPr>
              <w:spacing w:after="0" w:line="240" w:lineRule="auto"/>
              <w:jc w:val="right"/>
              <w:rPr>
                <w:rFonts w:ascii="Arial Narrow" w:hAnsi="Arial Narrow" w:cs="Arial"/>
                <w:color w:val="000000"/>
                <w:sz w:val="18"/>
                <w:szCs w:val="18"/>
              </w:rPr>
            </w:pPr>
            <w:r w:rsidRPr="007427AA">
              <w:rPr>
                <w:rFonts w:ascii="Arial Narrow" w:hAnsi="Arial Narrow" w:cs="Arial"/>
                <w:color w:val="000000"/>
                <w:sz w:val="18"/>
                <w:szCs w:val="18"/>
              </w:rPr>
              <w:t>485,500.00</w:t>
            </w:r>
          </w:p>
        </w:tc>
        <w:tc>
          <w:tcPr>
            <w:tcW w:w="1316" w:type="dxa"/>
            <w:tcBorders>
              <w:top w:val="nil"/>
              <w:bottom w:val="nil"/>
            </w:tcBorders>
            <w:shd w:val="clear" w:color="auto" w:fill="auto"/>
            <w:noWrap/>
            <w:vAlign w:val="bottom"/>
            <w:hideMark/>
          </w:tcPr>
          <w:p w:rsidR="00AF119C" w:rsidRPr="007427AA" w:rsidRDefault="00AF119C" w:rsidP="005F05E4">
            <w:pPr>
              <w:spacing w:after="0" w:line="240" w:lineRule="auto"/>
              <w:ind w:right="280"/>
              <w:jc w:val="right"/>
              <w:rPr>
                <w:rFonts w:ascii="Arial Narrow" w:hAnsi="Arial Narrow" w:cs="Arial"/>
                <w:color w:val="000000"/>
                <w:sz w:val="18"/>
                <w:szCs w:val="18"/>
              </w:rPr>
            </w:pPr>
            <w:r w:rsidRPr="007427AA">
              <w:rPr>
                <w:rFonts w:ascii="Arial Narrow" w:hAnsi="Arial Narrow" w:cs="Arial"/>
                <w:color w:val="000000"/>
                <w:sz w:val="18"/>
                <w:szCs w:val="18"/>
              </w:rPr>
              <w:t>23</w:t>
            </w:r>
          </w:p>
        </w:tc>
        <w:tc>
          <w:tcPr>
            <w:tcW w:w="1006" w:type="dxa"/>
            <w:tcBorders>
              <w:top w:val="nil"/>
              <w:bottom w:val="nil"/>
            </w:tcBorders>
            <w:shd w:val="clear" w:color="auto" w:fill="auto"/>
            <w:noWrap/>
            <w:vAlign w:val="bottom"/>
            <w:hideMark/>
          </w:tcPr>
          <w:p w:rsidR="00AF119C" w:rsidRPr="007427AA" w:rsidRDefault="00AF119C" w:rsidP="00AF119C">
            <w:pPr>
              <w:spacing w:after="0" w:line="240" w:lineRule="auto"/>
              <w:jc w:val="center"/>
              <w:rPr>
                <w:rFonts w:ascii="Arial Narrow" w:hAnsi="Arial Narrow" w:cs="Arial"/>
                <w:color w:val="000000"/>
                <w:sz w:val="18"/>
                <w:szCs w:val="18"/>
              </w:rPr>
            </w:pPr>
            <w:r w:rsidRPr="007427AA">
              <w:rPr>
                <w:rFonts w:ascii="Arial Narrow" w:hAnsi="Arial Narrow" w:cs="Arial"/>
                <w:color w:val="000000"/>
                <w:sz w:val="18"/>
                <w:szCs w:val="18"/>
              </w:rPr>
              <w:t>100.00%</w:t>
            </w:r>
          </w:p>
        </w:tc>
        <w:tc>
          <w:tcPr>
            <w:tcW w:w="1384" w:type="dxa"/>
            <w:tcBorders>
              <w:top w:val="nil"/>
              <w:bottom w:val="nil"/>
            </w:tcBorders>
            <w:shd w:val="clear" w:color="auto" w:fill="auto"/>
            <w:noWrap/>
            <w:vAlign w:val="bottom"/>
            <w:hideMark/>
          </w:tcPr>
          <w:p w:rsidR="00AF119C" w:rsidRPr="007427AA" w:rsidRDefault="00AF119C" w:rsidP="000C6B69">
            <w:pPr>
              <w:spacing w:after="0" w:line="240" w:lineRule="auto"/>
              <w:ind w:right="-90"/>
              <w:jc w:val="right"/>
              <w:rPr>
                <w:rFonts w:ascii="Arial Narrow" w:hAnsi="Arial Narrow" w:cs="Arial"/>
                <w:color w:val="000000"/>
                <w:sz w:val="18"/>
                <w:szCs w:val="18"/>
              </w:rPr>
            </w:pPr>
            <w:r w:rsidRPr="007427AA">
              <w:rPr>
                <w:rFonts w:ascii="Arial Narrow" w:hAnsi="Arial Narrow" w:cs="Arial"/>
                <w:color w:val="000000"/>
                <w:sz w:val="18"/>
                <w:szCs w:val="18"/>
              </w:rPr>
              <w:t>485,500.00</w:t>
            </w:r>
          </w:p>
        </w:tc>
      </w:tr>
      <w:tr w:rsidR="00AF119C" w:rsidRPr="000C6B69" w:rsidTr="006B018F">
        <w:trPr>
          <w:trHeight w:val="192"/>
          <w:jc w:val="right"/>
        </w:trPr>
        <w:tc>
          <w:tcPr>
            <w:tcW w:w="308" w:type="dxa"/>
            <w:tcBorders>
              <w:top w:val="nil"/>
              <w:bottom w:val="nil"/>
            </w:tcBorders>
            <w:shd w:val="clear" w:color="auto" w:fill="auto"/>
            <w:noWrap/>
            <w:vAlign w:val="bottom"/>
            <w:hideMark/>
          </w:tcPr>
          <w:p w:rsidR="00AF119C" w:rsidRPr="007427AA" w:rsidRDefault="00AF119C" w:rsidP="005F05E4">
            <w:pPr>
              <w:spacing w:after="0" w:line="240" w:lineRule="auto"/>
              <w:ind w:hanging="85"/>
              <w:jc w:val="center"/>
              <w:rPr>
                <w:rFonts w:ascii="Arial Narrow" w:hAnsi="Arial Narrow" w:cs="Arial"/>
                <w:color w:val="000000"/>
                <w:sz w:val="18"/>
                <w:szCs w:val="18"/>
              </w:rPr>
            </w:pPr>
            <w:r w:rsidRPr="007427AA">
              <w:rPr>
                <w:rFonts w:ascii="Arial Narrow" w:hAnsi="Arial Narrow" w:cs="Arial"/>
                <w:color w:val="000000"/>
                <w:sz w:val="18"/>
                <w:szCs w:val="18"/>
              </w:rPr>
              <w:t>6</w:t>
            </w:r>
          </w:p>
        </w:tc>
        <w:tc>
          <w:tcPr>
            <w:tcW w:w="2026" w:type="dxa"/>
            <w:tcBorders>
              <w:top w:val="nil"/>
              <w:bottom w:val="nil"/>
            </w:tcBorders>
            <w:shd w:val="clear" w:color="auto" w:fill="auto"/>
            <w:noWrap/>
            <w:vAlign w:val="bottom"/>
            <w:hideMark/>
          </w:tcPr>
          <w:p w:rsidR="00AF119C" w:rsidRPr="007427AA" w:rsidRDefault="00AF119C" w:rsidP="00AF119C">
            <w:pPr>
              <w:spacing w:after="0" w:line="240" w:lineRule="auto"/>
              <w:rPr>
                <w:rFonts w:ascii="Arial Narrow" w:hAnsi="Arial Narrow" w:cs="Arial"/>
                <w:color w:val="000000"/>
                <w:sz w:val="18"/>
                <w:szCs w:val="18"/>
              </w:rPr>
            </w:pPr>
            <w:r w:rsidRPr="007427AA">
              <w:rPr>
                <w:rFonts w:ascii="Arial Narrow" w:hAnsi="Arial Narrow" w:cs="Arial"/>
                <w:color w:val="000000"/>
                <w:sz w:val="18"/>
                <w:szCs w:val="18"/>
              </w:rPr>
              <w:t>Cardiovascular Accident</w:t>
            </w:r>
          </w:p>
        </w:tc>
        <w:tc>
          <w:tcPr>
            <w:tcW w:w="806" w:type="dxa"/>
            <w:tcBorders>
              <w:top w:val="nil"/>
              <w:bottom w:val="nil"/>
            </w:tcBorders>
            <w:shd w:val="clear" w:color="auto" w:fill="auto"/>
            <w:noWrap/>
            <w:vAlign w:val="bottom"/>
            <w:hideMark/>
          </w:tcPr>
          <w:p w:rsidR="00AF119C" w:rsidRPr="007427AA" w:rsidRDefault="00AF119C" w:rsidP="00AF119C">
            <w:pPr>
              <w:spacing w:after="0" w:line="240" w:lineRule="auto"/>
              <w:jc w:val="center"/>
              <w:rPr>
                <w:rFonts w:ascii="Arial Narrow" w:hAnsi="Arial Narrow" w:cs="Arial"/>
                <w:color w:val="000000"/>
                <w:sz w:val="18"/>
                <w:szCs w:val="18"/>
              </w:rPr>
            </w:pPr>
            <w:r w:rsidRPr="007427AA">
              <w:rPr>
                <w:rFonts w:ascii="Arial Narrow" w:hAnsi="Arial Narrow" w:cs="Arial"/>
                <w:color w:val="000000"/>
                <w:sz w:val="18"/>
                <w:szCs w:val="18"/>
              </w:rPr>
              <w:t>15</w:t>
            </w:r>
          </w:p>
        </w:tc>
        <w:tc>
          <w:tcPr>
            <w:tcW w:w="1384" w:type="dxa"/>
            <w:tcBorders>
              <w:top w:val="nil"/>
              <w:bottom w:val="nil"/>
            </w:tcBorders>
            <w:shd w:val="clear" w:color="auto" w:fill="auto"/>
            <w:noWrap/>
            <w:vAlign w:val="bottom"/>
            <w:hideMark/>
          </w:tcPr>
          <w:p w:rsidR="00AF119C" w:rsidRPr="007427AA" w:rsidRDefault="00AF119C" w:rsidP="005F05E4">
            <w:pPr>
              <w:spacing w:after="0" w:line="240" w:lineRule="auto"/>
              <w:jc w:val="right"/>
              <w:rPr>
                <w:rFonts w:ascii="Arial Narrow" w:hAnsi="Arial Narrow" w:cs="Arial"/>
                <w:color w:val="000000"/>
                <w:sz w:val="18"/>
                <w:szCs w:val="18"/>
              </w:rPr>
            </w:pPr>
            <w:r w:rsidRPr="007427AA">
              <w:rPr>
                <w:rFonts w:ascii="Arial Narrow" w:hAnsi="Arial Narrow" w:cs="Arial"/>
                <w:color w:val="000000"/>
                <w:sz w:val="18"/>
                <w:szCs w:val="18"/>
              </w:rPr>
              <w:t>432,600.00</w:t>
            </w:r>
          </w:p>
        </w:tc>
        <w:tc>
          <w:tcPr>
            <w:tcW w:w="1316" w:type="dxa"/>
            <w:tcBorders>
              <w:top w:val="nil"/>
              <w:bottom w:val="nil"/>
            </w:tcBorders>
            <w:shd w:val="clear" w:color="auto" w:fill="auto"/>
            <w:noWrap/>
            <w:vAlign w:val="bottom"/>
            <w:hideMark/>
          </w:tcPr>
          <w:p w:rsidR="00AF119C" w:rsidRPr="007427AA" w:rsidRDefault="00AF119C" w:rsidP="005F05E4">
            <w:pPr>
              <w:spacing w:after="0" w:line="240" w:lineRule="auto"/>
              <w:ind w:right="280"/>
              <w:jc w:val="right"/>
              <w:rPr>
                <w:rFonts w:ascii="Arial Narrow" w:hAnsi="Arial Narrow" w:cs="Arial"/>
                <w:color w:val="000000"/>
                <w:sz w:val="18"/>
                <w:szCs w:val="18"/>
              </w:rPr>
            </w:pPr>
            <w:r w:rsidRPr="007427AA">
              <w:rPr>
                <w:rFonts w:ascii="Arial Narrow" w:hAnsi="Arial Narrow" w:cs="Arial"/>
                <w:color w:val="000000"/>
                <w:sz w:val="18"/>
                <w:szCs w:val="18"/>
              </w:rPr>
              <w:t>15</w:t>
            </w:r>
          </w:p>
        </w:tc>
        <w:tc>
          <w:tcPr>
            <w:tcW w:w="1006" w:type="dxa"/>
            <w:tcBorders>
              <w:top w:val="nil"/>
              <w:bottom w:val="nil"/>
            </w:tcBorders>
            <w:shd w:val="clear" w:color="auto" w:fill="auto"/>
            <w:noWrap/>
            <w:vAlign w:val="bottom"/>
            <w:hideMark/>
          </w:tcPr>
          <w:p w:rsidR="00AF119C" w:rsidRPr="007427AA" w:rsidRDefault="00AF119C" w:rsidP="00AF119C">
            <w:pPr>
              <w:spacing w:after="0" w:line="240" w:lineRule="auto"/>
              <w:jc w:val="center"/>
              <w:rPr>
                <w:rFonts w:ascii="Arial Narrow" w:hAnsi="Arial Narrow" w:cs="Arial"/>
                <w:color w:val="000000"/>
                <w:sz w:val="18"/>
                <w:szCs w:val="18"/>
              </w:rPr>
            </w:pPr>
            <w:r w:rsidRPr="007427AA">
              <w:rPr>
                <w:rFonts w:ascii="Arial Narrow" w:hAnsi="Arial Narrow" w:cs="Arial"/>
                <w:color w:val="000000"/>
                <w:sz w:val="18"/>
                <w:szCs w:val="18"/>
              </w:rPr>
              <w:t>100.00%</w:t>
            </w:r>
          </w:p>
        </w:tc>
        <w:tc>
          <w:tcPr>
            <w:tcW w:w="1384" w:type="dxa"/>
            <w:tcBorders>
              <w:top w:val="nil"/>
              <w:bottom w:val="nil"/>
            </w:tcBorders>
            <w:shd w:val="clear" w:color="auto" w:fill="auto"/>
            <w:noWrap/>
            <w:vAlign w:val="bottom"/>
            <w:hideMark/>
          </w:tcPr>
          <w:p w:rsidR="00AF119C" w:rsidRPr="007427AA" w:rsidRDefault="00AF119C" w:rsidP="000C6B69">
            <w:pPr>
              <w:spacing w:after="0" w:line="240" w:lineRule="auto"/>
              <w:ind w:right="-90"/>
              <w:jc w:val="right"/>
              <w:rPr>
                <w:rFonts w:ascii="Arial Narrow" w:hAnsi="Arial Narrow" w:cs="Arial"/>
                <w:color w:val="000000"/>
                <w:sz w:val="18"/>
                <w:szCs w:val="18"/>
              </w:rPr>
            </w:pPr>
            <w:r w:rsidRPr="007427AA">
              <w:rPr>
                <w:rFonts w:ascii="Arial Narrow" w:hAnsi="Arial Narrow" w:cs="Arial"/>
                <w:color w:val="000000"/>
                <w:sz w:val="18"/>
                <w:szCs w:val="18"/>
              </w:rPr>
              <w:t>432,600.00</w:t>
            </w:r>
          </w:p>
        </w:tc>
      </w:tr>
      <w:tr w:rsidR="00AF119C" w:rsidRPr="000C6B69" w:rsidTr="006B018F">
        <w:trPr>
          <w:trHeight w:val="192"/>
          <w:jc w:val="right"/>
        </w:trPr>
        <w:tc>
          <w:tcPr>
            <w:tcW w:w="308" w:type="dxa"/>
            <w:tcBorders>
              <w:top w:val="nil"/>
              <w:bottom w:val="nil"/>
            </w:tcBorders>
            <w:shd w:val="clear" w:color="auto" w:fill="auto"/>
            <w:noWrap/>
            <w:vAlign w:val="bottom"/>
            <w:hideMark/>
          </w:tcPr>
          <w:p w:rsidR="00AF119C" w:rsidRPr="007427AA" w:rsidRDefault="00AF119C" w:rsidP="005F05E4">
            <w:pPr>
              <w:spacing w:after="0" w:line="240" w:lineRule="auto"/>
              <w:ind w:hanging="85"/>
              <w:jc w:val="center"/>
              <w:rPr>
                <w:rFonts w:ascii="Arial Narrow" w:hAnsi="Arial Narrow" w:cs="Arial"/>
                <w:color w:val="000000"/>
                <w:sz w:val="18"/>
                <w:szCs w:val="18"/>
              </w:rPr>
            </w:pPr>
            <w:r w:rsidRPr="007427AA">
              <w:rPr>
                <w:rFonts w:ascii="Arial Narrow" w:hAnsi="Arial Narrow" w:cs="Arial"/>
                <w:color w:val="000000"/>
                <w:sz w:val="18"/>
                <w:szCs w:val="18"/>
              </w:rPr>
              <w:t>7</w:t>
            </w:r>
          </w:p>
        </w:tc>
        <w:tc>
          <w:tcPr>
            <w:tcW w:w="2026" w:type="dxa"/>
            <w:tcBorders>
              <w:top w:val="nil"/>
              <w:bottom w:val="nil"/>
            </w:tcBorders>
            <w:shd w:val="clear" w:color="auto" w:fill="auto"/>
            <w:noWrap/>
            <w:vAlign w:val="bottom"/>
            <w:hideMark/>
          </w:tcPr>
          <w:p w:rsidR="00AF119C" w:rsidRPr="007427AA" w:rsidRDefault="00AF119C" w:rsidP="00AF119C">
            <w:pPr>
              <w:spacing w:after="0" w:line="240" w:lineRule="auto"/>
              <w:rPr>
                <w:rFonts w:ascii="Arial Narrow" w:hAnsi="Arial Narrow" w:cs="Arial"/>
                <w:color w:val="000000"/>
                <w:sz w:val="18"/>
                <w:szCs w:val="18"/>
              </w:rPr>
            </w:pPr>
            <w:r w:rsidRPr="007427AA">
              <w:rPr>
                <w:rFonts w:ascii="Arial Narrow" w:hAnsi="Arial Narrow" w:cs="Arial"/>
                <w:color w:val="000000"/>
                <w:sz w:val="18"/>
                <w:szCs w:val="18"/>
              </w:rPr>
              <w:t>Diabetes</w:t>
            </w:r>
          </w:p>
        </w:tc>
        <w:tc>
          <w:tcPr>
            <w:tcW w:w="806" w:type="dxa"/>
            <w:tcBorders>
              <w:top w:val="nil"/>
              <w:bottom w:val="nil"/>
            </w:tcBorders>
            <w:shd w:val="clear" w:color="auto" w:fill="auto"/>
            <w:noWrap/>
            <w:vAlign w:val="bottom"/>
            <w:hideMark/>
          </w:tcPr>
          <w:p w:rsidR="00AF119C" w:rsidRPr="007427AA" w:rsidRDefault="00AF119C" w:rsidP="00AF119C">
            <w:pPr>
              <w:spacing w:after="0" w:line="240" w:lineRule="auto"/>
              <w:jc w:val="center"/>
              <w:rPr>
                <w:rFonts w:ascii="Arial Narrow" w:hAnsi="Arial Narrow" w:cs="Arial"/>
                <w:color w:val="000000"/>
                <w:sz w:val="18"/>
                <w:szCs w:val="18"/>
              </w:rPr>
            </w:pPr>
            <w:r w:rsidRPr="007427AA">
              <w:rPr>
                <w:rFonts w:ascii="Arial Narrow" w:hAnsi="Arial Narrow" w:cs="Arial"/>
                <w:color w:val="000000"/>
                <w:sz w:val="18"/>
                <w:szCs w:val="18"/>
              </w:rPr>
              <w:t>4</w:t>
            </w:r>
          </w:p>
        </w:tc>
        <w:tc>
          <w:tcPr>
            <w:tcW w:w="1384" w:type="dxa"/>
            <w:tcBorders>
              <w:top w:val="nil"/>
              <w:bottom w:val="nil"/>
            </w:tcBorders>
            <w:shd w:val="clear" w:color="auto" w:fill="auto"/>
            <w:noWrap/>
            <w:vAlign w:val="bottom"/>
            <w:hideMark/>
          </w:tcPr>
          <w:p w:rsidR="00AF119C" w:rsidRPr="007427AA" w:rsidRDefault="00AF119C" w:rsidP="005F05E4">
            <w:pPr>
              <w:spacing w:after="0" w:line="240" w:lineRule="auto"/>
              <w:jc w:val="right"/>
              <w:rPr>
                <w:rFonts w:ascii="Arial Narrow" w:hAnsi="Arial Narrow" w:cs="Arial"/>
                <w:color w:val="000000"/>
                <w:sz w:val="18"/>
                <w:szCs w:val="18"/>
              </w:rPr>
            </w:pPr>
            <w:r w:rsidRPr="007427AA">
              <w:rPr>
                <w:rFonts w:ascii="Arial Narrow" w:hAnsi="Arial Narrow" w:cs="Arial"/>
                <w:color w:val="000000"/>
                <w:sz w:val="18"/>
                <w:szCs w:val="18"/>
              </w:rPr>
              <w:t>110,000.00</w:t>
            </w:r>
          </w:p>
        </w:tc>
        <w:tc>
          <w:tcPr>
            <w:tcW w:w="1316" w:type="dxa"/>
            <w:tcBorders>
              <w:top w:val="nil"/>
              <w:bottom w:val="nil"/>
            </w:tcBorders>
            <w:shd w:val="clear" w:color="auto" w:fill="auto"/>
            <w:noWrap/>
            <w:vAlign w:val="bottom"/>
            <w:hideMark/>
          </w:tcPr>
          <w:p w:rsidR="00AF119C" w:rsidRPr="007427AA" w:rsidRDefault="00AF119C" w:rsidP="005F05E4">
            <w:pPr>
              <w:spacing w:after="0" w:line="240" w:lineRule="auto"/>
              <w:ind w:right="280"/>
              <w:jc w:val="right"/>
              <w:rPr>
                <w:rFonts w:ascii="Arial Narrow" w:hAnsi="Arial Narrow" w:cs="Arial"/>
                <w:color w:val="000000"/>
                <w:sz w:val="18"/>
                <w:szCs w:val="18"/>
              </w:rPr>
            </w:pPr>
            <w:r w:rsidRPr="007427AA">
              <w:rPr>
                <w:rFonts w:ascii="Arial Narrow" w:hAnsi="Arial Narrow" w:cs="Arial"/>
                <w:color w:val="000000"/>
                <w:sz w:val="18"/>
                <w:szCs w:val="18"/>
              </w:rPr>
              <w:t>4</w:t>
            </w:r>
          </w:p>
        </w:tc>
        <w:tc>
          <w:tcPr>
            <w:tcW w:w="1006" w:type="dxa"/>
            <w:tcBorders>
              <w:top w:val="nil"/>
              <w:bottom w:val="nil"/>
            </w:tcBorders>
            <w:shd w:val="clear" w:color="auto" w:fill="auto"/>
            <w:noWrap/>
            <w:vAlign w:val="bottom"/>
            <w:hideMark/>
          </w:tcPr>
          <w:p w:rsidR="00AF119C" w:rsidRPr="007427AA" w:rsidRDefault="00AF119C" w:rsidP="00AF119C">
            <w:pPr>
              <w:spacing w:after="0" w:line="240" w:lineRule="auto"/>
              <w:jc w:val="center"/>
              <w:rPr>
                <w:rFonts w:ascii="Arial Narrow" w:hAnsi="Arial Narrow" w:cs="Arial"/>
                <w:color w:val="000000"/>
                <w:sz w:val="18"/>
                <w:szCs w:val="18"/>
              </w:rPr>
            </w:pPr>
            <w:r w:rsidRPr="007427AA">
              <w:rPr>
                <w:rFonts w:ascii="Arial Narrow" w:hAnsi="Arial Narrow" w:cs="Arial"/>
                <w:color w:val="000000"/>
                <w:sz w:val="18"/>
                <w:szCs w:val="18"/>
              </w:rPr>
              <w:t>100.00%</w:t>
            </w:r>
          </w:p>
        </w:tc>
        <w:tc>
          <w:tcPr>
            <w:tcW w:w="1384" w:type="dxa"/>
            <w:tcBorders>
              <w:top w:val="nil"/>
              <w:bottom w:val="nil"/>
            </w:tcBorders>
            <w:shd w:val="clear" w:color="auto" w:fill="auto"/>
            <w:noWrap/>
            <w:vAlign w:val="bottom"/>
            <w:hideMark/>
          </w:tcPr>
          <w:p w:rsidR="00AF119C" w:rsidRPr="007427AA" w:rsidRDefault="00AF119C" w:rsidP="000C6B69">
            <w:pPr>
              <w:spacing w:after="0" w:line="240" w:lineRule="auto"/>
              <w:ind w:right="-90"/>
              <w:jc w:val="right"/>
              <w:rPr>
                <w:rFonts w:ascii="Arial Narrow" w:hAnsi="Arial Narrow" w:cs="Arial"/>
                <w:color w:val="000000"/>
                <w:sz w:val="18"/>
                <w:szCs w:val="18"/>
              </w:rPr>
            </w:pPr>
            <w:r w:rsidRPr="007427AA">
              <w:rPr>
                <w:rFonts w:ascii="Arial Narrow" w:hAnsi="Arial Narrow" w:cs="Arial"/>
                <w:color w:val="000000"/>
                <w:sz w:val="18"/>
                <w:szCs w:val="18"/>
              </w:rPr>
              <w:t>110,000.00</w:t>
            </w:r>
          </w:p>
        </w:tc>
      </w:tr>
      <w:tr w:rsidR="00AF119C" w:rsidRPr="000C6B69" w:rsidTr="006B018F">
        <w:trPr>
          <w:trHeight w:val="192"/>
          <w:jc w:val="right"/>
        </w:trPr>
        <w:tc>
          <w:tcPr>
            <w:tcW w:w="308" w:type="dxa"/>
            <w:tcBorders>
              <w:top w:val="nil"/>
              <w:bottom w:val="nil"/>
            </w:tcBorders>
            <w:shd w:val="clear" w:color="auto" w:fill="auto"/>
            <w:noWrap/>
            <w:vAlign w:val="bottom"/>
            <w:hideMark/>
          </w:tcPr>
          <w:p w:rsidR="00AF119C" w:rsidRPr="007427AA" w:rsidRDefault="00AF119C" w:rsidP="005F05E4">
            <w:pPr>
              <w:spacing w:after="0" w:line="240" w:lineRule="auto"/>
              <w:ind w:hanging="85"/>
              <w:jc w:val="center"/>
              <w:rPr>
                <w:rFonts w:ascii="Arial Narrow" w:hAnsi="Arial Narrow" w:cs="Arial"/>
                <w:color w:val="000000"/>
                <w:sz w:val="18"/>
                <w:szCs w:val="18"/>
              </w:rPr>
            </w:pPr>
            <w:r w:rsidRPr="007427AA">
              <w:rPr>
                <w:rFonts w:ascii="Arial Narrow" w:hAnsi="Arial Narrow" w:cs="Arial"/>
                <w:color w:val="000000"/>
                <w:sz w:val="18"/>
                <w:szCs w:val="18"/>
              </w:rPr>
              <w:t>8</w:t>
            </w:r>
          </w:p>
        </w:tc>
        <w:tc>
          <w:tcPr>
            <w:tcW w:w="2026" w:type="dxa"/>
            <w:tcBorders>
              <w:top w:val="nil"/>
              <w:bottom w:val="nil"/>
            </w:tcBorders>
            <w:shd w:val="clear" w:color="auto" w:fill="auto"/>
            <w:noWrap/>
            <w:vAlign w:val="bottom"/>
            <w:hideMark/>
          </w:tcPr>
          <w:p w:rsidR="00AF119C" w:rsidRPr="007427AA" w:rsidRDefault="00AF119C" w:rsidP="00AF119C">
            <w:pPr>
              <w:spacing w:after="0" w:line="240" w:lineRule="auto"/>
              <w:rPr>
                <w:rFonts w:ascii="Arial Narrow" w:hAnsi="Arial Narrow" w:cs="Arial"/>
                <w:color w:val="000000"/>
                <w:sz w:val="18"/>
                <w:szCs w:val="18"/>
              </w:rPr>
            </w:pPr>
            <w:r w:rsidRPr="007427AA">
              <w:rPr>
                <w:rFonts w:ascii="Arial Narrow" w:hAnsi="Arial Narrow" w:cs="Arial"/>
                <w:color w:val="000000"/>
                <w:sz w:val="18"/>
                <w:szCs w:val="18"/>
              </w:rPr>
              <w:t>Hypertension</w:t>
            </w:r>
          </w:p>
        </w:tc>
        <w:tc>
          <w:tcPr>
            <w:tcW w:w="806" w:type="dxa"/>
            <w:tcBorders>
              <w:top w:val="nil"/>
              <w:bottom w:val="nil"/>
            </w:tcBorders>
            <w:shd w:val="clear" w:color="auto" w:fill="auto"/>
            <w:noWrap/>
            <w:vAlign w:val="bottom"/>
            <w:hideMark/>
          </w:tcPr>
          <w:p w:rsidR="00AF119C" w:rsidRPr="007427AA" w:rsidRDefault="00AF119C" w:rsidP="00AF119C">
            <w:pPr>
              <w:spacing w:after="0" w:line="240" w:lineRule="auto"/>
              <w:jc w:val="center"/>
              <w:rPr>
                <w:rFonts w:ascii="Arial Narrow" w:hAnsi="Arial Narrow" w:cs="Arial"/>
                <w:color w:val="000000"/>
                <w:sz w:val="18"/>
                <w:szCs w:val="18"/>
              </w:rPr>
            </w:pPr>
            <w:r w:rsidRPr="007427AA">
              <w:rPr>
                <w:rFonts w:ascii="Arial Narrow" w:hAnsi="Arial Narrow" w:cs="Arial"/>
                <w:color w:val="000000"/>
                <w:sz w:val="18"/>
                <w:szCs w:val="18"/>
              </w:rPr>
              <w:t>6</w:t>
            </w:r>
          </w:p>
        </w:tc>
        <w:tc>
          <w:tcPr>
            <w:tcW w:w="1384" w:type="dxa"/>
            <w:tcBorders>
              <w:top w:val="nil"/>
              <w:bottom w:val="nil"/>
            </w:tcBorders>
            <w:shd w:val="clear" w:color="auto" w:fill="auto"/>
            <w:noWrap/>
            <w:vAlign w:val="bottom"/>
            <w:hideMark/>
          </w:tcPr>
          <w:p w:rsidR="00AF119C" w:rsidRPr="007427AA" w:rsidRDefault="00AF119C" w:rsidP="005F05E4">
            <w:pPr>
              <w:spacing w:after="0" w:line="240" w:lineRule="auto"/>
              <w:jc w:val="right"/>
              <w:rPr>
                <w:rFonts w:ascii="Arial Narrow" w:hAnsi="Arial Narrow" w:cs="Arial"/>
                <w:color w:val="000000"/>
                <w:sz w:val="18"/>
                <w:szCs w:val="18"/>
              </w:rPr>
            </w:pPr>
            <w:r w:rsidRPr="007427AA">
              <w:rPr>
                <w:rFonts w:ascii="Arial Narrow" w:hAnsi="Arial Narrow" w:cs="Arial"/>
                <w:color w:val="000000"/>
                <w:sz w:val="18"/>
                <w:szCs w:val="18"/>
              </w:rPr>
              <w:t>128,544.00</w:t>
            </w:r>
          </w:p>
        </w:tc>
        <w:tc>
          <w:tcPr>
            <w:tcW w:w="1316" w:type="dxa"/>
            <w:tcBorders>
              <w:top w:val="nil"/>
              <w:bottom w:val="nil"/>
            </w:tcBorders>
            <w:shd w:val="clear" w:color="auto" w:fill="auto"/>
            <w:noWrap/>
            <w:vAlign w:val="bottom"/>
            <w:hideMark/>
          </w:tcPr>
          <w:p w:rsidR="00AF119C" w:rsidRPr="007427AA" w:rsidRDefault="00AF119C" w:rsidP="005F05E4">
            <w:pPr>
              <w:spacing w:after="0" w:line="240" w:lineRule="auto"/>
              <w:ind w:right="280"/>
              <w:jc w:val="right"/>
              <w:rPr>
                <w:rFonts w:ascii="Arial Narrow" w:hAnsi="Arial Narrow" w:cs="Arial"/>
                <w:color w:val="000000"/>
                <w:sz w:val="18"/>
                <w:szCs w:val="18"/>
              </w:rPr>
            </w:pPr>
            <w:r w:rsidRPr="007427AA">
              <w:rPr>
                <w:rFonts w:ascii="Arial Narrow" w:hAnsi="Arial Narrow" w:cs="Arial"/>
                <w:color w:val="000000"/>
                <w:sz w:val="18"/>
                <w:szCs w:val="18"/>
              </w:rPr>
              <w:t>5</w:t>
            </w:r>
          </w:p>
        </w:tc>
        <w:tc>
          <w:tcPr>
            <w:tcW w:w="1006" w:type="dxa"/>
            <w:tcBorders>
              <w:top w:val="nil"/>
              <w:bottom w:val="nil"/>
            </w:tcBorders>
            <w:shd w:val="clear" w:color="auto" w:fill="auto"/>
            <w:noWrap/>
            <w:vAlign w:val="bottom"/>
            <w:hideMark/>
          </w:tcPr>
          <w:p w:rsidR="00AF119C" w:rsidRPr="007427AA" w:rsidRDefault="00AF119C" w:rsidP="00AF119C">
            <w:pPr>
              <w:spacing w:after="0" w:line="240" w:lineRule="auto"/>
              <w:jc w:val="center"/>
              <w:rPr>
                <w:rFonts w:ascii="Arial Narrow" w:hAnsi="Arial Narrow" w:cs="Arial"/>
                <w:color w:val="000000"/>
                <w:sz w:val="18"/>
                <w:szCs w:val="18"/>
              </w:rPr>
            </w:pPr>
            <w:r w:rsidRPr="007427AA">
              <w:rPr>
                <w:rFonts w:ascii="Arial Narrow" w:hAnsi="Arial Narrow" w:cs="Arial"/>
                <w:color w:val="000000"/>
                <w:sz w:val="18"/>
                <w:szCs w:val="18"/>
              </w:rPr>
              <w:t>83.33%</w:t>
            </w:r>
          </w:p>
        </w:tc>
        <w:tc>
          <w:tcPr>
            <w:tcW w:w="1384" w:type="dxa"/>
            <w:tcBorders>
              <w:top w:val="nil"/>
              <w:bottom w:val="nil"/>
            </w:tcBorders>
            <w:shd w:val="clear" w:color="auto" w:fill="auto"/>
            <w:noWrap/>
            <w:vAlign w:val="bottom"/>
            <w:hideMark/>
          </w:tcPr>
          <w:p w:rsidR="00AF119C" w:rsidRPr="007427AA" w:rsidRDefault="00AF119C" w:rsidP="000C6B69">
            <w:pPr>
              <w:spacing w:after="0" w:line="240" w:lineRule="auto"/>
              <w:ind w:right="-90"/>
              <w:jc w:val="right"/>
              <w:rPr>
                <w:rFonts w:ascii="Arial Narrow" w:hAnsi="Arial Narrow" w:cs="Arial"/>
                <w:color w:val="000000"/>
                <w:sz w:val="18"/>
                <w:szCs w:val="18"/>
              </w:rPr>
            </w:pPr>
            <w:r w:rsidRPr="007427AA">
              <w:rPr>
                <w:rFonts w:ascii="Arial Narrow" w:hAnsi="Arial Narrow" w:cs="Arial"/>
                <w:color w:val="000000"/>
                <w:sz w:val="18"/>
                <w:szCs w:val="18"/>
              </w:rPr>
              <w:t>96,800.00</w:t>
            </w:r>
          </w:p>
        </w:tc>
      </w:tr>
      <w:tr w:rsidR="00AF119C" w:rsidRPr="000C6B69" w:rsidTr="005F05E4">
        <w:trPr>
          <w:trHeight w:val="192"/>
          <w:jc w:val="right"/>
        </w:trPr>
        <w:tc>
          <w:tcPr>
            <w:tcW w:w="308" w:type="dxa"/>
            <w:tcBorders>
              <w:top w:val="nil"/>
              <w:bottom w:val="nil"/>
            </w:tcBorders>
            <w:shd w:val="clear" w:color="auto" w:fill="auto"/>
            <w:noWrap/>
            <w:hideMark/>
          </w:tcPr>
          <w:p w:rsidR="00AF119C" w:rsidRPr="007427AA" w:rsidRDefault="00AF119C" w:rsidP="005F05E4">
            <w:pPr>
              <w:spacing w:after="0" w:line="240" w:lineRule="auto"/>
              <w:ind w:hanging="85"/>
              <w:rPr>
                <w:rFonts w:ascii="Arial Narrow" w:hAnsi="Arial Narrow" w:cs="Arial"/>
                <w:color w:val="000000"/>
                <w:sz w:val="18"/>
                <w:szCs w:val="18"/>
              </w:rPr>
            </w:pPr>
            <w:r w:rsidRPr="007427AA">
              <w:rPr>
                <w:rFonts w:ascii="Arial Narrow" w:hAnsi="Arial Narrow" w:cs="Arial"/>
                <w:color w:val="000000"/>
                <w:sz w:val="18"/>
                <w:szCs w:val="18"/>
              </w:rPr>
              <w:t>9</w:t>
            </w:r>
          </w:p>
        </w:tc>
        <w:tc>
          <w:tcPr>
            <w:tcW w:w="2026" w:type="dxa"/>
            <w:tcBorders>
              <w:top w:val="nil"/>
              <w:bottom w:val="nil"/>
            </w:tcBorders>
            <w:shd w:val="clear" w:color="auto" w:fill="auto"/>
            <w:noWrap/>
            <w:vAlign w:val="bottom"/>
            <w:hideMark/>
          </w:tcPr>
          <w:p w:rsidR="00AF119C" w:rsidRPr="007427AA" w:rsidRDefault="00AF119C" w:rsidP="00AF119C">
            <w:pPr>
              <w:spacing w:after="0" w:line="240" w:lineRule="auto"/>
              <w:rPr>
                <w:rFonts w:ascii="Arial Narrow" w:hAnsi="Arial Narrow" w:cs="Arial"/>
                <w:color w:val="000000"/>
                <w:sz w:val="18"/>
                <w:szCs w:val="18"/>
              </w:rPr>
            </w:pPr>
            <w:r w:rsidRPr="007427AA">
              <w:rPr>
                <w:rFonts w:ascii="Arial Narrow" w:hAnsi="Arial Narrow" w:cs="Arial"/>
                <w:color w:val="000000"/>
                <w:sz w:val="18"/>
                <w:szCs w:val="18"/>
              </w:rPr>
              <w:t>Pelvic Inflammatory  Disease</w:t>
            </w:r>
          </w:p>
        </w:tc>
        <w:tc>
          <w:tcPr>
            <w:tcW w:w="806" w:type="dxa"/>
            <w:tcBorders>
              <w:top w:val="nil"/>
              <w:bottom w:val="nil"/>
            </w:tcBorders>
            <w:shd w:val="clear" w:color="auto" w:fill="auto"/>
            <w:noWrap/>
            <w:vAlign w:val="bottom"/>
            <w:hideMark/>
          </w:tcPr>
          <w:p w:rsidR="00AF119C" w:rsidRPr="007427AA" w:rsidRDefault="00AF119C" w:rsidP="00AF119C">
            <w:pPr>
              <w:spacing w:after="0" w:line="240" w:lineRule="auto"/>
              <w:jc w:val="center"/>
              <w:rPr>
                <w:rFonts w:ascii="Arial Narrow" w:hAnsi="Arial Narrow" w:cs="Arial"/>
                <w:color w:val="000000"/>
                <w:sz w:val="18"/>
                <w:szCs w:val="18"/>
              </w:rPr>
            </w:pPr>
            <w:r w:rsidRPr="007427AA">
              <w:rPr>
                <w:rFonts w:ascii="Arial Narrow" w:hAnsi="Arial Narrow" w:cs="Arial"/>
                <w:color w:val="000000"/>
                <w:sz w:val="18"/>
                <w:szCs w:val="18"/>
              </w:rPr>
              <w:t>2</w:t>
            </w:r>
          </w:p>
        </w:tc>
        <w:tc>
          <w:tcPr>
            <w:tcW w:w="1384" w:type="dxa"/>
            <w:tcBorders>
              <w:top w:val="nil"/>
              <w:bottom w:val="nil"/>
            </w:tcBorders>
            <w:shd w:val="clear" w:color="auto" w:fill="auto"/>
            <w:noWrap/>
            <w:vAlign w:val="bottom"/>
            <w:hideMark/>
          </w:tcPr>
          <w:p w:rsidR="00AF119C" w:rsidRPr="007427AA" w:rsidRDefault="00AF119C" w:rsidP="005F05E4">
            <w:pPr>
              <w:spacing w:after="0" w:line="240" w:lineRule="auto"/>
              <w:jc w:val="right"/>
              <w:rPr>
                <w:rFonts w:ascii="Arial Narrow" w:hAnsi="Arial Narrow" w:cs="Arial"/>
                <w:color w:val="000000"/>
                <w:sz w:val="18"/>
                <w:szCs w:val="18"/>
              </w:rPr>
            </w:pPr>
            <w:r w:rsidRPr="007427AA">
              <w:rPr>
                <w:rFonts w:ascii="Arial Narrow" w:hAnsi="Arial Narrow" w:cs="Arial"/>
                <w:color w:val="000000"/>
                <w:sz w:val="18"/>
                <w:szCs w:val="18"/>
              </w:rPr>
              <w:t>75,000.00</w:t>
            </w:r>
          </w:p>
        </w:tc>
        <w:tc>
          <w:tcPr>
            <w:tcW w:w="1316" w:type="dxa"/>
            <w:tcBorders>
              <w:top w:val="nil"/>
              <w:bottom w:val="nil"/>
            </w:tcBorders>
            <w:shd w:val="clear" w:color="auto" w:fill="auto"/>
            <w:noWrap/>
            <w:vAlign w:val="bottom"/>
            <w:hideMark/>
          </w:tcPr>
          <w:p w:rsidR="00AF119C" w:rsidRPr="007427AA" w:rsidRDefault="00AF119C" w:rsidP="005F05E4">
            <w:pPr>
              <w:spacing w:after="0" w:line="240" w:lineRule="auto"/>
              <w:ind w:right="280"/>
              <w:jc w:val="right"/>
              <w:rPr>
                <w:rFonts w:ascii="Arial Narrow" w:hAnsi="Arial Narrow" w:cs="Arial"/>
                <w:color w:val="000000"/>
                <w:sz w:val="18"/>
                <w:szCs w:val="18"/>
              </w:rPr>
            </w:pPr>
            <w:r w:rsidRPr="007427AA">
              <w:rPr>
                <w:rFonts w:ascii="Arial Narrow" w:hAnsi="Arial Narrow" w:cs="Arial"/>
                <w:color w:val="000000"/>
                <w:sz w:val="18"/>
                <w:szCs w:val="18"/>
              </w:rPr>
              <w:t>2</w:t>
            </w:r>
          </w:p>
        </w:tc>
        <w:tc>
          <w:tcPr>
            <w:tcW w:w="1006" w:type="dxa"/>
            <w:tcBorders>
              <w:top w:val="nil"/>
              <w:bottom w:val="nil"/>
            </w:tcBorders>
            <w:shd w:val="clear" w:color="auto" w:fill="auto"/>
            <w:noWrap/>
            <w:vAlign w:val="bottom"/>
            <w:hideMark/>
          </w:tcPr>
          <w:p w:rsidR="00AF119C" w:rsidRPr="007427AA" w:rsidRDefault="00AF119C" w:rsidP="00AF119C">
            <w:pPr>
              <w:spacing w:after="0" w:line="240" w:lineRule="auto"/>
              <w:jc w:val="center"/>
              <w:rPr>
                <w:rFonts w:ascii="Arial Narrow" w:hAnsi="Arial Narrow" w:cs="Arial"/>
                <w:color w:val="000000"/>
                <w:sz w:val="18"/>
                <w:szCs w:val="18"/>
              </w:rPr>
            </w:pPr>
            <w:r w:rsidRPr="007427AA">
              <w:rPr>
                <w:rFonts w:ascii="Arial Narrow" w:hAnsi="Arial Narrow" w:cs="Arial"/>
                <w:color w:val="000000"/>
                <w:sz w:val="18"/>
                <w:szCs w:val="18"/>
              </w:rPr>
              <w:t>100.00%</w:t>
            </w:r>
          </w:p>
        </w:tc>
        <w:tc>
          <w:tcPr>
            <w:tcW w:w="1384" w:type="dxa"/>
            <w:tcBorders>
              <w:top w:val="nil"/>
              <w:bottom w:val="nil"/>
            </w:tcBorders>
            <w:shd w:val="clear" w:color="auto" w:fill="auto"/>
            <w:noWrap/>
            <w:vAlign w:val="bottom"/>
            <w:hideMark/>
          </w:tcPr>
          <w:p w:rsidR="00AF119C" w:rsidRPr="007427AA" w:rsidRDefault="00AF119C" w:rsidP="000C6B69">
            <w:pPr>
              <w:spacing w:after="0" w:line="240" w:lineRule="auto"/>
              <w:ind w:right="-90"/>
              <w:jc w:val="right"/>
              <w:rPr>
                <w:rFonts w:ascii="Arial Narrow" w:hAnsi="Arial Narrow" w:cs="Arial"/>
                <w:color w:val="000000"/>
                <w:sz w:val="18"/>
                <w:szCs w:val="18"/>
              </w:rPr>
            </w:pPr>
            <w:r w:rsidRPr="007427AA">
              <w:rPr>
                <w:rFonts w:ascii="Arial Narrow" w:hAnsi="Arial Narrow" w:cs="Arial"/>
                <w:color w:val="000000"/>
                <w:sz w:val="18"/>
                <w:szCs w:val="18"/>
              </w:rPr>
              <w:t>75,000.00</w:t>
            </w:r>
          </w:p>
        </w:tc>
      </w:tr>
      <w:tr w:rsidR="00AF119C" w:rsidRPr="000C6B69" w:rsidTr="005F05E4">
        <w:trPr>
          <w:trHeight w:val="192"/>
          <w:jc w:val="right"/>
        </w:trPr>
        <w:tc>
          <w:tcPr>
            <w:tcW w:w="308" w:type="dxa"/>
            <w:tcBorders>
              <w:top w:val="nil"/>
              <w:bottom w:val="nil"/>
            </w:tcBorders>
            <w:shd w:val="clear" w:color="auto" w:fill="auto"/>
            <w:noWrap/>
            <w:hideMark/>
          </w:tcPr>
          <w:p w:rsidR="00AF119C" w:rsidRPr="007427AA" w:rsidRDefault="00AF119C" w:rsidP="005F05E4">
            <w:pPr>
              <w:spacing w:after="0" w:line="240" w:lineRule="auto"/>
              <w:ind w:hanging="85"/>
              <w:rPr>
                <w:rFonts w:ascii="Arial Narrow" w:hAnsi="Arial Narrow" w:cs="Arial"/>
                <w:color w:val="000000"/>
                <w:sz w:val="18"/>
                <w:szCs w:val="18"/>
              </w:rPr>
            </w:pPr>
            <w:r w:rsidRPr="007427AA">
              <w:rPr>
                <w:rFonts w:ascii="Arial Narrow" w:hAnsi="Arial Narrow" w:cs="Arial"/>
                <w:color w:val="000000"/>
                <w:sz w:val="18"/>
                <w:szCs w:val="18"/>
              </w:rPr>
              <w:t>10</w:t>
            </w:r>
          </w:p>
        </w:tc>
        <w:tc>
          <w:tcPr>
            <w:tcW w:w="2026" w:type="dxa"/>
            <w:tcBorders>
              <w:top w:val="nil"/>
              <w:bottom w:val="nil"/>
            </w:tcBorders>
            <w:shd w:val="clear" w:color="auto" w:fill="auto"/>
            <w:noWrap/>
            <w:vAlign w:val="bottom"/>
            <w:hideMark/>
          </w:tcPr>
          <w:p w:rsidR="00AF119C" w:rsidRPr="007427AA" w:rsidRDefault="00AF119C" w:rsidP="00AF119C">
            <w:pPr>
              <w:spacing w:after="0" w:line="240" w:lineRule="auto"/>
              <w:rPr>
                <w:rFonts w:ascii="Arial Narrow" w:hAnsi="Arial Narrow" w:cs="Arial"/>
                <w:color w:val="000000"/>
                <w:sz w:val="18"/>
                <w:szCs w:val="18"/>
              </w:rPr>
            </w:pPr>
            <w:r w:rsidRPr="007427AA">
              <w:rPr>
                <w:rFonts w:ascii="Arial Narrow" w:hAnsi="Arial Narrow" w:cs="Arial"/>
                <w:color w:val="000000"/>
                <w:sz w:val="18"/>
                <w:szCs w:val="18"/>
              </w:rPr>
              <w:t>Urinary Tract Infection</w:t>
            </w:r>
          </w:p>
        </w:tc>
        <w:tc>
          <w:tcPr>
            <w:tcW w:w="806" w:type="dxa"/>
            <w:tcBorders>
              <w:top w:val="nil"/>
              <w:bottom w:val="nil"/>
            </w:tcBorders>
            <w:shd w:val="clear" w:color="auto" w:fill="auto"/>
            <w:noWrap/>
            <w:vAlign w:val="bottom"/>
            <w:hideMark/>
          </w:tcPr>
          <w:p w:rsidR="00AF119C" w:rsidRPr="007427AA" w:rsidRDefault="00AF119C" w:rsidP="00AF119C">
            <w:pPr>
              <w:spacing w:after="0" w:line="240" w:lineRule="auto"/>
              <w:jc w:val="center"/>
              <w:rPr>
                <w:rFonts w:ascii="Arial Narrow" w:hAnsi="Arial Narrow" w:cs="Arial"/>
                <w:color w:val="000000"/>
                <w:sz w:val="18"/>
                <w:szCs w:val="18"/>
              </w:rPr>
            </w:pPr>
            <w:r w:rsidRPr="007427AA">
              <w:rPr>
                <w:rFonts w:ascii="Arial Narrow" w:hAnsi="Arial Narrow" w:cs="Arial"/>
                <w:color w:val="000000"/>
                <w:sz w:val="18"/>
                <w:szCs w:val="18"/>
              </w:rPr>
              <w:t>27</w:t>
            </w:r>
          </w:p>
        </w:tc>
        <w:tc>
          <w:tcPr>
            <w:tcW w:w="1384" w:type="dxa"/>
            <w:tcBorders>
              <w:top w:val="nil"/>
              <w:bottom w:val="nil"/>
            </w:tcBorders>
            <w:shd w:val="clear" w:color="auto" w:fill="auto"/>
            <w:noWrap/>
            <w:vAlign w:val="bottom"/>
            <w:hideMark/>
          </w:tcPr>
          <w:p w:rsidR="00AF119C" w:rsidRPr="007427AA" w:rsidRDefault="00AF119C" w:rsidP="005F05E4">
            <w:pPr>
              <w:spacing w:after="0" w:line="240" w:lineRule="auto"/>
              <w:jc w:val="right"/>
              <w:rPr>
                <w:rFonts w:ascii="Arial Narrow" w:hAnsi="Arial Narrow" w:cs="Arial"/>
                <w:color w:val="000000"/>
                <w:sz w:val="18"/>
                <w:szCs w:val="18"/>
              </w:rPr>
            </w:pPr>
            <w:r w:rsidRPr="007427AA">
              <w:rPr>
                <w:rFonts w:ascii="Arial Narrow" w:hAnsi="Arial Narrow" w:cs="Arial"/>
                <w:color w:val="000000"/>
                <w:sz w:val="18"/>
                <w:szCs w:val="18"/>
              </w:rPr>
              <w:t>563,000.00</w:t>
            </w:r>
          </w:p>
        </w:tc>
        <w:tc>
          <w:tcPr>
            <w:tcW w:w="1316" w:type="dxa"/>
            <w:tcBorders>
              <w:top w:val="nil"/>
              <w:bottom w:val="nil"/>
            </w:tcBorders>
            <w:shd w:val="clear" w:color="auto" w:fill="auto"/>
            <w:noWrap/>
            <w:vAlign w:val="bottom"/>
            <w:hideMark/>
          </w:tcPr>
          <w:p w:rsidR="00AF119C" w:rsidRPr="007427AA" w:rsidRDefault="00AF119C" w:rsidP="005F05E4">
            <w:pPr>
              <w:spacing w:after="0" w:line="240" w:lineRule="auto"/>
              <w:ind w:right="280"/>
              <w:jc w:val="right"/>
              <w:rPr>
                <w:rFonts w:ascii="Arial Narrow" w:hAnsi="Arial Narrow" w:cs="Arial"/>
                <w:color w:val="000000"/>
                <w:sz w:val="18"/>
                <w:szCs w:val="18"/>
              </w:rPr>
            </w:pPr>
            <w:r w:rsidRPr="007427AA">
              <w:rPr>
                <w:rFonts w:ascii="Arial Narrow" w:hAnsi="Arial Narrow" w:cs="Arial"/>
                <w:color w:val="000000"/>
                <w:sz w:val="18"/>
                <w:szCs w:val="18"/>
              </w:rPr>
              <w:t>27</w:t>
            </w:r>
          </w:p>
        </w:tc>
        <w:tc>
          <w:tcPr>
            <w:tcW w:w="1006" w:type="dxa"/>
            <w:tcBorders>
              <w:top w:val="nil"/>
              <w:bottom w:val="nil"/>
            </w:tcBorders>
            <w:shd w:val="clear" w:color="auto" w:fill="auto"/>
            <w:noWrap/>
            <w:vAlign w:val="bottom"/>
            <w:hideMark/>
          </w:tcPr>
          <w:p w:rsidR="00AF119C" w:rsidRPr="007427AA" w:rsidRDefault="00AF119C" w:rsidP="00AF119C">
            <w:pPr>
              <w:spacing w:after="0" w:line="240" w:lineRule="auto"/>
              <w:jc w:val="center"/>
              <w:rPr>
                <w:rFonts w:ascii="Arial Narrow" w:hAnsi="Arial Narrow" w:cs="Arial"/>
                <w:color w:val="000000"/>
                <w:sz w:val="18"/>
                <w:szCs w:val="18"/>
              </w:rPr>
            </w:pPr>
            <w:r w:rsidRPr="007427AA">
              <w:rPr>
                <w:rFonts w:ascii="Arial Narrow" w:hAnsi="Arial Narrow" w:cs="Arial"/>
                <w:color w:val="000000"/>
                <w:sz w:val="18"/>
                <w:szCs w:val="18"/>
              </w:rPr>
              <w:t>100.00%</w:t>
            </w:r>
          </w:p>
        </w:tc>
        <w:tc>
          <w:tcPr>
            <w:tcW w:w="1384" w:type="dxa"/>
            <w:tcBorders>
              <w:top w:val="nil"/>
              <w:bottom w:val="nil"/>
            </w:tcBorders>
            <w:shd w:val="clear" w:color="auto" w:fill="auto"/>
            <w:noWrap/>
            <w:vAlign w:val="bottom"/>
            <w:hideMark/>
          </w:tcPr>
          <w:p w:rsidR="00AF119C" w:rsidRPr="007427AA" w:rsidRDefault="00AF119C" w:rsidP="000C6B69">
            <w:pPr>
              <w:spacing w:after="0" w:line="240" w:lineRule="auto"/>
              <w:ind w:right="-90"/>
              <w:jc w:val="right"/>
              <w:rPr>
                <w:rFonts w:ascii="Arial Narrow" w:hAnsi="Arial Narrow" w:cs="Arial"/>
                <w:color w:val="000000"/>
                <w:sz w:val="18"/>
                <w:szCs w:val="18"/>
              </w:rPr>
            </w:pPr>
            <w:r w:rsidRPr="007427AA">
              <w:rPr>
                <w:rFonts w:ascii="Arial Narrow" w:hAnsi="Arial Narrow" w:cs="Arial"/>
                <w:color w:val="000000"/>
                <w:sz w:val="18"/>
                <w:szCs w:val="18"/>
              </w:rPr>
              <w:t>563,000.00</w:t>
            </w:r>
          </w:p>
        </w:tc>
      </w:tr>
      <w:tr w:rsidR="00AF119C" w:rsidRPr="000C6B69" w:rsidTr="005F05E4">
        <w:trPr>
          <w:trHeight w:val="192"/>
          <w:jc w:val="right"/>
        </w:trPr>
        <w:tc>
          <w:tcPr>
            <w:tcW w:w="308" w:type="dxa"/>
            <w:tcBorders>
              <w:top w:val="nil"/>
              <w:bottom w:val="single" w:sz="4" w:space="0" w:color="auto"/>
            </w:tcBorders>
            <w:shd w:val="clear" w:color="auto" w:fill="auto"/>
            <w:noWrap/>
            <w:hideMark/>
          </w:tcPr>
          <w:p w:rsidR="00AF119C" w:rsidRPr="007427AA" w:rsidRDefault="00AF119C" w:rsidP="005F05E4">
            <w:pPr>
              <w:spacing w:after="0" w:line="240" w:lineRule="auto"/>
              <w:ind w:hanging="85"/>
              <w:rPr>
                <w:rFonts w:ascii="Arial Narrow" w:hAnsi="Arial Narrow" w:cs="Arial"/>
                <w:color w:val="000000"/>
                <w:sz w:val="18"/>
                <w:szCs w:val="18"/>
              </w:rPr>
            </w:pPr>
            <w:r w:rsidRPr="007427AA">
              <w:rPr>
                <w:rFonts w:ascii="Arial Narrow" w:hAnsi="Arial Narrow" w:cs="Arial"/>
                <w:color w:val="000000"/>
                <w:sz w:val="18"/>
                <w:szCs w:val="18"/>
              </w:rPr>
              <w:t>11</w:t>
            </w:r>
          </w:p>
        </w:tc>
        <w:tc>
          <w:tcPr>
            <w:tcW w:w="2026" w:type="dxa"/>
            <w:tcBorders>
              <w:top w:val="nil"/>
              <w:bottom w:val="single" w:sz="4" w:space="0" w:color="auto"/>
            </w:tcBorders>
            <w:shd w:val="clear" w:color="auto" w:fill="auto"/>
            <w:noWrap/>
            <w:vAlign w:val="bottom"/>
            <w:hideMark/>
          </w:tcPr>
          <w:p w:rsidR="00AF119C" w:rsidRPr="007427AA" w:rsidRDefault="00AF119C" w:rsidP="00AF119C">
            <w:pPr>
              <w:spacing w:after="0" w:line="240" w:lineRule="auto"/>
              <w:rPr>
                <w:rFonts w:ascii="Arial Narrow" w:hAnsi="Arial Narrow" w:cs="Arial"/>
                <w:color w:val="000000"/>
                <w:sz w:val="18"/>
                <w:szCs w:val="18"/>
              </w:rPr>
            </w:pPr>
            <w:r w:rsidRPr="007427AA">
              <w:rPr>
                <w:rFonts w:ascii="Arial Narrow" w:hAnsi="Arial Narrow" w:cs="Arial"/>
                <w:color w:val="000000"/>
                <w:sz w:val="18"/>
                <w:szCs w:val="18"/>
              </w:rPr>
              <w:t>Typhoid Fever</w:t>
            </w:r>
          </w:p>
        </w:tc>
        <w:tc>
          <w:tcPr>
            <w:tcW w:w="806" w:type="dxa"/>
            <w:tcBorders>
              <w:top w:val="nil"/>
              <w:bottom w:val="single" w:sz="4" w:space="0" w:color="auto"/>
            </w:tcBorders>
            <w:shd w:val="clear" w:color="auto" w:fill="auto"/>
            <w:noWrap/>
            <w:vAlign w:val="bottom"/>
            <w:hideMark/>
          </w:tcPr>
          <w:p w:rsidR="00AF119C" w:rsidRPr="007427AA" w:rsidRDefault="00AF119C" w:rsidP="00AF119C">
            <w:pPr>
              <w:spacing w:after="0" w:line="240" w:lineRule="auto"/>
              <w:jc w:val="center"/>
              <w:rPr>
                <w:rFonts w:ascii="Arial Narrow" w:hAnsi="Arial Narrow" w:cs="Arial"/>
                <w:color w:val="000000"/>
                <w:sz w:val="18"/>
                <w:szCs w:val="18"/>
              </w:rPr>
            </w:pPr>
            <w:r w:rsidRPr="007427AA">
              <w:rPr>
                <w:rFonts w:ascii="Arial Narrow" w:hAnsi="Arial Narrow" w:cs="Arial"/>
                <w:color w:val="000000"/>
                <w:sz w:val="18"/>
                <w:szCs w:val="18"/>
              </w:rPr>
              <w:t>16</w:t>
            </w:r>
          </w:p>
        </w:tc>
        <w:tc>
          <w:tcPr>
            <w:tcW w:w="1384" w:type="dxa"/>
            <w:tcBorders>
              <w:top w:val="nil"/>
              <w:bottom w:val="single" w:sz="4" w:space="0" w:color="auto"/>
            </w:tcBorders>
            <w:shd w:val="clear" w:color="auto" w:fill="auto"/>
            <w:noWrap/>
            <w:vAlign w:val="bottom"/>
            <w:hideMark/>
          </w:tcPr>
          <w:p w:rsidR="00AF119C" w:rsidRPr="007427AA" w:rsidRDefault="00AF119C" w:rsidP="005F05E4">
            <w:pPr>
              <w:spacing w:after="0" w:line="240" w:lineRule="auto"/>
              <w:jc w:val="right"/>
              <w:rPr>
                <w:rFonts w:ascii="Arial Narrow" w:hAnsi="Arial Narrow" w:cs="Arial"/>
                <w:color w:val="000000"/>
                <w:sz w:val="18"/>
                <w:szCs w:val="18"/>
              </w:rPr>
            </w:pPr>
            <w:r w:rsidRPr="007427AA">
              <w:rPr>
                <w:rFonts w:ascii="Arial Narrow" w:hAnsi="Arial Narrow" w:cs="Arial"/>
                <w:color w:val="000000"/>
                <w:sz w:val="18"/>
                <w:szCs w:val="18"/>
              </w:rPr>
              <w:t>476,000.00</w:t>
            </w:r>
          </w:p>
        </w:tc>
        <w:tc>
          <w:tcPr>
            <w:tcW w:w="1316" w:type="dxa"/>
            <w:tcBorders>
              <w:top w:val="nil"/>
              <w:bottom w:val="single" w:sz="4" w:space="0" w:color="auto"/>
            </w:tcBorders>
            <w:shd w:val="clear" w:color="auto" w:fill="auto"/>
            <w:noWrap/>
            <w:vAlign w:val="bottom"/>
            <w:hideMark/>
          </w:tcPr>
          <w:p w:rsidR="00AF119C" w:rsidRPr="007427AA" w:rsidRDefault="00AF119C" w:rsidP="005F05E4">
            <w:pPr>
              <w:spacing w:after="0" w:line="240" w:lineRule="auto"/>
              <w:ind w:right="280"/>
              <w:jc w:val="right"/>
              <w:rPr>
                <w:rFonts w:ascii="Arial Narrow" w:hAnsi="Arial Narrow" w:cs="Arial"/>
                <w:color w:val="000000"/>
                <w:sz w:val="18"/>
                <w:szCs w:val="18"/>
              </w:rPr>
            </w:pPr>
            <w:r w:rsidRPr="007427AA">
              <w:rPr>
                <w:rFonts w:ascii="Arial Narrow" w:hAnsi="Arial Narrow" w:cs="Arial"/>
                <w:color w:val="000000"/>
                <w:sz w:val="18"/>
                <w:szCs w:val="18"/>
              </w:rPr>
              <w:t>16</w:t>
            </w:r>
          </w:p>
        </w:tc>
        <w:tc>
          <w:tcPr>
            <w:tcW w:w="1006" w:type="dxa"/>
            <w:tcBorders>
              <w:top w:val="nil"/>
              <w:bottom w:val="single" w:sz="4" w:space="0" w:color="auto"/>
            </w:tcBorders>
            <w:shd w:val="clear" w:color="auto" w:fill="auto"/>
            <w:noWrap/>
            <w:vAlign w:val="bottom"/>
            <w:hideMark/>
          </w:tcPr>
          <w:p w:rsidR="00AF119C" w:rsidRPr="007427AA" w:rsidRDefault="00AF119C" w:rsidP="00AF119C">
            <w:pPr>
              <w:spacing w:after="0" w:line="240" w:lineRule="auto"/>
              <w:jc w:val="center"/>
              <w:rPr>
                <w:rFonts w:ascii="Arial Narrow" w:hAnsi="Arial Narrow" w:cs="Arial"/>
                <w:color w:val="000000"/>
                <w:sz w:val="18"/>
                <w:szCs w:val="18"/>
              </w:rPr>
            </w:pPr>
            <w:r w:rsidRPr="007427AA">
              <w:rPr>
                <w:rFonts w:ascii="Arial Narrow" w:hAnsi="Arial Narrow" w:cs="Arial"/>
                <w:color w:val="000000"/>
                <w:sz w:val="18"/>
                <w:szCs w:val="18"/>
              </w:rPr>
              <w:t>100.00%</w:t>
            </w:r>
          </w:p>
        </w:tc>
        <w:tc>
          <w:tcPr>
            <w:tcW w:w="1384" w:type="dxa"/>
            <w:tcBorders>
              <w:top w:val="nil"/>
              <w:bottom w:val="single" w:sz="4" w:space="0" w:color="auto"/>
            </w:tcBorders>
            <w:shd w:val="clear" w:color="auto" w:fill="auto"/>
            <w:noWrap/>
            <w:vAlign w:val="bottom"/>
            <w:hideMark/>
          </w:tcPr>
          <w:p w:rsidR="00AF119C" w:rsidRPr="007427AA" w:rsidRDefault="00AF119C" w:rsidP="000C6B69">
            <w:pPr>
              <w:spacing w:after="0" w:line="240" w:lineRule="auto"/>
              <w:ind w:right="-90"/>
              <w:jc w:val="right"/>
              <w:rPr>
                <w:rFonts w:ascii="Arial Narrow" w:hAnsi="Arial Narrow" w:cs="Arial"/>
                <w:color w:val="000000"/>
                <w:sz w:val="18"/>
                <w:szCs w:val="18"/>
              </w:rPr>
            </w:pPr>
            <w:r w:rsidRPr="007427AA">
              <w:rPr>
                <w:rFonts w:ascii="Arial Narrow" w:hAnsi="Arial Narrow" w:cs="Arial"/>
                <w:color w:val="000000"/>
                <w:sz w:val="18"/>
                <w:szCs w:val="18"/>
              </w:rPr>
              <w:t>476,000.00</w:t>
            </w:r>
          </w:p>
        </w:tc>
      </w:tr>
      <w:tr w:rsidR="00AF119C" w:rsidRPr="000C6B69" w:rsidTr="006B018F">
        <w:trPr>
          <w:trHeight w:val="192"/>
          <w:jc w:val="right"/>
        </w:trPr>
        <w:tc>
          <w:tcPr>
            <w:tcW w:w="308" w:type="dxa"/>
            <w:tcBorders>
              <w:top w:val="single" w:sz="4" w:space="0" w:color="auto"/>
              <w:bottom w:val="double" w:sz="4" w:space="0" w:color="auto"/>
            </w:tcBorders>
            <w:shd w:val="clear" w:color="auto" w:fill="auto"/>
            <w:noWrap/>
            <w:vAlign w:val="bottom"/>
            <w:hideMark/>
          </w:tcPr>
          <w:p w:rsidR="00AF119C" w:rsidRPr="007427AA" w:rsidRDefault="00AF119C" w:rsidP="00AF119C">
            <w:pPr>
              <w:spacing w:after="0" w:line="240" w:lineRule="auto"/>
              <w:jc w:val="center"/>
              <w:rPr>
                <w:rFonts w:ascii="Arial Narrow" w:hAnsi="Arial Narrow" w:cs="Arial"/>
                <w:b/>
                <w:bCs/>
                <w:color w:val="000000"/>
                <w:sz w:val="18"/>
                <w:szCs w:val="18"/>
              </w:rPr>
            </w:pPr>
          </w:p>
        </w:tc>
        <w:tc>
          <w:tcPr>
            <w:tcW w:w="2026" w:type="dxa"/>
            <w:tcBorders>
              <w:top w:val="single" w:sz="4" w:space="0" w:color="auto"/>
              <w:bottom w:val="double" w:sz="4" w:space="0" w:color="auto"/>
            </w:tcBorders>
            <w:shd w:val="clear" w:color="auto" w:fill="auto"/>
            <w:noWrap/>
            <w:vAlign w:val="bottom"/>
            <w:hideMark/>
          </w:tcPr>
          <w:p w:rsidR="00AF119C" w:rsidRPr="007427AA" w:rsidRDefault="00AF119C" w:rsidP="00AF119C">
            <w:pPr>
              <w:spacing w:after="0" w:line="240" w:lineRule="auto"/>
              <w:rPr>
                <w:rFonts w:ascii="Arial Narrow" w:hAnsi="Arial Narrow" w:cs="Arial"/>
                <w:b/>
                <w:bCs/>
                <w:color w:val="000000"/>
                <w:sz w:val="18"/>
                <w:szCs w:val="18"/>
              </w:rPr>
            </w:pPr>
            <w:r w:rsidRPr="007427AA">
              <w:rPr>
                <w:rFonts w:ascii="Arial Narrow" w:hAnsi="Arial Narrow" w:cs="Arial"/>
                <w:b/>
                <w:bCs/>
                <w:color w:val="000000"/>
                <w:sz w:val="18"/>
                <w:szCs w:val="18"/>
              </w:rPr>
              <w:t>Total</w:t>
            </w:r>
          </w:p>
        </w:tc>
        <w:tc>
          <w:tcPr>
            <w:tcW w:w="806" w:type="dxa"/>
            <w:tcBorders>
              <w:top w:val="single" w:sz="4" w:space="0" w:color="auto"/>
              <w:bottom w:val="double" w:sz="4" w:space="0" w:color="auto"/>
            </w:tcBorders>
            <w:shd w:val="clear" w:color="auto" w:fill="auto"/>
            <w:noWrap/>
            <w:vAlign w:val="bottom"/>
            <w:hideMark/>
          </w:tcPr>
          <w:p w:rsidR="00AF119C" w:rsidRPr="007427AA" w:rsidRDefault="00AF119C" w:rsidP="00AF119C">
            <w:pPr>
              <w:spacing w:after="0" w:line="240" w:lineRule="auto"/>
              <w:jc w:val="center"/>
              <w:rPr>
                <w:rFonts w:ascii="Arial Narrow" w:hAnsi="Arial Narrow" w:cs="Arial"/>
                <w:b/>
                <w:bCs/>
                <w:color w:val="000000"/>
                <w:sz w:val="18"/>
                <w:szCs w:val="18"/>
              </w:rPr>
            </w:pPr>
            <w:r w:rsidRPr="007427AA">
              <w:rPr>
                <w:rFonts w:ascii="Arial Narrow" w:hAnsi="Arial Narrow" w:cs="Arial"/>
                <w:b/>
                <w:bCs/>
                <w:color w:val="000000"/>
                <w:sz w:val="18"/>
                <w:szCs w:val="18"/>
              </w:rPr>
              <w:t>216</w:t>
            </w:r>
          </w:p>
        </w:tc>
        <w:tc>
          <w:tcPr>
            <w:tcW w:w="1384" w:type="dxa"/>
            <w:tcBorders>
              <w:top w:val="single" w:sz="4" w:space="0" w:color="auto"/>
              <w:bottom w:val="double" w:sz="4" w:space="0" w:color="auto"/>
            </w:tcBorders>
            <w:shd w:val="clear" w:color="auto" w:fill="auto"/>
            <w:noWrap/>
            <w:vAlign w:val="bottom"/>
            <w:hideMark/>
          </w:tcPr>
          <w:p w:rsidR="00AF119C" w:rsidRPr="007427AA" w:rsidRDefault="005F05E4" w:rsidP="005F05E4">
            <w:pPr>
              <w:spacing w:after="0" w:line="240" w:lineRule="auto"/>
              <w:jc w:val="right"/>
              <w:rPr>
                <w:rFonts w:ascii="Arial Narrow" w:hAnsi="Arial Narrow" w:cs="Arial"/>
                <w:b/>
                <w:bCs/>
                <w:color w:val="000000"/>
                <w:sz w:val="18"/>
                <w:szCs w:val="18"/>
              </w:rPr>
            </w:pPr>
            <w:r w:rsidRPr="007427AA">
              <w:rPr>
                <w:rFonts w:ascii="Arial Narrow" w:hAnsi="Arial Narrow" w:cs="Arial"/>
                <w:b/>
                <w:bCs/>
                <w:color w:val="000000"/>
                <w:sz w:val="18"/>
                <w:szCs w:val="18"/>
              </w:rPr>
              <w:t>P</w:t>
            </w:r>
            <w:r w:rsidR="00AF119C" w:rsidRPr="007427AA">
              <w:rPr>
                <w:rFonts w:ascii="Arial Narrow" w:hAnsi="Arial Narrow" w:cs="Arial"/>
                <w:b/>
                <w:bCs/>
                <w:color w:val="000000"/>
                <w:sz w:val="18"/>
                <w:szCs w:val="18"/>
              </w:rPr>
              <w:t>5,000,124.00</w:t>
            </w:r>
          </w:p>
        </w:tc>
        <w:tc>
          <w:tcPr>
            <w:tcW w:w="1316" w:type="dxa"/>
            <w:tcBorders>
              <w:top w:val="single" w:sz="4" w:space="0" w:color="auto"/>
              <w:bottom w:val="double" w:sz="4" w:space="0" w:color="auto"/>
            </w:tcBorders>
            <w:shd w:val="clear" w:color="auto" w:fill="auto"/>
            <w:noWrap/>
            <w:vAlign w:val="bottom"/>
            <w:hideMark/>
          </w:tcPr>
          <w:p w:rsidR="00AF119C" w:rsidRPr="007427AA" w:rsidRDefault="00AF119C" w:rsidP="005F05E4">
            <w:pPr>
              <w:spacing w:after="0" w:line="240" w:lineRule="auto"/>
              <w:ind w:right="280"/>
              <w:jc w:val="right"/>
              <w:rPr>
                <w:rFonts w:ascii="Arial Narrow" w:hAnsi="Arial Narrow" w:cs="Arial"/>
                <w:b/>
                <w:bCs/>
                <w:color w:val="000000"/>
                <w:sz w:val="18"/>
                <w:szCs w:val="18"/>
              </w:rPr>
            </w:pPr>
            <w:r w:rsidRPr="007427AA">
              <w:rPr>
                <w:rFonts w:ascii="Arial Narrow" w:hAnsi="Arial Narrow" w:cs="Arial"/>
                <w:b/>
                <w:bCs/>
                <w:color w:val="000000"/>
                <w:sz w:val="18"/>
                <w:szCs w:val="18"/>
              </w:rPr>
              <w:t>209</w:t>
            </w:r>
          </w:p>
        </w:tc>
        <w:tc>
          <w:tcPr>
            <w:tcW w:w="1006" w:type="dxa"/>
            <w:tcBorders>
              <w:top w:val="single" w:sz="4" w:space="0" w:color="auto"/>
              <w:bottom w:val="double" w:sz="4" w:space="0" w:color="auto"/>
            </w:tcBorders>
            <w:shd w:val="clear" w:color="auto" w:fill="auto"/>
            <w:noWrap/>
            <w:vAlign w:val="bottom"/>
            <w:hideMark/>
          </w:tcPr>
          <w:p w:rsidR="00AF119C" w:rsidRPr="007427AA" w:rsidRDefault="00AF119C" w:rsidP="00AF119C">
            <w:pPr>
              <w:spacing w:after="0" w:line="240" w:lineRule="auto"/>
              <w:jc w:val="center"/>
              <w:rPr>
                <w:rFonts w:ascii="Arial Narrow" w:hAnsi="Arial Narrow" w:cs="Arial"/>
                <w:b/>
                <w:bCs/>
                <w:color w:val="000000"/>
                <w:sz w:val="18"/>
                <w:szCs w:val="18"/>
              </w:rPr>
            </w:pPr>
          </w:p>
        </w:tc>
        <w:tc>
          <w:tcPr>
            <w:tcW w:w="1384" w:type="dxa"/>
            <w:tcBorders>
              <w:top w:val="single" w:sz="4" w:space="0" w:color="auto"/>
              <w:bottom w:val="double" w:sz="4" w:space="0" w:color="auto"/>
            </w:tcBorders>
            <w:shd w:val="clear" w:color="auto" w:fill="auto"/>
            <w:noWrap/>
            <w:vAlign w:val="bottom"/>
            <w:hideMark/>
          </w:tcPr>
          <w:p w:rsidR="00AF119C" w:rsidRPr="007427AA" w:rsidRDefault="005F05E4" w:rsidP="000C6B69">
            <w:pPr>
              <w:spacing w:after="0" w:line="240" w:lineRule="auto"/>
              <w:ind w:right="-90"/>
              <w:jc w:val="right"/>
              <w:rPr>
                <w:rFonts w:ascii="Arial Narrow" w:hAnsi="Arial Narrow" w:cs="Arial"/>
                <w:b/>
                <w:bCs/>
                <w:color w:val="000000"/>
                <w:sz w:val="18"/>
                <w:szCs w:val="18"/>
              </w:rPr>
            </w:pPr>
            <w:r w:rsidRPr="007427AA">
              <w:rPr>
                <w:rFonts w:ascii="Arial Narrow" w:hAnsi="Arial Narrow" w:cs="Arial"/>
                <w:b/>
                <w:bCs/>
                <w:color w:val="000000"/>
                <w:sz w:val="18"/>
                <w:szCs w:val="18"/>
              </w:rPr>
              <w:t>P</w:t>
            </w:r>
            <w:r w:rsidR="00AF119C" w:rsidRPr="007427AA">
              <w:rPr>
                <w:rFonts w:ascii="Arial Narrow" w:hAnsi="Arial Narrow" w:cs="Arial"/>
                <w:b/>
                <w:bCs/>
                <w:color w:val="000000"/>
                <w:sz w:val="18"/>
                <w:szCs w:val="18"/>
              </w:rPr>
              <w:t>4,834,380.00</w:t>
            </w:r>
          </w:p>
        </w:tc>
      </w:tr>
    </w:tbl>
    <w:p w:rsidR="00413E5A" w:rsidRPr="000C6B69" w:rsidRDefault="00413E5A" w:rsidP="00413E5A">
      <w:pPr>
        <w:pStyle w:val="ListParagraph"/>
        <w:ind w:left="0"/>
        <w:jc w:val="both"/>
        <w:rPr>
          <w:rFonts w:ascii="Arial Narrow" w:hAnsi="Arial Narrow" w:cs="Arial"/>
          <w:sz w:val="20"/>
          <w:szCs w:val="20"/>
        </w:rPr>
      </w:pPr>
    </w:p>
    <w:p w:rsidR="00413E5A" w:rsidRPr="00AF119C" w:rsidRDefault="00413E5A" w:rsidP="00DA78B4">
      <w:pPr>
        <w:pStyle w:val="ListParagraph"/>
        <w:numPr>
          <w:ilvl w:val="1"/>
          <w:numId w:val="21"/>
        </w:numPr>
        <w:ind w:left="1440"/>
        <w:jc w:val="both"/>
        <w:rPr>
          <w:rFonts w:ascii="Arial" w:hAnsi="Arial" w:cs="Arial"/>
          <w:sz w:val="22"/>
          <w:szCs w:val="22"/>
        </w:rPr>
      </w:pPr>
      <w:r w:rsidRPr="00AF119C">
        <w:rPr>
          <w:rFonts w:ascii="Arial" w:hAnsi="Arial" w:cs="Arial"/>
          <w:sz w:val="22"/>
          <w:szCs w:val="22"/>
        </w:rPr>
        <w:t xml:space="preserve">Further verification of billing statements supporting the claims disclosed that the actual period of confinement of the patients, as reflected under the Room and Board portion, ranges from five to 10 days whether the case is ordinary, acute or severe.  Based on personal knowledge and gathered information, days of confinements of each patient may differ depending on </w:t>
      </w:r>
      <w:r w:rsidR="00077959">
        <w:rPr>
          <w:rFonts w:ascii="Arial" w:hAnsi="Arial" w:cs="Arial"/>
          <w:sz w:val="22"/>
          <w:szCs w:val="22"/>
        </w:rPr>
        <w:t>his/her</w:t>
      </w:r>
      <w:r w:rsidRPr="00AF119C">
        <w:rPr>
          <w:rFonts w:ascii="Arial" w:hAnsi="Arial" w:cs="Arial"/>
          <w:sz w:val="22"/>
          <w:szCs w:val="22"/>
        </w:rPr>
        <w:t xml:space="preserve"> conditions and nature of </w:t>
      </w:r>
      <w:r w:rsidR="00077959">
        <w:rPr>
          <w:rFonts w:ascii="Arial" w:hAnsi="Arial" w:cs="Arial"/>
          <w:sz w:val="22"/>
          <w:szCs w:val="22"/>
        </w:rPr>
        <w:t>the</w:t>
      </w:r>
      <w:r w:rsidRPr="00AF119C">
        <w:rPr>
          <w:rFonts w:ascii="Arial" w:hAnsi="Arial" w:cs="Arial"/>
          <w:sz w:val="22"/>
          <w:szCs w:val="22"/>
        </w:rPr>
        <w:t xml:space="preserve"> illness.        </w:t>
      </w:r>
    </w:p>
    <w:p w:rsidR="00413E5A" w:rsidRPr="00AF119C" w:rsidRDefault="00413E5A" w:rsidP="00A76F2C">
      <w:pPr>
        <w:pStyle w:val="ListParagraph"/>
        <w:ind w:left="1440" w:hanging="720"/>
        <w:jc w:val="both"/>
        <w:rPr>
          <w:rFonts w:ascii="Arial" w:hAnsi="Arial" w:cs="Arial"/>
          <w:sz w:val="22"/>
          <w:szCs w:val="22"/>
        </w:rPr>
      </w:pPr>
    </w:p>
    <w:p w:rsidR="00413E5A" w:rsidRPr="00AF119C" w:rsidRDefault="00AD4A7A" w:rsidP="00DA78B4">
      <w:pPr>
        <w:pStyle w:val="ListParagraph"/>
        <w:numPr>
          <w:ilvl w:val="1"/>
          <w:numId w:val="21"/>
        </w:numPr>
        <w:ind w:left="1440"/>
        <w:jc w:val="both"/>
        <w:rPr>
          <w:rFonts w:ascii="Arial" w:hAnsi="Arial" w:cs="Arial"/>
          <w:sz w:val="22"/>
          <w:szCs w:val="22"/>
        </w:rPr>
      </w:pPr>
      <w:r w:rsidRPr="00AF119C">
        <w:rPr>
          <w:rFonts w:ascii="Arial" w:hAnsi="Arial" w:cs="Arial"/>
          <w:sz w:val="22"/>
          <w:szCs w:val="22"/>
        </w:rPr>
        <w:t>It was al</w:t>
      </w:r>
      <w:r w:rsidR="00413E5A" w:rsidRPr="00AF119C">
        <w:rPr>
          <w:rFonts w:ascii="Arial" w:hAnsi="Arial" w:cs="Arial"/>
          <w:sz w:val="22"/>
          <w:szCs w:val="22"/>
        </w:rPr>
        <w:t xml:space="preserve">so noted that several claims of different patients having similar CAs and illnesses have similar amounts due in their Billing Statements (BSs).  Furthermore, the said BSs and CAs were signed by the Medical Director and physician, respectively, who was one and the same person. </w:t>
      </w:r>
    </w:p>
    <w:p w:rsidR="007427AA" w:rsidRPr="00AF119C" w:rsidRDefault="007427AA" w:rsidP="00AD4A7A">
      <w:pPr>
        <w:pStyle w:val="ListParagraph"/>
        <w:ind w:left="1296"/>
        <w:jc w:val="both"/>
        <w:rPr>
          <w:rFonts w:ascii="Arial" w:hAnsi="Arial" w:cs="Arial"/>
          <w:sz w:val="22"/>
          <w:szCs w:val="22"/>
        </w:rPr>
      </w:pPr>
    </w:p>
    <w:p w:rsidR="00245214" w:rsidRPr="00AF119C" w:rsidRDefault="007B13FB" w:rsidP="003D1905">
      <w:pPr>
        <w:pStyle w:val="ListParagraph"/>
        <w:ind w:right="3600"/>
        <w:jc w:val="both"/>
        <w:rPr>
          <w:rFonts w:ascii="Arial" w:hAnsi="Arial" w:cs="Arial"/>
          <w:i/>
          <w:sz w:val="22"/>
          <w:szCs w:val="22"/>
          <w:lang w:eastAsia="en-PH"/>
        </w:rPr>
      </w:pPr>
      <w:r w:rsidRPr="00AF119C">
        <w:rPr>
          <w:rFonts w:ascii="Arial" w:hAnsi="Arial" w:cs="Arial"/>
          <w:i/>
          <w:sz w:val="22"/>
          <w:szCs w:val="22"/>
          <w:lang w:eastAsia="en-PH"/>
        </w:rPr>
        <w:t xml:space="preserve">Claims </w:t>
      </w:r>
      <w:r w:rsidR="00AD4A7A" w:rsidRPr="00AF119C">
        <w:rPr>
          <w:rFonts w:ascii="Arial" w:hAnsi="Arial" w:cs="Arial"/>
          <w:i/>
          <w:sz w:val="22"/>
          <w:szCs w:val="22"/>
          <w:lang w:eastAsia="en-PH"/>
        </w:rPr>
        <w:t xml:space="preserve">of </w:t>
      </w:r>
      <w:r w:rsidR="008F6E47">
        <w:rPr>
          <w:rFonts w:ascii="Arial" w:hAnsi="Arial" w:cs="Arial"/>
          <w:i/>
          <w:sz w:val="22"/>
          <w:szCs w:val="22"/>
          <w:lang w:eastAsia="en-PH"/>
        </w:rPr>
        <w:t>P1.</w:t>
      </w:r>
      <w:r w:rsidRPr="00AF119C">
        <w:rPr>
          <w:rFonts w:ascii="Arial" w:hAnsi="Arial" w:cs="Arial"/>
          <w:i/>
          <w:sz w:val="22"/>
          <w:szCs w:val="22"/>
          <w:lang w:eastAsia="en-PH"/>
        </w:rPr>
        <w:t>56</w:t>
      </w:r>
      <w:r w:rsidR="008F6E47">
        <w:rPr>
          <w:rFonts w:ascii="Arial" w:hAnsi="Arial" w:cs="Arial"/>
          <w:i/>
          <w:sz w:val="22"/>
          <w:szCs w:val="22"/>
          <w:lang w:eastAsia="en-PH"/>
        </w:rPr>
        <w:t>2 million</w:t>
      </w:r>
      <w:r w:rsidRPr="00AF119C">
        <w:rPr>
          <w:rFonts w:ascii="Arial" w:hAnsi="Arial" w:cs="Arial"/>
          <w:i/>
          <w:sz w:val="22"/>
          <w:szCs w:val="22"/>
          <w:lang w:eastAsia="en-PH"/>
        </w:rPr>
        <w:t xml:space="preserve"> pertained to patients belonging to the same family, who were confined more than once within two years and whose diagnosis and information in their clinical a</w:t>
      </w:r>
      <w:r w:rsidR="00A76F2C">
        <w:rPr>
          <w:rFonts w:ascii="Arial" w:hAnsi="Arial" w:cs="Arial"/>
          <w:i/>
          <w:sz w:val="22"/>
          <w:szCs w:val="22"/>
          <w:lang w:eastAsia="en-PH"/>
        </w:rPr>
        <w:t>bstracts were very much similar</w:t>
      </w:r>
    </w:p>
    <w:p w:rsidR="00CC2EFF" w:rsidRPr="00AF119C" w:rsidRDefault="00CC2EFF" w:rsidP="00245214">
      <w:pPr>
        <w:pStyle w:val="ListParagraph"/>
        <w:ind w:left="576"/>
        <w:jc w:val="both"/>
        <w:rPr>
          <w:rFonts w:ascii="Arial" w:hAnsi="Arial" w:cs="Arial"/>
          <w:b/>
          <w:sz w:val="22"/>
          <w:szCs w:val="22"/>
          <w:lang w:eastAsia="en-PH"/>
        </w:rPr>
      </w:pPr>
    </w:p>
    <w:p w:rsidR="00653C06" w:rsidRPr="00AF119C" w:rsidRDefault="00653C06" w:rsidP="00DA78B4">
      <w:pPr>
        <w:pStyle w:val="ListParagraph"/>
        <w:numPr>
          <w:ilvl w:val="1"/>
          <w:numId w:val="21"/>
        </w:numPr>
        <w:ind w:left="1440"/>
        <w:jc w:val="both"/>
        <w:rPr>
          <w:rFonts w:ascii="Arial" w:hAnsi="Arial" w:cs="Arial"/>
          <w:sz w:val="22"/>
          <w:szCs w:val="22"/>
          <w:lang w:eastAsia="en-PH"/>
        </w:rPr>
      </w:pPr>
      <w:r w:rsidRPr="00AF119C">
        <w:rPr>
          <w:rFonts w:ascii="Arial" w:hAnsi="Arial" w:cs="Arial"/>
          <w:sz w:val="22"/>
          <w:szCs w:val="22"/>
          <w:lang w:eastAsia="en-PH"/>
        </w:rPr>
        <w:t>Further verification of the supporting documents attached to the subject claims disclo</w:t>
      </w:r>
      <w:r w:rsidR="008F6E47">
        <w:rPr>
          <w:rFonts w:ascii="Arial" w:hAnsi="Arial" w:cs="Arial"/>
          <w:sz w:val="22"/>
          <w:szCs w:val="22"/>
          <w:lang w:eastAsia="en-PH"/>
        </w:rPr>
        <w:t>sed that the total amount of P1.</w:t>
      </w:r>
      <w:r w:rsidRPr="00AF119C">
        <w:rPr>
          <w:rFonts w:ascii="Arial" w:hAnsi="Arial" w:cs="Arial"/>
          <w:sz w:val="22"/>
          <w:szCs w:val="22"/>
          <w:lang w:eastAsia="en-PH"/>
        </w:rPr>
        <w:t>56</w:t>
      </w:r>
      <w:r w:rsidR="008F6E47">
        <w:rPr>
          <w:rFonts w:ascii="Arial" w:hAnsi="Arial" w:cs="Arial"/>
          <w:sz w:val="22"/>
          <w:szCs w:val="22"/>
          <w:lang w:eastAsia="en-PH"/>
        </w:rPr>
        <w:t xml:space="preserve">2 million </w:t>
      </w:r>
      <w:r w:rsidRPr="00AF119C">
        <w:rPr>
          <w:rFonts w:ascii="Arial" w:hAnsi="Arial" w:cs="Arial"/>
          <w:sz w:val="22"/>
          <w:szCs w:val="22"/>
          <w:lang w:eastAsia="en-PH"/>
        </w:rPr>
        <w:t>pertained to patients who were relatives that were confined several times within two years</w:t>
      </w:r>
      <w:r w:rsidR="009416BB" w:rsidRPr="00AF119C">
        <w:rPr>
          <w:rFonts w:ascii="Arial" w:hAnsi="Arial" w:cs="Arial"/>
          <w:sz w:val="22"/>
          <w:szCs w:val="22"/>
          <w:lang w:eastAsia="en-PH"/>
        </w:rPr>
        <w:t>.</w:t>
      </w:r>
      <w:r w:rsidRPr="00AF119C">
        <w:rPr>
          <w:rFonts w:ascii="Arial" w:hAnsi="Arial" w:cs="Arial"/>
          <w:sz w:val="22"/>
          <w:szCs w:val="22"/>
          <w:lang w:eastAsia="en-PH"/>
        </w:rPr>
        <w:t xml:space="preserve"> </w:t>
      </w:r>
      <w:r w:rsidR="009416BB" w:rsidRPr="00AF119C">
        <w:rPr>
          <w:rFonts w:ascii="Arial" w:hAnsi="Arial" w:cs="Arial"/>
          <w:sz w:val="22"/>
          <w:szCs w:val="22"/>
          <w:lang w:eastAsia="en-PH"/>
        </w:rPr>
        <w:t>It was also n</w:t>
      </w:r>
      <w:r w:rsidRPr="00AF119C">
        <w:rPr>
          <w:rFonts w:ascii="Arial" w:hAnsi="Arial" w:cs="Arial"/>
          <w:sz w:val="22"/>
          <w:szCs w:val="22"/>
          <w:lang w:eastAsia="en-PH"/>
        </w:rPr>
        <w:t>oted that said patients were diagnosed with similar illness such as acute gastroenteritis, urinary tract infection, glomerulonephritis, typhoid fever, among others and that the information in their CAs were exactly the same except for their names, date of admission, age and status which were unbelievably coincidental.</w:t>
      </w:r>
    </w:p>
    <w:p w:rsidR="00653C06" w:rsidRDefault="00653C06" w:rsidP="00653C06">
      <w:pPr>
        <w:pStyle w:val="ListParagraph"/>
        <w:ind w:left="576"/>
        <w:jc w:val="both"/>
        <w:rPr>
          <w:rFonts w:ascii="Arial" w:hAnsi="Arial" w:cs="Arial"/>
          <w:sz w:val="22"/>
          <w:szCs w:val="22"/>
          <w:lang w:eastAsia="en-PH"/>
        </w:rPr>
      </w:pPr>
      <w:r w:rsidRPr="00AF119C">
        <w:rPr>
          <w:rFonts w:ascii="Arial" w:hAnsi="Arial" w:cs="Arial"/>
          <w:sz w:val="22"/>
          <w:szCs w:val="22"/>
          <w:lang w:eastAsia="en-PH"/>
        </w:rPr>
        <w:t xml:space="preserve"> </w:t>
      </w:r>
    </w:p>
    <w:p w:rsidR="00154063" w:rsidRPr="00AF119C" w:rsidRDefault="00154063" w:rsidP="00653C06">
      <w:pPr>
        <w:pStyle w:val="ListParagraph"/>
        <w:ind w:left="576"/>
        <w:jc w:val="both"/>
        <w:rPr>
          <w:rFonts w:ascii="Arial" w:hAnsi="Arial" w:cs="Arial"/>
          <w:sz w:val="22"/>
          <w:szCs w:val="22"/>
          <w:lang w:eastAsia="en-PH"/>
        </w:rPr>
      </w:pPr>
    </w:p>
    <w:p w:rsidR="00542609" w:rsidRDefault="00653C06" w:rsidP="00DA78B4">
      <w:pPr>
        <w:pStyle w:val="ListParagraph"/>
        <w:numPr>
          <w:ilvl w:val="1"/>
          <w:numId w:val="21"/>
        </w:numPr>
        <w:ind w:left="1440"/>
        <w:jc w:val="both"/>
        <w:rPr>
          <w:rFonts w:ascii="Arial" w:hAnsi="Arial" w:cs="Arial"/>
          <w:b/>
          <w:sz w:val="22"/>
          <w:szCs w:val="22"/>
          <w:lang w:eastAsia="en-PH"/>
        </w:rPr>
      </w:pPr>
      <w:r w:rsidRPr="00AF119C">
        <w:rPr>
          <w:rFonts w:ascii="Arial" w:hAnsi="Arial" w:cs="Arial"/>
          <w:b/>
          <w:sz w:val="22"/>
          <w:szCs w:val="22"/>
          <w:lang w:eastAsia="en-PH"/>
        </w:rPr>
        <w:lastRenderedPageBreak/>
        <w:t xml:space="preserve">We recommended that Management: </w:t>
      </w:r>
    </w:p>
    <w:p w:rsidR="00542609" w:rsidRPr="00542609" w:rsidRDefault="00542609" w:rsidP="00542609">
      <w:pPr>
        <w:pStyle w:val="ListParagraph"/>
        <w:ind w:left="1296"/>
        <w:jc w:val="both"/>
        <w:rPr>
          <w:rFonts w:ascii="Arial" w:hAnsi="Arial" w:cs="Arial"/>
          <w:b/>
          <w:sz w:val="22"/>
          <w:szCs w:val="22"/>
          <w:lang w:eastAsia="en-PH"/>
        </w:rPr>
      </w:pPr>
    </w:p>
    <w:p w:rsidR="00653C06" w:rsidRPr="00AF119C" w:rsidRDefault="00653C06" w:rsidP="00DA78B4">
      <w:pPr>
        <w:pStyle w:val="ListParagraph"/>
        <w:numPr>
          <w:ilvl w:val="0"/>
          <w:numId w:val="14"/>
        </w:numPr>
        <w:ind w:left="1980" w:hanging="540"/>
        <w:jc w:val="both"/>
        <w:rPr>
          <w:rFonts w:ascii="Arial" w:hAnsi="Arial" w:cs="Arial"/>
          <w:b/>
          <w:sz w:val="22"/>
          <w:szCs w:val="22"/>
          <w:lang w:eastAsia="en-PH"/>
        </w:rPr>
      </w:pPr>
      <w:r w:rsidRPr="00AF119C">
        <w:rPr>
          <w:rFonts w:ascii="Arial" w:hAnsi="Arial" w:cs="Arial"/>
          <w:b/>
          <w:sz w:val="22"/>
          <w:szCs w:val="22"/>
          <w:lang w:eastAsia="en-PH"/>
        </w:rPr>
        <w:t xml:space="preserve">Cause the submission of the valid identification cards of the patients and representatives comprising the one hundred-one (101) cases </w:t>
      </w:r>
      <w:r w:rsidR="008F6E47">
        <w:rPr>
          <w:rFonts w:ascii="Arial" w:hAnsi="Arial" w:cs="Arial"/>
          <w:b/>
          <w:sz w:val="22"/>
          <w:szCs w:val="22"/>
          <w:lang w:eastAsia="en-PH"/>
        </w:rPr>
        <w:t>amounting to P2.168 million</w:t>
      </w:r>
      <w:r w:rsidRPr="00AF119C">
        <w:rPr>
          <w:rFonts w:ascii="Arial" w:hAnsi="Arial" w:cs="Arial"/>
          <w:b/>
          <w:sz w:val="22"/>
          <w:szCs w:val="22"/>
          <w:lang w:eastAsia="en-PH"/>
        </w:rPr>
        <w:t xml:space="preserve"> who claimed financial assistance from PCSO th</w:t>
      </w:r>
      <w:r w:rsidR="003D1905">
        <w:rPr>
          <w:rFonts w:ascii="Arial" w:hAnsi="Arial" w:cs="Arial"/>
          <w:b/>
          <w:sz w:val="22"/>
          <w:szCs w:val="22"/>
          <w:lang w:eastAsia="en-PH"/>
        </w:rPr>
        <w:t>rough the RLIAC, otherwise a</w:t>
      </w:r>
      <w:r w:rsidRPr="00AF119C">
        <w:rPr>
          <w:rFonts w:ascii="Arial" w:hAnsi="Arial" w:cs="Arial"/>
          <w:b/>
          <w:sz w:val="22"/>
          <w:szCs w:val="22"/>
          <w:lang w:eastAsia="en-PH"/>
        </w:rPr>
        <w:t xml:space="preserve"> Notice of Suspension shall be issued</w:t>
      </w:r>
      <w:r w:rsidR="003D1905">
        <w:rPr>
          <w:rFonts w:ascii="Arial" w:hAnsi="Arial" w:cs="Arial"/>
          <w:b/>
          <w:sz w:val="22"/>
          <w:szCs w:val="22"/>
          <w:lang w:eastAsia="en-PH"/>
        </w:rPr>
        <w:t>;</w:t>
      </w:r>
    </w:p>
    <w:p w:rsidR="00653C06" w:rsidRPr="00AF119C" w:rsidRDefault="00653C06" w:rsidP="003D1905">
      <w:pPr>
        <w:pStyle w:val="ListParagraph"/>
        <w:ind w:left="1980" w:hanging="540"/>
        <w:jc w:val="both"/>
        <w:rPr>
          <w:rFonts w:ascii="Arial" w:hAnsi="Arial" w:cs="Arial"/>
          <w:b/>
          <w:sz w:val="22"/>
          <w:szCs w:val="22"/>
          <w:lang w:eastAsia="en-PH"/>
        </w:rPr>
      </w:pPr>
    </w:p>
    <w:p w:rsidR="00653C06" w:rsidRPr="00AF119C" w:rsidRDefault="00653C06" w:rsidP="00DA78B4">
      <w:pPr>
        <w:pStyle w:val="ListParagraph"/>
        <w:numPr>
          <w:ilvl w:val="0"/>
          <w:numId w:val="14"/>
        </w:numPr>
        <w:ind w:left="1980" w:hanging="540"/>
        <w:jc w:val="both"/>
        <w:rPr>
          <w:rFonts w:ascii="Arial" w:hAnsi="Arial" w:cs="Arial"/>
          <w:b/>
          <w:sz w:val="22"/>
          <w:szCs w:val="22"/>
          <w:lang w:eastAsia="en-PH"/>
        </w:rPr>
      </w:pPr>
      <w:r w:rsidRPr="00AF119C">
        <w:rPr>
          <w:rFonts w:ascii="Arial" w:hAnsi="Arial" w:cs="Arial"/>
          <w:b/>
          <w:sz w:val="22"/>
          <w:szCs w:val="22"/>
          <w:lang w:eastAsia="en-PH"/>
        </w:rPr>
        <w:t>Conduct deeper investigation on the claims of the subject partner hospital with unusual circumstances to establish the validity thereof and furnish this Office with the results for our evaluation and determination o</w:t>
      </w:r>
      <w:r w:rsidR="003D1905">
        <w:rPr>
          <w:rFonts w:ascii="Arial" w:hAnsi="Arial" w:cs="Arial"/>
          <w:b/>
          <w:sz w:val="22"/>
          <w:szCs w:val="22"/>
          <w:lang w:eastAsia="en-PH"/>
        </w:rPr>
        <w:t>f the next audit action to take; and</w:t>
      </w:r>
    </w:p>
    <w:p w:rsidR="00653C06" w:rsidRPr="00AF119C" w:rsidRDefault="00653C06" w:rsidP="003D1905">
      <w:pPr>
        <w:pStyle w:val="ListParagraph"/>
        <w:ind w:left="1980" w:hanging="540"/>
        <w:jc w:val="both"/>
        <w:rPr>
          <w:rFonts w:ascii="Arial" w:hAnsi="Arial" w:cs="Arial"/>
          <w:b/>
          <w:sz w:val="22"/>
          <w:szCs w:val="22"/>
          <w:lang w:eastAsia="en-PH"/>
        </w:rPr>
      </w:pPr>
    </w:p>
    <w:p w:rsidR="00CC2EFF" w:rsidRPr="00AF119C" w:rsidRDefault="00653C06" w:rsidP="00DA78B4">
      <w:pPr>
        <w:pStyle w:val="ListParagraph"/>
        <w:numPr>
          <w:ilvl w:val="0"/>
          <w:numId w:val="14"/>
        </w:numPr>
        <w:ind w:left="1980" w:hanging="540"/>
        <w:jc w:val="both"/>
        <w:rPr>
          <w:rFonts w:ascii="Arial" w:hAnsi="Arial" w:cs="Arial"/>
          <w:b/>
          <w:sz w:val="22"/>
          <w:szCs w:val="22"/>
          <w:lang w:eastAsia="en-PH"/>
        </w:rPr>
      </w:pPr>
      <w:r w:rsidRPr="00AF119C">
        <w:rPr>
          <w:rFonts w:ascii="Arial" w:hAnsi="Arial" w:cs="Arial"/>
          <w:b/>
          <w:sz w:val="22"/>
          <w:szCs w:val="22"/>
          <w:lang w:eastAsia="en-PH"/>
        </w:rPr>
        <w:t xml:space="preserve">Direct </w:t>
      </w:r>
      <w:r w:rsidR="003D1905" w:rsidRPr="003D1905">
        <w:rPr>
          <w:rFonts w:ascii="Arial" w:hAnsi="Arial" w:cs="Arial"/>
          <w:b/>
          <w:sz w:val="22"/>
          <w:szCs w:val="22"/>
          <w:lang w:eastAsia="en-PH"/>
        </w:rPr>
        <w:t>Charity Assistance Department (CAD</w:t>
      </w:r>
      <w:r w:rsidR="003D1905">
        <w:rPr>
          <w:rFonts w:ascii="Arial" w:hAnsi="Arial" w:cs="Arial"/>
          <w:b/>
          <w:sz w:val="22"/>
          <w:szCs w:val="22"/>
          <w:lang w:eastAsia="en-PH"/>
        </w:rPr>
        <w:t>)</w:t>
      </w:r>
      <w:r w:rsidRPr="00AF119C">
        <w:rPr>
          <w:rFonts w:ascii="Arial" w:hAnsi="Arial" w:cs="Arial"/>
          <w:b/>
          <w:sz w:val="22"/>
          <w:szCs w:val="22"/>
          <w:lang w:eastAsia="en-PH"/>
        </w:rPr>
        <w:t xml:space="preserve"> to ensure compliance with the pertinent provisions of the IRR on IMAP and to conduct prudent evaluation of the documentary requirements being submitted by patients to forestall fictitious claims.  Cause the institution of a mechanism in the database of CAD that would allow the concerned personnel to access information pertaining to previous claims of the patients to facilitate the validation process.</w:t>
      </w:r>
    </w:p>
    <w:p w:rsidR="00CC2EFF" w:rsidRPr="00AF119C" w:rsidRDefault="00CC2EFF" w:rsidP="00245214">
      <w:pPr>
        <w:pStyle w:val="ListParagraph"/>
        <w:ind w:left="576"/>
        <w:jc w:val="both"/>
        <w:rPr>
          <w:rFonts w:ascii="Arial" w:hAnsi="Arial" w:cs="Arial"/>
          <w:b/>
          <w:sz w:val="22"/>
          <w:szCs w:val="22"/>
          <w:lang w:eastAsia="en-PH"/>
        </w:rPr>
      </w:pPr>
    </w:p>
    <w:p w:rsidR="00CC2EFF" w:rsidRPr="00AF119C" w:rsidRDefault="00653C06" w:rsidP="00DA78B4">
      <w:pPr>
        <w:pStyle w:val="ListParagraph"/>
        <w:numPr>
          <w:ilvl w:val="1"/>
          <w:numId w:val="21"/>
        </w:numPr>
        <w:ind w:left="1440"/>
        <w:jc w:val="both"/>
        <w:rPr>
          <w:rFonts w:ascii="Arial" w:hAnsi="Arial" w:cs="Arial"/>
          <w:sz w:val="22"/>
          <w:szCs w:val="22"/>
          <w:lang w:eastAsia="en-PH"/>
        </w:rPr>
      </w:pPr>
      <w:r w:rsidRPr="00AF119C">
        <w:rPr>
          <w:rFonts w:ascii="Arial" w:hAnsi="Arial" w:cs="Arial"/>
          <w:sz w:val="22"/>
          <w:szCs w:val="22"/>
          <w:lang w:eastAsia="en-PH"/>
        </w:rPr>
        <w:t>Management commented that</w:t>
      </w:r>
      <w:r w:rsidR="00534319" w:rsidRPr="00AF119C">
        <w:rPr>
          <w:rFonts w:ascii="Arial" w:hAnsi="Arial" w:cs="Arial"/>
          <w:sz w:val="22"/>
          <w:szCs w:val="22"/>
          <w:lang w:eastAsia="en-PH"/>
        </w:rPr>
        <w:t xml:space="preserve"> the cases enumerated in the AOM were already a subject of the CIDG investigation that was concluded in December 2017. The CAD provided the CIDG relevant documents in line with the conduct of investigation on the said matter.  It also stated that prior to the CIDG investigation, the issuance of guarantee letters and processing of payments to R</w:t>
      </w:r>
      <w:r w:rsidR="001C3A9D">
        <w:rPr>
          <w:rFonts w:ascii="Arial" w:hAnsi="Arial" w:cs="Arial"/>
          <w:sz w:val="22"/>
          <w:szCs w:val="22"/>
          <w:lang w:eastAsia="en-PH"/>
        </w:rPr>
        <w:t>LIAC</w:t>
      </w:r>
      <w:r w:rsidR="00534319" w:rsidRPr="00AF119C">
        <w:rPr>
          <w:rFonts w:ascii="Arial" w:hAnsi="Arial" w:cs="Arial"/>
          <w:sz w:val="22"/>
          <w:szCs w:val="22"/>
          <w:lang w:eastAsia="en-PH"/>
        </w:rPr>
        <w:t xml:space="preserve"> were suspended due to suspicious findings that were reported to the Office of the General Manager. </w:t>
      </w:r>
      <w:r w:rsidR="00542609">
        <w:rPr>
          <w:rFonts w:ascii="Arial" w:hAnsi="Arial" w:cs="Arial"/>
          <w:sz w:val="22"/>
          <w:szCs w:val="22"/>
          <w:lang w:eastAsia="en-PH"/>
        </w:rPr>
        <w:t xml:space="preserve"> </w:t>
      </w:r>
      <w:r w:rsidR="006C0E59" w:rsidRPr="00AF119C">
        <w:rPr>
          <w:rFonts w:ascii="Arial" w:hAnsi="Arial" w:cs="Arial"/>
          <w:sz w:val="22"/>
          <w:szCs w:val="22"/>
          <w:lang w:eastAsia="en-PH"/>
        </w:rPr>
        <w:t xml:space="preserve">Management also informed that </w:t>
      </w:r>
      <w:r w:rsidR="00534319" w:rsidRPr="00AF119C">
        <w:rPr>
          <w:rFonts w:ascii="Arial" w:hAnsi="Arial" w:cs="Arial"/>
          <w:sz w:val="22"/>
          <w:szCs w:val="22"/>
          <w:lang w:eastAsia="en-PH"/>
        </w:rPr>
        <w:t>the PCSO Board authorized the General Manager, Assistant Gene</w:t>
      </w:r>
      <w:r w:rsidR="00542609">
        <w:rPr>
          <w:rFonts w:ascii="Arial" w:hAnsi="Arial" w:cs="Arial"/>
          <w:sz w:val="22"/>
          <w:szCs w:val="22"/>
          <w:lang w:eastAsia="en-PH"/>
        </w:rPr>
        <w:t xml:space="preserve">ral Manager for Charity Sector and  </w:t>
      </w:r>
      <w:r w:rsidR="00534319" w:rsidRPr="00AF119C">
        <w:rPr>
          <w:rFonts w:ascii="Arial" w:hAnsi="Arial" w:cs="Arial"/>
          <w:sz w:val="22"/>
          <w:szCs w:val="22"/>
          <w:lang w:eastAsia="en-PH"/>
        </w:rPr>
        <w:t xml:space="preserve"> Manager of CAD</w:t>
      </w:r>
      <w:r w:rsidR="00542609">
        <w:rPr>
          <w:rFonts w:ascii="Arial" w:hAnsi="Arial" w:cs="Arial"/>
          <w:sz w:val="22"/>
          <w:szCs w:val="22"/>
          <w:lang w:eastAsia="en-PH"/>
        </w:rPr>
        <w:t xml:space="preserve">, </w:t>
      </w:r>
      <w:r w:rsidR="00534319" w:rsidRPr="00AF119C">
        <w:rPr>
          <w:rFonts w:ascii="Arial" w:hAnsi="Arial" w:cs="Arial"/>
          <w:sz w:val="22"/>
          <w:szCs w:val="22"/>
          <w:lang w:eastAsia="en-PH"/>
        </w:rPr>
        <w:t>in coordination with their Legal Department and OGCC</w:t>
      </w:r>
      <w:r w:rsidR="00542609">
        <w:rPr>
          <w:rFonts w:ascii="Arial" w:hAnsi="Arial" w:cs="Arial"/>
          <w:sz w:val="22"/>
          <w:szCs w:val="22"/>
          <w:lang w:eastAsia="en-PH"/>
        </w:rPr>
        <w:t>,</w:t>
      </w:r>
      <w:r w:rsidR="00534319" w:rsidRPr="00AF119C">
        <w:rPr>
          <w:rFonts w:ascii="Arial" w:hAnsi="Arial" w:cs="Arial"/>
          <w:sz w:val="22"/>
          <w:szCs w:val="22"/>
          <w:lang w:eastAsia="en-PH"/>
        </w:rPr>
        <w:t xml:space="preserve"> to initiate appropriate legal actions against RL</w:t>
      </w:r>
      <w:r w:rsidR="003D1905">
        <w:rPr>
          <w:rFonts w:ascii="Arial" w:hAnsi="Arial" w:cs="Arial"/>
          <w:sz w:val="22"/>
          <w:szCs w:val="22"/>
          <w:lang w:eastAsia="en-PH"/>
        </w:rPr>
        <w:t>IAC</w:t>
      </w:r>
      <w:r w:rsidR="00534319" w:rsidRPr="00AF119C">
        <w:rPr>
          <w:rFonts w:ascii="Arial" w:hAnsi="Arial" w:cs="Arial"/>
          <w:sz w:val="22"/>
          <w:szCs w:val="22"/>
          <w:lang w:eastAsia="en-PH"/>
        </w:rPr>
        <w:t>. The CAD also directed the assigned personnel to strictly observe and comply with the existing policies and guidelines in the implementation of the IMAP, including but not limited to thorough assessment and validation of documents to prevent the occurrence of similar incident</w:t>
      </w:r>
    </w:p>
    <w:p w:rsidR="00245214" w:rsidRPr="00AF119C" w:rsidRDefault="00245214" w:rsidP="00245214">
      <w:pPr>
        <w:pStyle w:val="ListParagraph"/>
        <w:ind w:left="576"/>
        <w:jc w:val="both"/>
        <w:rPr>
          <w:rFonts w:ascii="Arial" w:hAnsi="Arial" w:cs="Arial"/>
          <w:b/>
          <w:sz w:val="22"/>
          <w:szCs w:val="22"/>
          <w:lang w:eastAsia="en-PH"/>
        </w:rPr>
      </w:pPr>
    </w:p>
    <w:p w:rsidR="007427AA" w:rsidRPr="00AF119C" w:rsidRDefault="007427AA" w:rsidP="00245214">
      <w:pPr>
        <w:pStyle w:val="ListParagraph"/>
        <w:ind w:left="576"/>
        <w:jc w:val="both"/>
        <w:rPr>
          <w:rFonts w:ascii="Arial" w:hAnsi="Arial" w:cs="Arial"/>
          <w:b/>
          <w:sz w:val="22"/>
          <w:szCs w:val="22"/>
          <w:lang w:eastAsia="en-PH"/>
        </w:rPr>
      </w:pPr>
    </w:p>
    <w:p w:rsidR="00245214" w:rsidRPr="00EF4855" w:rsidRDefault="00245214" w:rsidP="00424846">
      <w:pPr>
        <w:pStyle w:val="ListParagraph"/>
        <w:ind w:left="0"/>
        <w:contextualSpacing/>
        <w:jc w:val="both"/>
        <w:rPr>
          <w:rFonts w:ascii="Arial" w:hAnsi="Arial" w:cs="Arial"/>
          <w:b/>
          <w:sz w:val="22"/>
          <w:szCs w:val="22"/>
          <w:u w:val="single"/>
        </w:rPr>
      </w:pPr>
      <w:r w:rsidRPr="00A12651">
        <w:rPr>
          <w:rFonts w:ascii="Arial" w:hAnsi="Arial" w:cs="Arial"/>
          <w:b/>
          <w:sz w:val="22"/>
          <w:szCs w:val="22"/>
        </w:rPr>
        <w:t>GENDER AND DEVELOPMENT</w:t>
      </w:r>
      <w:r w:rsidR="00A12651" w:rsidRPr="00A12651">
        <w:rPr>
          <w:rFonts w:ascii="Arial" w:hAnsi="Arial" w:cs="Arial"/>
          <w:b/>
          <w:sz w:val="22"/>
          <w:szCs w:val="22"/>
        </w:rPr>
        <w:t xml:space="preserve"> (GAD)</w:t>
      </w:r>
    </w:p>
    <w:p w:rsidR="00245214" w:rsidRPr="00245214" w:rsidRDefault="00245214" w:rsidP="00245214">
      <w:pPr>
        <w:pStyle w:val="ListParagraph"/>
        <w:ind w:left="576"/>
        <w:jc w:val="both"/>
        <w:rPr>
          <w:rFonts w:ascii="Arial" w:hAnsi="Arial" w:cs="Arial"/>
          <w:b/>
          <w:lang w:eastAsia="en-PH"/>
        </w:rPr>
      </w:pPr>
    </w:p>
    <w:p w:rsidR="00E72BB7" w:rsidRPr="00B64B09" w:rsidRDefault="00E72BB7" w:rsidP="00DA78B4">
      <w:pPr>
        <w:pStyle w:val="ListParagraph"/>
        <w:numPr>
          <w:ilvl w:val="0"/>
          <w:numId w:val="21"/>
        </w:numPr>
        <w:ind w:left="720" w:hanging="720"/>
        <w:jc w:val="both"/>
        <w:rPr>
          <w:rFonts w:ascii="Arial" w:hAnsi="Arial" w:cs="Arial"/>
          <w:b/>
          <w:lang w:eastAsia="en-PH"/>
        </w:rPr>
      </w:pPr>
      <w:r w:rsidRPr="004F6C55">
        <w:rPr>
          <w:rFonts w:ascii="Arial" w:hAnsi="Arial" w:cs="Arial"/>
          <w:b/>
          <w:sz w:val="22"/>
          <w:szCs w:val="22"/>
        </w:rPr>
        <w:t>PCSO was not able to allocate</w:t>
      </w:r>
      <w:r w:rsidR="00A12651">
        <w:rPr>
          <w:rFonts w:ascii="Arial" w:hAnsi="Arial" w:cs="Arial"/>
          <w:b/>
          <w:sz w:val="22"/>
          <w:szCs w:val="22"/>
        </w:rPr>
        <w:t xml:space="preserve"> at least</w:t>
      </w:r>
      <w:r w:rsidRPr="004F6C55">
        <w:rPr>
          <w:rFonts w:ascii="Arial" w:hAnsi="Arial" w:cs="Arial"/>
          <w:b/>
          <w:sz w:val="22"/>
          <w:szCs w:val="22"/>
        </w:rPr>
        <w:t xml:space="preserve"> five pe</w:t>
      </w:r>
      <w:r w:rsidR="007F14C0" w:rsidRPr="004F6C55">
        <w:rPr>
          <w:rFonts w:ascii="Arial" w:hAnsi="Arial" w:cs="Arial"/>
          <w:b/>
          <w:sz w:val="22"/>
          <w:szCs w:val="22"/>
        </w:rPr>
        <w:t>r</w:t>
      </w:r>
      <w:r w:rsidRPr="004F6C55">
        <w:rPr>
          <w:rFonts w:ascii="Arial" w:hAnsi="Arial" w:cs="Arial"/>
          <w:b/>
          <w:sz w:val="22"/>
          <w:szCs w:val="22"/>
        </w:rPr>
        <w:t xml:space="preserve">cent of its total Approved </w:t>
      </w:r>
      <w:r w:rsidR="00FC7D63" w:rsidRPr="004F6C55">
        <w:rPr>
          <w:rFonts w:ascii="Arial" w:hAnsi="Arial" w:cs="Arial"/>
          <w:b/>
          <w:sz w:val="22"/>
          <w:szCs w:val="22"/>
        </w:rPr>
        <w:t>Budget for</w:t>
      </w:r>
      <w:r w:rsidRPr="004F6C55">
        <w:rPr>
          <w:rFonts w:ascii="Arial" w:hAnsi="Arial" w:cs="Arial"/>
          <w:b/>
          <w:sz w:val="22"/>
          <w:szCs w:val="22"/>
        </w:rPr>
        <w:t xml:space="preserve"> CY 2018</w:t>
      </w:r>
      <w:r w:rsidR="00A12651">
        <w:rPr>
          <w:rFonts w:ascii="Arial" w:hAnsi="Arial" w:cs="Arial"/>
          <w:b/>
          <w:sz w:val="22"/>
          <w:szCs w:val="22"/>
        </w:rPr>
        <w:t xml:space="preserve"> for</w:t>
      </w:r>
      <w:r w:rsidRPr="004F6C55">
        <w:rPr>
          <w:rFonts w:ascii="Arial" w:hAnsi="Arial" w:cs="Arial"/>
          <w:b/>
          <w:sz w:val="22"/>
          <w:szCs w:val="22"/>
        </w:rPr>
        <w:t xml:space="preserve"> GAD activities, contrary to Joint Circular</w:t>
      </w:r>
      <w:r w:rsidR="00A12651">
        <w:rPr>
          <w:rFonts w:ascii="Arial" w:hAnsi="Arial" w:cs="Arial"/>
          <w:b/>
          <w:sz w:val="22"/>
          <w:szCs w:val="22"/>
        </w:rPr>
        <w:t xml:space="preserve"> (JC)</w:t>
      </w:r>
      <w:r w:rsidRPr="004F6C55">
        <w:rPr>
          <w:rFonts w:ascii="Arial" w:hAnsi="Arial" w:cs="Arial"/>
          <w:b/>
          <w:sz w:val="22"/>
          <w:szCs w:val="22"/>
        </w:rPr>
        <w:t xml:space="preserve"> No. 2012-01 of</w:t>
      </w:r>
      <w:r w:rsidRPr="004F6C55">
        <w:rPr>
          <w:rFonts w:ascii="Arial" w:hAnsi="Arial" w:cs="Arial"/>
          <w:b/>
          <w:sz w:val="22"/>
          <w:szCs w:val="22"/>
          <w:lang w:eastAsia="en-PH"/>
        </w:rPr>
        <w:t xml:space="preserve"> </w:t>
      </w:r>
      <w:r w:rsidR="00FC7D63" w:rsidRPr="004F6C55">
        <w:rPr>
          <w:rFonts w:ascii="Arial" w:hAnsi="Arial" w:cs="Arial"/>
          <w:b/>
          <w:sz w:val="22"/>
          <w:szCs w:val="22"/>
          <w:lang w:eastAsia="en-PH"/>
        </w:rPr>
        <w:t>the Philippine</w:t>
      </w:r>
      <w:r w:rsidRPr="004F6C55">
        <w:rPr>
          <w:rFonts w:ascii="Arial" w:hAnsi="Arial" w:cs="Arial"/>
          <w:b/>
          <w:sz w:val="22"/>
          <w:szCs w:val="22"/>
          <w:lang w:eastAsia="en-PH"/>
        </w:rPr>
        <w:t xml:space="preserve"> Commission</w:t>
      </w:r>
      <w:r w:rsidR="008C17F6" w:rsidRPr="004F6C55">
        <w:rPr>
          <w:rFonts w:ascii="Arial" w:hAnsi="Arial" w:cs="Arial"/>
          <w:b/>
          <w:sz w:val="22"/>
          <w:szCs w:val="22"/>
          <w:lang w:eastAsia="en-PH"/>
        </w:rPr>
        <w:t xml:space="preserve"> on W</w:t>
      </w:r>
      <w:r w:rsidR="00356139" w:rsidRPr="004F6C55">
        <w:rPr>
          <w:rFonts w:ascii="Arial" w:hAnsi="Arial" w:cs="Arial"/>
          <w:b/>
          <w:sz w:val="22"/>
          <w:szCs w:val="22"/>
          <w:lang w:eastAsia="en-PH"/>
        </w:rPr>
        <w:t>o</w:t>
      </w:r>
      <w:r w:rsidR="008C17F6" w:rsidRPr="004F6C55">
        <w:rPr>
          <w:rFonts w:ascii="Arial" w:hAnsi="Arial" w:cs="Arial"/>
          <w:b/>
          <w:sz w:val="22"/>
          <w:szCs w:val="22"/>
          <w:lang w:eastAsia="en-PH"/>
        </w:rPr>
        <w:t>men</w:t>
      </w:r>
      <w:r w:rsidRPr="004F6C55">
        <w:rPr>
          <w:rFonts w:ascii="Arial" w:hAnsi="Arial" w:cs="Arial"/>
          <w:b/>
          <w:sz w:val="22"/>
          <w:szCs w:val="22"/>
          <w:lang w:eastAsia="en-PH"/>
        </w:rPr>
        <w:t xml:space="preserve"> (P</w:t>
      </w:r>
      <w:r w:rsidR="00A12651">
        <w:rPr>
          <w:rFonts w:ascii="Arial" w:hAnsi="Arial" w:cs="Arial"/>
          <w:b/>
          <w:sz w:val="22"/>
          <w:szCs w:val="22"/>
          <w:lang w:eastAsia="en-PH"/>
        </w:rPr>
        <w:t>C</w:t>
      </w:r>
      <w:r w:rsidRPr="004F6C55">
        <w:rPr>
          <w:rFonts w:ascii="Arial" w:hAnsi="Arial" w:cs="Arial"/>
          <w:b/>
          <w:sz w:val="22"/>
          <w:szCs w:val="22"/>
          <w:lang w:eastAsia="en-PH"/>
        </w:rPr>
        <w:t>W), National Economic Development Authority (NEDA) and Department of Budget and Management (DBM).</w:t>
      </w:r>
      <w:r w:rsidRPr="004F6C55">
        <w:rPr>
          <w:rFonts w:ascii="Arial" w:hAnsi="Arial" w:cs="Arial"/>
          <w:b/>
          <w:color w:val="000000"/>
          <w:sz w:val="22"/>
          <w:szCs w:val="22"/>
          <w:lang w:eastAsia="en-PH"/>
        </w:rPr>
        <w:t xml:space="preserve">  </w:t>
      </w:r>
    </w:p>
    <w:p w:rsidR="00E72BB7" w:rsidRDefault="00E72BB7" w:rsidP="004C39E3">
      <w:pPr>
        <w:spacing w:after="0" w:line="240" w:lineRule="auto"/>
        <w:jc w:val="both"/>
        <w:rPr>
          <w:rFonts w:ascii="Arial" w:eastAsiaTheme="minorEastAsia" w:hAnsi="Arial" w:cs="Arial"/>
          <w:lang w:eastAsia="fil-PH"/>
        </w:rPr>
      </w:pPr>
    </w:p>
    <w:p w:rsidR="001C3A9D" w:rsidRDefault="001C3A9D" w:rsidP="004C39E3">
      <w:pPr>
        <w:spacing w:after="0" w:line="240" w:lineRule="auto"/>
        <w:jc w:val="both"/>
        <w:rPr>
          <w:rFonts w:ascii="Arial" w:eastAsiaTheme="minorEastAsia" w:hAnsi="Arial" w:cs="Arial"/>
          <w:lang w:eastAsia="fil-PH"/>
        </w:rPr>
      </w:pPr>
    </w:p>
    <w:p w:rsidR="001C3A9D" w:rsidRDefault="001C3A9D" w:rsidP="004C39E3">
      <w:pPr>
        <w:spacing w:after="0" w:line="240" w:lineRule="auto"/>
        <w:jc w:val="both"/>
        <w:rPr>
          <w:rFonts w:ascii="Arial" w:eastAsiaTheme="minorEastAsia" w:hAnsi="Arial" w:cs="Arial"/>
          <w:lang w:eastAsia="fil-PH"/>
        </w:rPr>
      </w:pPr>
    </w:p>
    <w:p w:rsidR="001C3A9D" w:rsidRPr="00554B8A" w:rsidRDefault="001C3A9D" w:rsidP="004C39E3">
      <w:pPr>
        <w:spacing w:after="0" w:line="240" w:lineRule="auto"/>
        <w:jc w:val="both"/>
        <w:rPr>
          <w:rFonts w:ascii="Arial" w:eastAsiaTheme="minorEastAsia" w:hAnsi="Arial" w:cs="Arial"/>
          <w:lang w:eastAsia="fil-PH"/>
        </w:rPr>
      </w:pPr>
    </w:p>
    <w:p w:rsidR="00E72BB7" w:rsidRPr="00EF4855" w:rsidRDefault="00E72BB7" w:rsidP="00DA78B4">
      <w:pPr>
        <w:pStyle w:val="ListParagraph"/>
        <w:numPr>
          <w:ilvl w:val="1"/>
          <w:numId w:val="21"/>
        </w:numPr>
        <w:ind w:left="720" w:firstLine="0"/>
        <w:jc w:val="both"/>
        <w:rPr>
          <w:rFonts w:ascii="Arial" w:eastAsiaTheme="minorEastAsia" w:hAnsi="Arial" w:cs="Arial"/>
          <w:sz w:val="22"/>
          <w:szCs w:val="22"/>
          <w:lang w:eastAsia="en-PH"/>
        </w:rPr>
      </w:pPr>
      <w:r w:rsidRPr="006B018F">
        <w:rPr>
          <w:rFonts w:ascii="Arial" w:hAnsi="Arial" w:cs="Arial"/>
          <w:sz w:val="22"/>
          <w:szCs w:val="22"/>
          <w:lang w:eastAsia="en-PH"/>
        </w:rPr>
        <w:lastRenderedPageBreak/>
        <w:t>Section</w:t>
      </w:r>
      <w:r w:rsidRPr="00EF4855">
        <w:rPr>
          <w:rFonts w:ascii="Arial" w:eastAsiaTheme="minorEastAsia" w:hAnsi="Arial" w:cs="Arial"/>
          <w:sz w:val="22"/>
          <w:szCs w:val="22"/>
          <w:lang w:eastAsia="en-PH"/>
        </w:rPr>
        <w:t xml:space="preserve"> 6.1 of PCW-NEDA-DBM Joint Circular No. 2012-01</w:t>
      </w:r>
      <w:r w:rsidRPr="00EF4855">
        <w:rPr>
          <w:rFonts w:ascii="Arial" w:hAnsi="Arial" w:cs="Arial"/>
          <w:sz w:val="22"/>
          <w:szCs w:val="22"/>
        </w:rPr>
        <w:t xml:space="preserve"> provides: </w:t>
      </w:r>
      <w:r w:rsidRPr="00EF4855">
        <w:rPr>
          <w:rFonts w:ascii="Arial" w:eastAsiaTheme="minorEastAsia" w:hAnsi="Arial" w:cs="Arial"/>
          <w:sz w:val="22"/>
          <w:szCs w:val="22"/>
          <w:lang w:eastAsia="en-PH"/>
        </w:rPr>
        <w:t xml:space="preserve"> </w:t>
      </w:r>
    </w:p>
    <w:p w:rsidR="008F6E47" w:rsidRDefault="008F6E47" w:rsidP="004C39E3">
      <w:pPr>
        <w:tabs>
          <w:tab w:val="left" w:pos="8730"/>
        </w:tabs>
        <w:autoSpaceDE w:val="0"/>
        <w:autoSpaceDN w:val="0"/>
        <w:adjustRightInd w:val="0"/>
        <w:spacing w:after="0" w:line="240" w:lineRule="auto"/>
        <w:ind w:left="2160" w:right="630"/>
        <w:jc w:val="both"/>
        <w:rPr>
          <w:rFonts w:ascii="Arial" w:hAnsi="Arial" w:cs="Arial"/>
          <w:i/>
        </w:rPr>
      </w:pPr>
    </w:p>
    <w:p w:rsidR="00E72BB7" w:rsidRPr="00EF4855" w:rsidRDefault="00E72BB7" w:rsidP="00424846">
      <w:pPr>
        <w:tabs>
          <w:tab w:val="left" w:pos="8730"/>
        </w:tabs>
        <w:autoSpaceDE w:val="0"/>
        <w:autoSpaceDN w:val="0"/>
        <w:adjustRightInd w:val="0"/>
        <w:spacing w:after="0" w:line="240" w:lineRule="auto"/>
        <w:ind w:left="1800" w:right="720"/>
        <w:jc w:val="both"/>
        <w:rPr>
          <w:rFonts w:ascii="Arial" w:hAnsi="Arial" w:cs="Arial"/>
          <w:i/>
        </w:rPr>
      </w:pPr>
      <w:r w:rsidRPr="00EF4855">
        <w:rPr>
          <w:rFonts w:ascii="Arial" w:hAnsi="Arial" w:cs="Arial"/>
          <w:i/>
        </w:rPr>
        <w:t>At least five percent (5%) of the total agency budget appropriations authorized under the annual GAA shall correspond to activities supporting GAD plans and programs. The GAD budget shall be drawn from the agency’s maintenance and other operating expenses (MOOE), capital outlay (CO), and personal services (PS). It is understood that the GAD budget does not constitute an additional budget over an agency</w:t>
      </w:r>
      <w:r w:rsidR="0004408F" w:rsidRPr="00EF4855">
        <w:rPr>
          <w:rFonts w:ascii="Arial" w:hAnsi="Arial" w:cs="Arial"/>
          <w:i/>
        </w:rPr>
        <w:t>’s total budget appropriations.</w:t>
      </w:r>
    </w:p>
    <w:p w:rsidR="0004408F" w:rsidRPr="00EF4855" w:rsidRDefault="0004408F" w:rsidP="004C39E3">
      <w:pPr>
        <w:tabs>
          <w:tab w:val="left" w:pos="8730"/>
        </w:tabs>
        <w:autoSpaceDE w:val="0"/>
        <w:autoSpaceDN w:val="0"/>
        <w:adjustRightInd w:val="0"/>
        <w:spacing w:after="0" w:line="240" w:lineRule="auto"/>
        <w:ind w:right="630"/>
        <w:jc w:val="both"/>
        <w:rPr>
          <w:rFonts w:ascii="Arial" w:hAnsi="Arial" w:cs="Arial"/>
          <w:i/>
        </w:rPr>
      </w:pPr>
    </w:p>
    <w:p w:rsidR="0022683C" w:rsidRPr="00EF4855" w:rsidRDefault="00E72BB7" w:rsidP="00DA78B4">
      <w:pPr>
        <w:pStyle w:val="ListParagraph"/>
        <w:numPr>
          <w:ilvl w:val="1"/>
          <w:numId w:val="21"/>
        </w:numPr>
        <w:ind w:left="1440"/>
        <w:jc w:val="both"/>
        <w:rPr>
          <w:rFonts w:ascii="Arial" w:eastAsiaTheme="minorEastAsia" w:hAnsi="Arial" w:cs="Arial"/>
          <w:sz w:val="22"/>
          <w:szCs w:val="22"/>
          <w:lang w:eastAsia="en-PH"/>
        </w:rPr>
      </w:pPr>
      <w:r w:rsidRPr="00EF4855">
        <w:rPr>
          <w:rFonts w:ascii="Arial" w:hAnsi="Arial" w:cs="Arial"/>
          <w:sz w:val="22"/>
          <w:szCs w:val="22"/>
        </w:rPr>
        <w:t xml:space="preserve">Pursuant to the above-stated JC, </w:t>
      </w:r>
      <w:r w:rsidR="00A12651">
        <w:rPr>
          <w:rFonts w:ascii="Arial" w:hAnsi="Arial" w:cs="Arial"/>
          <w:sz w:val="22"/>
          <w:szCs w:val="22"/>
        </w:rPr>
        <w:t xml:space="preserve">at least </w:t>
      </w:r>
      <w:r w:rsidRPr="00EF4855">
        <w:rPr>
          <w:rFonts w:ascii="Arial" w:hAnsi="Arial" w:cs="Arial"/>
          <w:sz w:val="22"/>
          <w:szCs w:val="22"/>
        </w:rPr>
        <w:t>five per</w:t>
      </w:r>
      <w:r w:rsidR="00A12651">
        <w:rPr>
          <w:rFonts w:ascii="Arial" w:hAnsi="Arial" w:cs="Arial"/>
          <w:sz w:val="22"/>
          <w:szCs w:val="22"/>
        </w:rPr>
        <w:t xml:space="preserve"> </w:t>
      </w:r>
      <w:r w:rsidRPr="00EF4855">
        <w:rPr>
          <w:rFonts w:ascii="Arial" w:hAnsi="Arial" w:cs="Arial"/>
          <w:color w:val="000000"/>
          <w:sz w:val="22"/>
          <w:szCs w:val="22"/>
        </w:rPr>
        <w:t xml:space="preserve">cent of the </w:t>
      </w:r>
      <w:r w:rsidRPr="006B018F">
        <w:rPr>
          <w:rFonts w:ascii="Arial" w:hAnsi="Arial" w:cs="Arial"/>
          <w:sz w:val="22"/>
          <w:szCs w:val="22"/>
          <w:lang w:eastAsia="en-PH"/>
        </w:rPr>
        <w:t>approved</w:t>
      </w:r>
      <w:r w:rsidRPr="00EF4855">
        <w:rPr>
          <w:rFonts w:ascii="Arial" w:hAnsi="Arial" w:cs="Arial"/>
          <w:color w:val="000000"/>
          <w:sz w:val="22"/>
          <w:szCs w:val="22"/>
        </w:rPr>
        <w:t xml:space="preserve"> CY 2018 COB of the PCSO amounting to </w:t>
      </w:r>
      <w:r w:rsidRPr="00EF4855">
        <w:rPr>
          <w:rFonts w:ascii="Arial" w:eastAsiaTheme="minorEastAsia" w:hAnsi="Arial" w:cs="Arial"/>
          <w:sz w:val="22"/>
          <w:szCs w:val="22"/>
          <w:lang w:val="fil-PH" w:eastAsia="fil-PH"/>
        </w:rPr>
        <w:t xml:space="preserve">P61.071 billion, </w:t>
      </w:r>
      <w:r w:rsidRPr="00EF4855">
        <w:rPr>
          <w:rFonts w:ascii="Arial" w:hAnsi="Arial" w:cs="Arial"/>
          <w:color w:val="000000"/>
          <w:sz w:val="22"/>
          <w:szCs w:val="22"/>
        </w:rPr>
        <w:t xml:space="preserve">or </w:t>
      </w:r>
      <w:r w:rsidRPr="00EF4855">
        <w:rPr>
          <w:rFonts w:ascii="Arial" w:hAnsi="Arial" w:cs="Arial"/>
          <w:sz w:val="22"/>
          <w:szCs w:val="22"/>
          <w:lang w:eastAsia="en-PH"/>
        </w:rPr>
        <w:t xml:space="preserve">P3.053 billion, has to be </w:t>
      </w:r>
      <w:r w:rsidRPr="00EF4855">
        <w:rPr>
          <w:rFonts w:ascii="Arial" w:eastAsiaTheme="minorEastAsia" w:hAnsi="Arial" w:cs="Arial"/>
          <w:sz w:val="22"/>
          <w:szCs w:val="22"/>
          <w:lang w:eastAsia="en-PH"/>
        </w:rPr>
        <w:t>allocated for GAD</w:t>
      </w:r>
      <w:r w:rsidR="00A12651">
        <w:rPr>
          <w:rFonts w:ascii="Arial" w:eastAsiaTheme="minorEastAsia" w:hAnsi="Arial" w:cs="Arial"/>
          <w:sz w:val="22"/>
          <w:szCs w:val="22"/>
          <w:lang w:eastAsia="en-PH"/>
        </w:rPr>
        <w:t xml:space="preserve"> Plan and</w:t>
      </w:r>
      <w:r w:rsidRPr="00EF4855">
        <w:rPr>
          <w:rFonts w:ascii="Arial" w:eastAsiaTheme="minorEastAsia" w:hAnsi="Arial" w:cs="Arial"/>
          <w:sz w:val="22"/>
          <w:szCs w:val="22"/>
          <w:lang w:eastAsia="en-PH"/>
        </w:rPr>
        <w:t xml:space="preserve"> Budget</w:t>
      </w:r>
      <w:r w:rsidR="00A12651">
        <w:rPr>
          <w:rFonts w:ascii="Arial" w:eastAsiaTheme="minorEastAsia" w:hAnsi="Arial" w:cs="Arial"/>
          <w:sz w:val="22"/>
          <w:szCs w:val="22"/>
          <w:lang w:eastAsia="en-PH"/>
        </w:rPr>
        <w:t xml:space="preserve"> (GPB)</w:t>
      </w:r>
      <w:r w:rsidRPr="00EF4855">
        <w:rPr>
          <w:rFonts w:ascii="Arial" w:eastAsiaTheme="minorEastAsia" w:hAnsi="Arial" w:cs="Arial"/>
          <w:sz w:val="22"/>
          <w:szCs w:val="22"/>
          <w:lang w:eastAsia="en-PH"/>
        </w:rPr>
        <w:t xml:space="preserve">.  </w:t>
      </w:r>
      <w:r w:rsidR="007C0E4F" w:rsidRPr="00EF4855">
        <w:rPr>
          <w:rFonts w:ascii="Arial" w:eastAsiaTheme="minorEastAsia" w:hAnsi="Arial" w:cs="Arial"/>
          <w:sz w:val="22"/>
          <w:szCs w:val="22"/>
          <w:lang w:eastAsia="en-PH"/>
        </w:rPr>
        <w:t xml:space="preserve">It was </w:t>
      </w:r>
      <w:r w:rsidRPr="00EF4855">
        <w:rPr>
          <w:rFonts w:ascii="Arial" w:eastAsiaTheme="minorEastAsia" w:hAnsi="Arial" w:cs="Arial"/>
          <w:sz w:val="22"/>
          <w:szCs w:val="22"/>
          <w:lang w:eastAsia="en-PH"/>
        </w:rPr>
        <w:t xml:space="preserve">noted, however, that the amount allocated in the GPB of the PCSO for CY 2018 was </w:t>
      </w:r>
      <w:r w:rsidRPr="00EF4855">
        <w:rPr>
          <w:rFonts w:ascii="Arial" w:hAnsi="Arial" w:cs="Arial"/>
          <w:color w:val="000000"/>
          <w:sz w:val="22"/>
          <w:szCs w:val="22"/>
        </w:rPr>
        <w:t>P43.500 million or 0.07</w:t>
      </w:r>
      <w:r w:rsidR="008F6E47">
        <w:rPr>
          <w:rFonts w:ascii="Arial" w:hAnsi="Arial" w:cs="Arial"/>
          <w:color w:val="000000"/>
          <w:sz w:val="22"/>
          <w:szCs w:val="22"/>
        </w:rPr>
        <w:t xml:space="preserve"> per cent</w:t>
      </w:r>
      <w:r w:rsidRPr="00EF4855">
        <w:rPr>
          <w:rFonts w:ascii="Arial" w:hAnsi="Arial" w:cs="Arial"/>
          <w:color w:val="000000"/>
          <w:sz w:val="22"/>
          <w:szCs w:val="22"/>
        </w:rPr>
        <w:t xml:space="preserve"> only, </w:t>
      </w:r>
      <w:r w:rsidRPr="00EF4855">
        <w:rPr>
          <w:rFonts w:ascii="Arial" w:eastAsiaTheme="minorEastAsia" w:hAnsi="Arial" w:cs="Arial"/>
          <w:sz w:val="22"/>
          <w:szCs w:val="22"/>
          <w:lang w:eastAsia="en-PH"/>
        </w:rPr>
        <w:t>which was not in accordance with the above-stated provision.</w:t>
      </w:r>
    </w:p>
    <w:p w:rsidR="00E72BB7" w:rsidRPr="00EF4855" w:rsidRDefault="00E72BB7" w:rsidP="004C39E3">
      <w:pPr>
        <w:pStyle w:val="ListParagraph"/>
        <w:ind w:left="1296"/>
        <w:jc w:val="both"/>
        <w:rPr>
          <w:rFonts w:ascii="Arial" w:eastAsiaTheme="minorEastAsia" w:hAnsi="Arial" w:cs="Arial"/>
          <w:sz w:val="22"/>
          <w:szCs w:val="22"/>
          <w:lang w:eastAsia="en-PH"/>
        </w:rPr>
      </w:pPr>
      <w:r w:rsidRPr="00EF4855">
        <w:rPr>
          <w:rFonts w:ascii="Arial" w:eastAsiaTheme="minorEastAsia" w:hAnsi="Arial" w:cs="Arial"/>
          <w:sz w:val="22"/>
          <w:szCs w:val="22"/>
          <w:lang w:eastAsia="en-PH"/>
        </w:rPr>
        <w:t xml:space="preserve"> </w:t>
      </w:r>
    </w:p>
    <w:p w:rsidR="00E72BB7" w:rsidRPr="00EF4855" w:rsidRDefault="00E72BB7" w:rsidP="00DA78B4">
      <w:pPr>
        <w:pStyle w:val="ListParagraph"/>
        <w:numPr>
          <w:ilvl w:val="1"/>
          <w:numId w:val="21"/>
        </w:numPr>
        <w:ind w:left="1440"/>
        <w:jc w:val="both"/>
        <w:rPr>
          <w:rFonts w:ascii="Arial" w:hAnsi="Arial" w:cs="Arial"/>
          <w:sz w:val="22"/>
          <w:szCs w:val="22"/>
        </w:rPr>
      </w:pPr>
      <w:r w:rsidRPr="00EF4855">
        <w:rPr>
          <w:rFonts w:ascii="Arial" w:hAnsi="Arial" w:cs="Arial"/>
          <w:sz w:val="22"/>
          <w:szCs w:val="22"/>
        </w:rPr>
        <w:t xml:space="preserve">Similar observation was brought to the attention of PCSO Management in the </w:t>
      </w:r>
      <w:r w:rsidRPr="00EF4855">
        <w:rPr>
          <w:rFonts w:ascii="Arial" w:hAnsi="Arial" w:cs="Arial"/>
          <w:sz w:val="22"/>
          <w:szCs w:val="22"/>
          <w:lang w:eastAsia="en-PH"/>
        </w:rPr>
        <w:t>previous</w:t>
      </w:r>
      <w:r w:rsidRPr="00EF4855">
        <w:rPr>
          <w:rFonts w:ascii="Arial" w:hAnsi="Arial" w:cs="Arial"/>
          <w:sz w:val="22"/>
          <w:szCs w:val="22"/>
        </w:rPr>
        <w:t xml:space="preserve"> year and they explained that the required five per</w:t>
      </w:r>
      <w:r w:rsidR="00A12651">
        <w:rPr>
          <w:rFonts w:ascii="Arial" w:hAnsi="Arial" w:cs="Arial"/>
          <w:sz w:val="22"/>
          <w:szCs w:val="22"/>
        </w:rPr>
        <w:t xml:space="preserve"> </w:t>
      </w:r>
      <w:r w:rsidRPr="00EF4855">
        <w:rPr>
          <w:rFonts w:ascii="Arial" w:hAnsi="Arial" w:cs="Arial"/>
          <w:sz w:val="22"/>
          <w:szCs w:val="22"/>
        </w:rPr>
        <w:t>cent of their approved COB shall be complied by attributing the agency’s major programs such as the Individual Medical Assistance Program (IMAP) to the CY 2018 G</w:t>
      </w:r>
      <w:r w:rsidR="00A12651">
        <w:rPr>
          <w:rFonts w:ascii="Arial" w:hAnsi="Arial" w:cs="Arial"/>
          <w:sz w:val="22"/>
          <w:szCs w:val="22"/>
        </w:rPr>
        <w:t>PB</w:t>
      </w:r>
      <w:r w:rsidRPr="00EF4855">
        <w:rPr>
          <w:rFonts w:ascii="Arial" w:hAnsi="Arial" w:cs="Arial"/>
          <w:sz w:val="22"/>
          <w:szCs w:val="22"/>
        </w:rPr>
        <w:t xml:space="preserve">.  </w:t>
      </w:r>
    </w:p>
    <w:p w:rsidR="00E72BB7" w:rsidRPr="00EF4855" w:rsidRDefault="00E72BB7" w:rsidP="004C39E3">
      <w:pPr>
        <w:pStyle w:val="ListParagraph"/>
        <w:ind w:left="1296"/>
        <w:jc w:val="both"/>
        <w:rPr>
          <w:rFonts w:ascii="Arial" w:hAnsi="Arial" w:cs="Arial"/>
          <w:sz w:val="22"/>
          <w:szCs w:val="22"/>
        </w:rPr>
      </w:pPr>
    </w:p>
    <w:p w:rsidR="00E72BB7" w:rsidRPr="00A12651" w:rsidRDefault="00E72BB7" w:rsidP="00DA78B4">
      <w:pPr>
        <w:pStyle w:val="ListParagraph"/>
        <w:numPr>
          <w:ilvl w:val="1"/>
          <w:numId w:val="21"/>
        </w:numPr>
        <w:ind w:left="1440"/>
        <w:jc w:val="both"/>
        <w:rPr>
          <w:rFonts w:ascii="Arial" w:hAnsi="Arial" w:cs="Arial"/>
          <w:color w:val="000000" w:themeColor="text1"/>
          <w:sz w:val="22"/>
          <w:szCs w:val="22"/>
        </w:rPr>
      </w:pPr>
      <w:r w:rsidRPr="00A12651">
        <w:rPr>
          <w:rFonts w:ascii="Arial" w:hAnsi="Arial" w:cs="Arial"/>
          <w:color w:val="000000" w:themeColor="text1"/>
          <w:sz w:val="22"/>
          <w:szCs w:val="22"/>
        </w:rPr>
        <w:t xml:space="preserve">GAD activities pertaining to conceptualization and finalization of attribution of budget of major program to GPB, specifically IMAP, (using </w:t>
      </w:r>
      <w:r w:rsidR="00F44E32" w:rsidRPr="00A12651">
        <w:rPr>
          <w:rFonts w:ascii="Arial" w:hAnsi="Arial" w:cs="Arial"/>
          <w:color w:val="000000" w:themeColor="text1"/>
          <w:sz w:val="22"/>
          <w:szCs w:val="22"/>
        </w:rPr>
        <w:t>Harmonized Gender and Development Guideline [</w:t>
      </w:r>
      <w:r w:rsidRPr="00A12651">
        <w:rPr>
          <w:rFonts w:ascii="Arial" w:hAnsi="Arial" w:cs="Arial"/>
          <w:color w:val="000000" w:themeColor="text1"/>
          <w:sz w:val="22"/>
          <w:szCs w:val="22"/>
        </w:rPr>
        <w:t>HGDG</w:t>
      </w:r>
      <w:r w:rsidR="00F44E32" w:rsidRPr="00A12651">
        <w:rPr>
          <w:rFonts w:ascii="Arial" w:hAnsi="Arial" w:cs="Arial"/>
          <w:color w:val="000000" w:themeColor="text1"/>
          <w:sz w:val="22"/>
          <w:szCs w:val="22"/>
        </w:rPr>
        <w:t>]</w:t>
      </w:r>
      <w:r w:rsidRPr="00A12651">
        <w:rPr>
          <w:rFonts w:ascii="Arial" w:hAnsi="Arial" w:cs="Arial"/>
          <w:color w:val="000000" w:themeColor="text1"/>
          <w:sz w:val="22"/>
          <w:szCs w:val="22"/>
        </w:rPr>
        <w:t>) including the institutionalization of GAD Database/Sex-disaggregated data</w:t>
      </w:r>
      <w:r w:rsidR="00D173D8" w:rsidRPr="00A12651">
        <w:rPr>
          <w:rFonts w:ascii="Arial" w:hAnsi="Arial" w:cs="Arial"/>
          <w:color w:val="000000" w:themeColor="text1"/>
          <w:sz w:val="22"/>
          <w:szCs w:val="22"/>
        </w:rPr>
        <w:t xml:space="preserve"> were included in the 2018 PCSO-GBP, however i</w:t>
      </w:r>
      <w:r w:rsidR="0069453E" w:rsidRPr="00A12651">
        <w:rPr>
          <w:rFonts w:ascii="Arial" w:hAnsi="Arial" w:cs="Arial"/>
          <w:color w:val="000000" w:themeColor="text1"/>
          <w:sz w:val="22"/>
          <w:szCs w:val="22"/>
        </w:rPr>
        <w:t xml:space="preserve">t was noted </w:t>
      </w:r>
      <w:r w:rsidRPr="00A12651">
        <w:rPr>
          <w:rFonts w:ascii="Arial" w:hAnsi="Arial" w:cs="Arial"/>
          <w:color w:val="000000" w:themeColor="text1"/>
          <w:sz w:val="22"/>
          <w:szCs w:val="22"/>
        </w:rPr>
        <w:t xml:space="preserve">that the same were not implemented during CY 2018 as verified from the PCSO GAD Accomplishment Report (AR).  </w:t>
      </w:r>
    </w:p>
    <w:p w:rsidR="00E72BB7" w:rsidRPr="00EF4855" w:rsidRDefault="00E72BB7" w:rsidP="004C39E3">
      <w:pPr>
        <w:pStyle w:val="ListParagraph"/>
        <w:ind w:left="420"/>
        <w:jc w:val="both"/>
        <w:rPr>
          <w:rFonts w:ascii="Arial" w:hAnsi="Arial" w:cs="Arial"/>
          <w:color w:val="000000"/>
          <w:sz w:val="22"/>
          <w:szCs w:val="22"/>
        </w:rPr>
      </w:pPr>
    </w:p>
    <w:p w:rsidR="00E72BB7" w:rsidRPr="00EF4855" w:rsidRDefault="00E72BB7" w:rsidP="00DA78B4">
      <w:pPr>
        <w:pStyle w:val="ListParagraph"/>
        <w:numPr>
          <w:ilvl w:val="1"/>
          <w:numId w:val="21"/>
        </w:numPr>
        <w:ind w:left="1440"/>
        <w:jc w:val="both"/>
        <w:rPr>
          <w:rFonts w:ascii="Arial" w:hAnsi="Arial" w:cs="Arial"/>
          <w:sz w:val="22"/>
          <w:szCs w:val="22"/>
        </w:rPr>
      </w:pPr>
      <w:r w:rsidRPr="00EF4855">
        <w:rPr>
          <w:rFonts w:ascii="Arial" w:hAnsi="Arial" w:cs="Arial"/>
          <w:sz w:val="22"/>
          <w:szCs w:val="22"/>
        </w:rPr>
        <w:t>Section 3.4 of the subject JC provides that in order to attain the desired outcomes for GAD, mainstreaming gender perspectives in the PAPs should be a priority in GAD Planning and budgeting and that using the five per</w:t>
      </w:r>
      <w:r w:rsidR="00A12651">
        <w:rPr>
          <w:rFonts w:ascii="Arial" w:hAnsi="Arial" w:cs="Arial"/>
          <w:sz w:val="22"/>
          <w:szCs w:val="22"/>
        </w:rPr>
        <w:t xml:space="preserve"> </w:t>
      </w:r>
      <w:r w:rsidRPr="00EF4855">
        <w:rPr>
          <w:rFonts w:ascii="Arial" w:hAnsi="Arial" w:cs="Arial"/>
          <w:sz w:val="22"/>
          <w:szCs w:val="22"/>
        </w:rPr>
        <w:t xml:space="preserve">cent GAD budget for gender mainstreaming is a way for agencies to influence the entire agency program, plan and budget.  </w:t>
      </w:r>
    </w:p>
    <w:p w:rsidR="00E72BB7" w:rsidRPr="00EF4855" w:rsidRDefault="00E72BB7" w:rsidP="004C39E3">
      <w:pPr>
        <w:pStyle w:val="ListParagraph"/>
        <w:ind w:left="1296"/>
        <w:jc w:val="both"/>
        <w:rPr>
          <w:rFonts w:ascii="Arial" w:hAnsi="Arial" w:cs="Arial"/>
          <w:sz w:val="22"/>
          <w:szCs w:val="22"/>
        </w:rPr>
      </w:pPr>
    </w:p>
    <w:p w:rsidR="00A12651" w:rsidRDefault="00E72BB7" w:rsidP="00DA78B4">
      <w:pPr>
        <w:pStyle w:val="ListParagraph"/>
        <w:numPr>
          <w:ilvl w:val="1"/>
          <w:numId w:val="21"/>
        </w:numPr>
        <w:ind w:left="1440"/>
        <w:jc w:val="both"/>
        <w:rPr>
          <w:rFonts w:ascii="Arial" w:hAnsi="Arial" w:cs="Arial"/>
          <w:b/>
          <w:sz w:val="22"/>
          <w:szCs w:val="22"/>
          <w:lang w:eastAsia="en-PH"/>
        </w:rPr>
      </w:pPr>
      <w:r w:rsidRPr="006B018F">
        <w:rPr>
          <w:rFonts w:ascii="Arial" w:hAnsi="Arial" w:cs="Arial"/>
          <w:b/>
          <w:sz w:val="22"/>
          <w:szCs w:val="22"/>
        </w:rPr>
        <w:t>We</w:t>
      </w:r>
      <w:r w:rsidRPr="00EF4855">
        <w:rPr>
          <w:rFonts w:ascii="Arial" w:hAnsi="Arial" w:cs="Arial"/>
          <w:b/>
          <w:sz w:val="22"/>
          <w:szCs w:val="22"/>
        </w:rPr>
        <w:t xml:space="preserve"> reiterate</w:t>
      </w:r>
      <w:r w:rsidR="00E1092F" w:rsidRPr="00EF4855">
        <w:rPr>
          <w:rFonts w:ascii="Arial" w:hAnsi="Arial" w:cs="Arial"/>
          <w:b/>
          <w:sz w:val="22"/>
          <w:szCs w:val="22"/>
        </w:rPr>
        <w:t>d</w:t>
      </w:r>
      <w:r w:rsidRPr="00EF4855">
        <w:rPr>
          <w:rFonts w:ascii="Arial" w:hAnsi="Arial" w:cs="Arial"/>
          <w:b/>
          <w:sz w:val="22"/>
          <w:szCs w:val="22"/>
        </w:rPr>
        <w:t xml:space="preserve"> our prior year’s recommendation </w:t>
      </w:r>
      <w:r w:rsidR="00A12651">
        <w:rPr>
          <w:rFonts w:ascii="Arial" w:hAnsi="Arial" w:cs="Arial"/>
          <w:b/>
          <w:sz w:val="22"/>
          <w:szCs w:val="22"/>
        </w:rPr>
        <w:t>that</w:t>
      </w:r>
      <w:r w:rsidRPr="00EF4855">
        <w:rPr>
          <w:rFonts w:ascii="Arial" w:hAnsi="Arial" w:cs="Arial"/>
          <w:b/>
          <w:sz w:val="22"/>
          <w:szCs w:val="22"/>
        </w:rPr>
        <w:t xml:space="preserve"> Management </w:t>
      </w:r>
      <w:r w:rsidRPr="00EF4855">
        <w:rPr>
          <w:rFonts w:ascii="Arial" w:hAnsi="Arial" w:cs="Arial"/>
          <w:b/>
          <w:sz w:val="22"/>
          <w:szCs w:val="22"/>
          <w:lang w:eastAsia="en-PH"/>
        </w:rPr>
        <w:t xml:space="preserve"> comply with Section 6.1 of PCW-NEDA-DBM Joint Circular No. 2012-01</w:t>
      </w:r>
      <w:r w:rsidR="00A12651">
        <w:rPr>
          <w:rFonts w:ascii="Arial" w:hAnsi="Arial" w:cs="Arial"/>
          <w:b/>
          <w:sz w:val="22"/>
          <w:szCs w:val="22"/>
          <w:lang w:eastAsia="en-PH"/>
        </w:rPr>
        <w:t>,</w:t>
      </w:r>
      <w:r w:rsidRPr="00EF4855">
        <w:rPr>
          <w:rFonts w:ascii="Arial" w:hAnsi="Arial" w:cs="Arial"/>
          <w:b/>
          <w:sz w:val="22"/>
          <w:szCs w:val="22"/>
          <w:lang w:eastAsia="en-PH"/>
        </w:rPr>
        <w:t xml:space="preserve"> prescribing </w:t>
      </w:r>
      <w:r w:rsidR="00A12651">
        <w:rPr>
          <w:rFonts w:ascii="Arial" w:hAnsi="Arial" w:cs="Arial"/>
          <w:b/>
          <w:sz w:val="22"/>
          <w:szCs w:val="22"/>
          <w:lang w:eastAsia="en-PH"/>
        </w:rPr>
        <w:t>at least five per cent of the COB shall be allocated for GAD</w:t>
      </w:r>
      <w:r w:rsidRPr="00EF4855">
        <w:rPr>
          <w:rFonts w:ascii="Arial" w:hAnsi="Arial" w:cs="Arial"/>
          <w:b/>
          <w:sz w:val="22"/>
          <w:szCs w:val="22"/>
          <w:lang w:eastAsia="en-PH"/>
        </w:rPr>
        <w:t xml:space="preserve">.   </w:t>
      </w:r>
    </w:p>
    <w:p w:rsidR="00A12651" w:rsidRPr="00A12651" w:rsidRDefault="00A12651" w:rsidP="00A12651">
      <w:pPr>
        <w:pStyle w:val="ListParagraph"/>
        <w:rPr>
          <w:rFonts w:ascii="Arial" w:hAnsi="Arial" w:cs="Arial"/>
          <w:b/>
          <w:sz w:val="22"/>
          <w:szCs w:val="22"/>
        </w:rPr>
      </w:pPr>
    </w:p>
    <w:p w:rsidR="00E72BB7" w:rsidRPr="00EF4855" w:rsidRDefault="00E72BB7" w:rsidP="00DA78B4">
      <w:pPr>
        <w:pStyle w:val="ListParagraph"/>
        <w:numPr>
          <w:ilvl w:val="1"/>
          <w:numId w:val="21"/>
        </w:numPr>
        <w:ind w:left="1440"/>
        <w:jc w:val="both"/>
        <w:rPr>
          <w:rFonts w:ascii="Arial" w:hAnsi="Arial" w:cs="Arial"/>
          <w:b/>
          <w:sz w:val="22"/>
          <w:szCs w:val="22"/>
          <w:lang w:eastAsia="en-PH"/>
        </w:rPr>
      </w:pPr>
      <w:r w:rsidRPr="00EF4855">
        <w:rPr>
          <w:rFonts w:ascii="Arial" w:hAnsi="Arial" w:cs="Arial"/>
          <w:b/>
          <w:sz w:val="22"/>
          <w:szCs w:val="22"/>
        </w:rPr>
        <w:t>Moreover, we recommend</w:t>
      </w:r>
      <w:r w:rsidR="00E1092F" w:rsidRPr="00EF4855">
        <w:rPr>
          <w:rFonts w:ascii="Arial" w:hAnsi="Arial" w:cs="Arial"/>
          <w:b/>
          <w:sz w:val="22"/>
          <w:szCs w:val="22"/>
        </w:rPr>
        <w:t>ed</w:t>
      </w:r>
      <w:r w:rsidRPr="00EF4855">
        <w:rPr>
          <w:rFonts w:ascii="Arial" w:hAnsi="Arial" w:cs="Arial"/>
          <w:b/>
          <w:sz w:val="22"/>
          <w:szCs w:val="22"/>
        </w:rPr>
        <w:t xml:space="preserve"> that Management exert more effort to comply with </w:t>
      </w:r>
      <w:r w:rsidRPr="00EF4855">
        <w:rPr>
          <w:rFonts w:ascii="Arial" w:hAnsi="Arial" w:cs="Arial"/>
          <w:b/>
          <w:sz w:val="22"/>
          <w:szCs w:val="22"/>
          <w:lang w:eastAsia="en-PH"/>
        </w:rPr>
        <w:t xml:space="preserve">Section 4.4 of the PCW-NEDA-DBM Joint Circular No. 2012-01 </w:t>
      </w:r>
      <w:r w:rsidRPr="00EF4855">
        <w:rPr>
          <w:rFonts w:ascii="Arial" w:eastAsiaTheme="minorHAnsi" w:hAnsi="Arial" w:cs="Arial"/>
          <w:b/>
          <w:iCs/>
          <w:sz w:val="22"/>
          <w:szCs w:val="22"/>
        </w:rPr>
        <w:t xml:space="preserve">on the institutionalization of GAD Database/Sex-disaggregated Data </w:t>
      </w:r>
      <w:r w:rsidRPr="00EF4855">
        <w:rPr>
          <w:rFonts w:ascii="Arial" w:hAnsi="Arial" w:cs="Arial"/>
          <w:b/>
          <w:sz w:val="22"/>
          <w:szCs w:val="22"/>
          <w:lang w:eastAsia="en-PH"/>
        </w:rPr>
        <w:t>to ensure a more effective GAD planning &amp; budgeting as well as implementation of GAD activities.</w:t>
      </w:r>
    </w:p>
    <w:p w:rsidR="00F278CD" w:rsidRDefault="00F278CD" w:rsidP="00F278CD">
      <w:pPr>
        <w:pStyle w:val="ListParagraph"/>
        <w:rPr>
          <w:rFonts w:ascii="Arial" w:hAnsi="Arial" w:cs="Arial"/>
          <w:sz w:val="22"/>
          <w:szCs w:val="22"/>
          <w:lang w:eastAsia="en-PH"/>
        </w:rPr>
      </w:pPr>
    </w:p>
    <w:p w:rsidR="001C3A9D" w:rsidRDefault="001C3A9D" w:rsidP="00F278CD">
      <w:pPr>
        <w:pStyle w:val="ListParagraph"/>
        <w:rPr>
          <w:rFonts w:ascii="Arial" w:hAnsi="Arial" w:cs="Arial"/>
          <w:sz w:val="22"/>
          <w:szCs w:val="22"/>
          <w:lang w:eastAsia="en-PH"/>
        </w:rPr>
      </w:pPr>
    </w:p>
    <w:p w:rsidR="001C3A9D" w:rsidRPr="00EF4855" w:rsidRDefault="001C3A9D" w:rsidP="00F278CD">
      <w:pPr>
        <w:pStyle w:val="ListParagraph"/>
        <w:rPr>
          <w:rFonts w:ascii="Arial" w:hAnsi="Arial" w:cs="Arial"/>
          <w:sz w:val="22"/>
          <w:szCs w:val="22"/>
          <w:lang w:eastAsia="en-PH"/>
        </w:rPr>
      </w:pPr>
    </w:p>
    <w:p w:rsidR="00A12651" w:rsidRPr="00A12651" w:rsidRDefault="00F278CD" w:rsidP="00DA78B4">
      <w:pPr>
        <w:pStyle w:val="ListParagraph"/>
        <w:numPr>
          <w:ilvl w:val="1"/>
          <w:numId w:val="21"/>
        </w:numPr>
        <w:ind w:left="1440"/>
        <w:jc w:val="both"/>
        <w:rPr>
          <w:rFonts w:ascii="Arial" w:hAnsi="Arial" w:cs="Arial"/>
          <w:color w:val="000000" w:themeColor="text1"/>
        </w:rPr>
      </w:pPr>
      <w:r w:rsidRPr="00A12651">
        <w:rPr>
          <w:rFonts w:ascii="Arial" w:hAnsi="Arial" w:cs="Arial"/>
          <w:color w:val="000000" w:themeColor="text1"/>
          <w:sz w:val="22"/>
          <w:szCs w:val="22"/>
        </w:rPr>
        <w:lastRenderedPageBreak/>
        <w:t>Management</w:t>
      </w:r>
      <w:r w:rsidRPr="00A12651">
        <w:rPr>
          <w:rFonts w:ascii="Arial" w:hAnsi="Arial" w:cs="Arial"/>
          <w:color w:val="000000" w:themeColor="text1"/>
          <w:sz w:val="22"/>
          <w:szCs w:val="22"/>
          <w:lang w:eastAsia="en-PH"/>
        </w:rPr>
        <w:t xml:space="preserve"> commented that</w:t>
      </w:r>
      <w:r w:rsidR="00A12651">
        <w:rPr>
          <w:rFonts w:ascii="Arial" w:hAnsi="Arial" w:cs="Arial"/>
          <w:color w:val="000000" w:themeColor="text1"/>
          <w:sz w:val="22"/>
          <w:szCs w:val="22"/>
          <w:lang w:eastAsia="en-PH"/>
        </w:rPr>
        <w:t>:</w:t>
      </w:r>
    </w:p>
    <w:p w:rsidR="00A12651" w:rsidRPr="00A12651" w:rsidRDefault="00A12651" w:rsidP="00A12651">
      <w:pPr>
        <w:pStyle w:val="ListParagraph"/>
        <w:rPr>
          <w:rFonts w:ascii="Arial" w:hAnsi="Arial" w:cs="Arial"/>
          <w:color w:val="000000" w:themeColor="text1"/>
          <w:sz w:val="22"/>
          <w:szCs w:val="22"/>
          <w:lang w:eastAsia="en-PH"/>
        </w:rPr>
      </w:pPr>
    </w:p>
    <w:p w:rsidR="00683461" w:rsidRPr="00A12651" w:rsidRDefault="00A12651" w:rsidP="00DA78B4">
      <w:pPr>
        <w:pStyle w:val="ListParagraph"/>
        <w:numPr>
          <w:ilvl w:val="0"/>
          <w:numId w:val="29"/>
        </w:numPr>
        <w:ind w:left="1980" w:hanging="540"/>
        <w:jc w:val="both"/>
        <w:rPr>
          <w:rFonts w:ascii="Arial" w:hAnsi="Arial" w:cs="Arial"/>
          <w:color w:val="000000" w:themeColor="text1"/>
        </w:rPr>
      </w:pPr>
      <w:r>
        <w:rPr>
          <w:rFonts w:ascii="Arial" w:hAnsi="Arial" w:cs="Arial"/>
          <w:color w:val="000000" w:themeColor="text1"/>
          <w:sz w:val="22"/>
          <w:szCs w:val="22"/>
          <w:lang w:eastAsia="en-PH"/>
        </w:rPr>
        <w:t>T</w:t>
      </w:r>
      <w:r w:rsidR="00683461" w:rsidRPr="00A12651">
        <w:rPr>
          <w:rFonts w:ascii="Arial" w:hAnsi="Arial" w:cs="Arial"/>
          <w:color w:val="000000" w:themeColor="text1"/>
          <w:sz w:val="22"/>
          <w:szCs w:val="22"/>
        </w:rPr>
        <w:t>he IMAP-ASAP attribution to GAD was overtaken by the legislation of Universal Health Care (RA</w:t>
      </w:r>
      <w:r w:rsidR="007427AA">
        <w:rPr>
          <w:rFonts w:ascii="Arial" w:hAnsi="Arial" w:cs="Arial"/>
          <w:color w:val="000000" w:themeColor="text1"/>
          <w:sz w:val="22"/>
          <w:szCs w:val="22"/>
        </w:rPr>
        <w:t xml:space="preserve"> No.</w:t>
      </w:r>
      <w:r w:rsidR="00683461" w:rsidRPr="00A12651">
        <w:rPr>
          <w:rFonts w:ascii="Arial" w:hAnsi="Arial" w:cs="Arial"/>
          <w:color w:val="000000" w:themeColor="text1"/>
          <w:sz w:val="22"/>
          <w:szCs w:val="22"/>
        </w:rPr>
        <w:t xml:space="preserve"> 11223). The legislative development prompted the GFPS to hold in abeyance the IMAP-ASAP attribution considering that Phil</w:t>
      </w:r>
      <w:r w:rsidR="00D872E3" w:rsidRPr="00A12651">
        <w:rPr>
          <w:rFonts w:ascii="Arial" w:hAnsi="Arial" w:cs="Arial"/>
          <w:color w:val="000000" w:themeColor="text1"/>
          <w:sz w:val="22"/>
          <w:szCs w:val="22"/>
        </w:rPr>
        <w:t>H</w:t>
      </w:r>
      <w:r w:rsidR="00683461" w:rsidRPr="00A12651">
        <w:rPr>
          <w:rFonts w:ascii="Arial" w:hAnsi="Arial" w:cs="Arial"/>
          <w:color w:val="000000" w:themeColor="text1"/>
          <w:sz w:val="22"/>
          <w:szCs w:val="22"/>
        </w:rPr>
        <w:t xml:space="preserve">ealth will need to participate in the HGDG assessment with PCSO to include collection of sex disaggregated data and formulation of Project Brief with gender perspective, before the PCW allows GAD attribution of PCSO’s UHC fund pool.  As a strategic measure, the </w:t>
      </w:r>
      <w:r w:rsidR="00F44E32" w:rsidRPr="00A12651">
        <w:rPr>
          <w:rFonts w:ascii="Arial" w:hAnsi="Arial" w:cs="Arial"/>
          <w:color w:val="000000" w:themeColor="text1"/>
          <w:sz w:val="22"/>
          <w:szCs w:val="22"/>
        </w:rPr>
        <w:t>GAD Focal Point System (</w:t>
      </w:r>
      <w:r w:rsidR="00683461" w:rsidRPr="00A12651">
        <w:rPr>
          <w:rFonts w:ascii="Arial" w:hAnsi="Arial" w:cs="Arial"/>
          <w:color w:val="000000" w:themeColor="text1"/>
          <w:sz w:val="22"/>
          <w:szCs w:val="22"/>
        </w:rPr>
        <w:t>GFPS</w:t>
      </w:r>
      <w:r w:rsidR="00F44E32" w:rsidRPr="00A12651">
        <w:rPr>
          <w:rFonts w:ascii="Arial" w:hAnsi="Arial" w:cs="Arial"/>
          <w:color w:val="000000" w:themeColor="text1"/>
          <w:sz w:val="22"/>
          <w:szCs w:val="22"/>
        </w:rPr>
        <w:t>)</w:t>
      </w:r>
      <w:r w:rsidR="00683461" w:rsidRPr="00A12651">
        <w:rPr>
          <w:rFonts w:ascii="Arial" w:hAnsi="Arial" w:cs="Arial"/>
          <w:color w:val="000000" w:themeColor="text1"/>
          <w:sz w:val="22"/>
          <w:szCs w:val="22"/>
        </w:rPr>
        <w:t xml:space="preserve"> moved for inclusion of GAD attribution of its UHC fund pool before the approval of Senate Bill 1896. </w:t>
      </w:r>
    </w:p>
    <w:p w:rsidR="00683461" w:rsidRPr="004F6C55" w:rsidRDefault="00683461" w:rsidP="004F6C55">
      <w:pPr>
        <w:pStyle w:val="ListParagraph"/>
        <w:rPr>
          <w:rFonts w:ascii="Arial" w:hAnsi="Arial" w:cs="Arial"/>
        </w:rPr>
      </w:pPr>
    </w:p>
    <w:p w:rsidR="00683461" w:rsidRPr="004F6C55" w:rsidRDefault="007427AA" w:rsidP="00DA78B4">
      <w:pPr>
        <w:pStyle w:val="ListParagraph"/>
        <w:numPr>
          <w:ilvl w:val="0"/>
          <w:numId w:val="29"/>
        </w:numPr>
        <w:ind w:left="1980" w:hanging="540"/>
        <w:jc w:val="both"/>
        <w:rPr>
          <w:rFonts w:ascii="Arial" w:hAnsi="Arial" w:cs="Arial"/>
          <w:lang w:eastAsia="en-PH"/>
        </w:rPr>
      </w:pPr>
      <w:r>
        <w:rPr>
          <w:rFonts w:ascii="Arial" w:hAnsi="Arial" w:cs="Arial"/>
          <w:sz w:val="22"/>
          <w:szCs w:val="22"/>
          <w:lang w:eastAsia="en-PH"/>
        </w:rPr>
        <w:t>A</w:t>
      </w:r>
      <w:r w:rsidR="00683461" w:rsidRPr="004F6C55">
        <w:rPr>
          <w:rFonts w:ascii="Arial" w:hAnsi="Arial" w:cs="Arial"/>
          <w:sz w:val="22"/>
          <w:szCs w:val="22"/>
          <w:lang w:eastAsia="en-PH"/>
        </w:rPr>
        <w:t>ll efforts shall be exerted to cause the PCW’s approval of PCSO’s UHC fund pool attribution to GAD on or before December 31, 2019.  All that the GFPS is asking COA-PCSO is sufficient time to comply with all PCW protocols on GAD attribution of major programs and understanding that the timely formulation of the IRR for RA</w:t>
      </w:r>
      <w:r>
        <w:rPr>
          <w:rFonts w:ascii="Arial" w:hAnsi="Arial" w:cs="Arial"/>
          <w:sz w:val="22"/>
          <w:szCs w:val="22"/>
          <w:lang w:eastAsia="en-PH"/>
        </w:rPr>
        <w:t xml:space="preserve"> No.</w:t>
      </w:r>
      <w:r w:rsidR="00683461" w:rsidRPr="004F6C55">
        <w:rPr>
          <w:rFonts w:ascii="Arial" w:hAnsi="Arial" w:cs="Arial"/>
          <w:sz w:val="22"/>
          <w:szCs w:val="22"/>
          <w:lang w:eastAsia="en-PH"/>
        </w:rPr>
        <w:t xml:space="preserve"> 11223 is beyond its control since other government offices will influence the timelines of IRR formulation.  Similarly, the GFPS initiated the development of a special GAD project to serve as template for future charity programs</w:t>
      </w:r>
      <w:r w:rsidR="00F367F2">
        <w:rPr>
          <w:rFonts w:ascii="Arial" w:hAnsi="Arial" w:cs="Arial"/>
          <w:sz w:val="22"/>
          <w:szCs w:val="22"/>
          <w:lang w:eastAsia="en-PH"/>
        </w:rPr>
        <w:t xml:space="preserve"> that will not duplicate Phil</w:t>
      </w:r>
      <w:r w:rsidR="00D872E3">
        <w:rPr>
          <w:rFonts w:ascii="Arial" w:hAnsi="Arial" w:cs="Arial"/>
          <w:sz w:val="22"/>
          <w:szCs w:val="22"/>
          <w:lang w:eastAsia="en-PH"/>
        </w:rPr>
        <w:t>H</w:t>
      </w:r>
      <w:r w:rsidR="00F367F2">
        <w:rPr>
          <w:rFonts w:ascii="Arial" w:hAnsi="Arial" w:cs="Arial"/>
          <w:sz w:val="22"/>
          <w:szCs w:val="22"/>
          <w:lang w:eastAsia="en-PH"/>
        </w:rPr>
        <w:t>e</w:t>
      </w:r>
      <w:r w:rsidR="00683461" w:rsidRPr="004F6C55">
        <w:rPr>
          <w:rFonts w:ascii="Arial" w:hAnsi="Arial" w:cs="Arial"/>
          <w:sz w:val="22"/>
          <w:szCs w:val="22"/>
          <w:lang w:eastAsia="en-PH"/>
        </w:rPr>
        <w:t>a</w:t>
      </w:r>
      <w:r w:rsidR="00F367F2">
        <w:rPr>
          <w:rFonts w:ascii="Arial" w:hAnsi="Arial" w:cs="Arial"/>
          <w:sz w:val="22"/>
          <w:szCs w:val="22"/>
          <w:lang w:eastAsia="en-PH"/>
        </w:rPr>
        <w:t>l</w:t>
      </w:r>
      <w:r w:rsidR="00683461" w:rsidRPr="004F6C55">
        <w:rPr>
          <w:rFonts w:ascii="Arial" w:hAnsi="Arial" w:cs="Arial"/>
          <w:sz w:val="22"/>
          <w:szCs w:val="22"/>
          <w:lang w:eastAsia="en-PH"/>
        </w:rPr>
        <w:t>th and DOH programs under the UHC.</w:t>
      </w:r>
    </w:p>
    <w:p w:rsidR="00E72BB7" w:rsidRPr="00EF4855" w:rsidRDefault="00E72BB7" w:rsidP="004C39E3">
      <w:pPr>
        <w:pStyle w:val="NoSpacing"/>
        <w:ind w:left="420"/>
        <w:jc w:val="both"/>
        <w:rPr>
          <w:rFonts w:ascii="Arial" w:hAnsi="Arial" w:cs="Arial"/>
          <w:b/>
          <w:lang w:eastAsia="en-PH"/>
        </w:rPr>
      </w:pPr>
    </w:p>
    <w:p w:rsidR="00E72BB7" w:rsidRPr="00EF4855" w:rsidRDefault="00E72BB7" w:rsidP="004C39E3">
      <w:pPr>
        <w:pStyle w:val="NoSpacing"/>
        <w:ind w:left="420"/>
        <w:jc w:val="both"/>
        <w:rPr>
          <w:rFonts w:ascii="Arial" w:hAnsi="Arial" w:cs="Arial"/>
          <w:b/>
        </w:rPr>
      </w:pPr>
    </w:p>
    <w:p w:rsidR="00E72BB7" w:rsidRPr="00EF4855" w:rsidRDefault="00E72BB7" w:rsidP="00DA78B4">
      <w:pPr>
        <w:pStyle w:val="NoSpacing"/>
        <w:numPr>
          <w:ilvl w:val="0"/>
          <w:numId w:val="21"/>
        </w:numPr>
        <w:ind w:left="720" w:hanging="720"/>
        <w:jc w:val="both"/>
        <w:rPr>
          <w:rFonts w:ascii="Arial" w:hAnsi="Arial" w:cs="Arial"/>
          <w:b/>
        </w:rPr>
      </w:pPr>
      <w:r w:rsidRPr="00EF4855">
        <w:rPr>
          <w:rFonts w:ascii="Arial" w:hAnsi="Arial" w:cs="Arial"/>
          <w:b/>
        </w:rPr>
        <w:t xml:space="preserve">The </w:t>
      </w:r>
      <w:r w:rsidR="007427AA">
        <w:rPr>
          <w:rFonts w:ascii="Arial" w:hAnsi="Arial" w:cs="Arial"/>
          <w:b/>
        </w:rPr>
        <w:t>PCW-endorsed</w:t>
      </w:r>
      <w:r w:rsidRPr="00EF4855">
        <w:rPr>
          <w:rFonts w:ascii="Arial" w:hAnsi="Arial" w:cs="Arial"/>
          <w:b/>
        </w:rPr>
        <w:t xml:space="preserve"> Annual GAD Plan and Budget (GPB) and the corresponding Accomplishment Report (AR) were not submitted to COA within </w:t>
      </w:r>
      <w:r w:rsidR="00E1092F" w:rsidRPr="00EF4855">
        <w:rPr>
          <w:rFonts w:ascii="Arial" w:hAnsi="Arial" w:cs="Arial"/>
          <w:b/>
        </w:rPr>
        <w:t>the period</w:t>
      </w:r>
      <w:r w:rsidRPr="00EF4855">
        <w:rPr>
          <w:rFonts w:ascii="Arial" w:hAnsi="Arial" w:cs="Arial"/>
          <w:b/>
        </w:rPr>
        <w:t xml:space="preserve"> prescribed under Section V of COA Circular No. 2014-001, hence, we were unable to promptly evaluate if the PCSO’s accomplishments relating to GAD activities were within its approved </w:t>
      </w:r>
      <w:r w:rsidR="007427AA">
        <w:rPr>
          <w:rFonts w:ascii="Arial" w:hAnsi="Arial" w:cs="Arial"/>
          <w:b/>
        </w:rPr>
        <w:t>GPB</w:t>
      </w:r>
      <w:r w:rsidRPr="00EF4855">
        <w:rPr>
          <w:rFonts w:ascii="Arial" w:hAnsi="Arial" w:cs="Arial"/>
          <w:b/>
        </w:rPr>
        <w:t>.</w:t>
      </w:r>
    </w:p>
    <w:p w:rsidR="00E72BB7" w:rsidRPr="00EF4855" w:rsidRDefault="00E72BB7" w:rsidP="004C39E3">
      <w:pPr>
        <w:pStyle w:val="NoSpacing"/>
        <w:ind w:left="420"/>
        <w:jc w:val="both"/>
        <w:rPr>
          <w:rFonts w:ascii="Arial" w:hAnsi="Arial" w:cs="Arial"/>
        </w:rPr>
      </w:pPr>
    </w:p>
    <w:p w:rsidR="00E72BB7" w:rsidRPr="00EF4855" w:rsidRDefault="00E72BB7" w:rsidP="00DA78B4">
      <w:pPr>
        <w:pStyle w:val="ListParagraph"/>
        <w:numPr>
          <w:ilvl w:val="1"/>
          <w:numId w:val="21"/>
        </w:numPr>
        <w:ind w:left="1440"/>
        <w:jc w:val="both"/>
        <w:rPr>
          <w:rFonts w:ascii="Arial" w:hAnsi="Arial" w:cs="Arial"/>
          <w:sz w:val="22"/>
          <w:szCs w:val="22"/>
        </w:rPr>
      </w:pPr>
      <w:r w:rsidRPr="00EF4855">
        <w:rPr>
          <w:rFonts w:ascii="Arial" w:hAnsi="Arial" w:cs="Arial"/>
          <w:sz w:val="22"/>
          <w:szCs w:val="22"/>
          <w:lang w:eastAsia="en-PH"/>
        </w:rPr>
        <w:t>Section</w:t>
      </w:r>
      <w:r w:rsidRPr="00EF4855">
        <w:rPr>
          <w:rFonts w:ascii="Arial" w:hAnsi="Arial" w:cs="Arial"/>
          <w:sz w:val="22"/>
          <w:szCs w:val="22"/>
        </w:rPr>
        <w:t xml:space="preserve"> V of COA Circular No. 2014-001 prescribes the following pertaining to submission of approved GPB and of Accomplishment Report to </w:t>
      </w:r>
      <w:r w:rsidR="007427AA">
        <w:rPr>
          <w:rFonts w:ascii="Arial" w:hAnsi="Arial" w:cs="Arial"/>
          <w:sz w:val="22"/>
          <w:szCs w:val="22"/>
        </w:rPr>
        <w:t>COA</w:t>
      </w:r>
      <w:r w:rsidRPr="00EF4855">
        <w:rPr>
          <w:rFonts w:ascii="Arial" w:hAnsi="Arial" w:cs="Arial"/>
          <w:sz w:val="22"/>
          <w:szCs w:val="22"/>
        </w:rPr>
        <w:t xml:space="preserve">: </w:t>
      </w:r>
    </w:p>
    <w:p w:rsidR="00E72BB7" w:rsidRPr="00EF4855" w:rsidRDefault="00E72BB7" w:rsidP="004C39E3">
      <w:pPr>
        <w:pStyle w:val="NoSpacing"/>
        <w:ind w:left="840"/>
        <w:jc w:val="both"/>
        <w:rPr>
          <w:rFonts w:ascii="Arial" w:hAnsi="Arial" w:cs="Arial"/>
          <w:i/>
        </w:rPr>
      </w:pPr>
    </w:p>
    <w:p w:rsidR="00E72BB7" w:rsidRPr="00EF4855" w:rsidRDefault="00E72BB7" w:rsidP="007427AA">
      <w:pPr>
        <w:pStyle w:val="NoSpacing"/>
        <w:ind w:left="2160" w:right="720" w:hanging="360"/>
        <w:jc w:val="both"/>
        <w:rPr>
          <w:rFonts w:ascii="Arial" w:hAnsi="Arial" w:cs="Arial"/>
          <w:i/>
        </w:rPr>
      </w:pPr>
      <w:r w:rsidRPr="00EF4855">
        <w:rPr>
          <w:rFonts w:ascii="Arial" w:hAnsi="Arial" w:cs="Arial"/>
          <w:i/>
        </w:rPr>
        <w:t>V.  Responsibility of the Audited Agency</w:t>
      </w:r>
    </w:p>
    <w:p w:rsidR="00E72BB7" w:rsidRPr="00EF4855" w:rsidRDefault="00E72BB7" w:rsidP="007427AA">
      <w:pPr>
        <w:pStyle w:val="NoSpacing"/>
        <w:ind w:left="2160" w:right="720" w:hanging="360"/>
        <w:jc w:val="both"/>
        <w:rPr>
          <w:rFonts w:ascii="Arial" w:hAnsi="Arial" w:cs="Arial"/>
          <w:i/>
        </w:rPr>
      </w:pPr>
    </w:p>
    <w:p w:rsidR="00E72BB7" w:rsidRPr="00EF4855" w:rsidRDefault="00E72BB7" w:rsidP="00DA78B4">
      <w:pPr>
        <w:pStyle w:val="NoSpacing"/>
        <w:numPr>
          <w:ilvl w:val="3"/>
          <w:numId w:val="29"/>
        </w:numPr>
        <w:ind w:left="2160" w:right="720"/>
        <w:jc w:val="both"/>
        <w:rPr>
          <w:rFonts w:ascii="Arial" w:hAnsi="Arial" w:cs="Arial"/>
          <w:i/>
        </w:rPr>
      </w:pPr>
      <w:r w:rsidRPr="00EF4855">
        <w:rPr>
          <w:rFonts w:ascii="Arial" w:hAnsi="Arial" w:cs="Arial"/>
          <w:i/>
        </w:rPr>
        <w:t xml:space="preserve">The Audited agency shall submit a copy of the approved annual GAD Plan and Budget (GPB) to the COA Audit Team assigned to the agency within five (5) working days from receipt of the approved plan from the PCW or their mother or central offices as the case maybe.  Likewise, a copy of the corresponding </w:t>
      </w:r>
      <w:r w:rsidR="001A6348" w:rsidRPr="00EF4855">
        <w:rPr>
          <w:rFonts w:ascii="Arial" w:hAnsi="Arial" w:cs="Arial"/>
          <w:i/>
        </w:rPr>
        <w:t>Accomplishment</w:t>
      </w:r>
      <w:r w:rsidRPr="00EF4855">
        <w:rPr>
          <w:rFonts w:ascii="Arial" w:hAnsi="Arial" w:cs="Arial"/>
          <w:i/>
        </w:rPr>
        <w:t xml:space="preserve"> Report (AR) shall be furnished to the said Audit Team </w:t>
      </w:r>
      <w:r w:rsidR="00683461" w:rsidRPr="00EF4855">
        <w:rPr>
          <w:rFonts w:ascii="Arial" w:hAnsi="Arial" w:cs="Arial"/>
          <w:i/>
        </w:rPr>
        <w:t>within five</w:t>
      </w:r>
      <w:r w:rsidRPr="00EF4855">
        <w:rPr>
          <w:rFonts w:ascii="Arial" w:hAnsi="Arial" w:cs="Arial"/>
          <w:i/>
        </w:rPr>
        <w:t xml:space="preserve"> working days from the end of J</w:t>
      </w:r>
      <w:r w:rsidR="007427AA">
        <w:rPr>
          <w:rFonts w:ascii="Arial" w:hAnsi="Arial" w:cs="Arial"/>
          <w:i/>
        </w:rPr>
        <w:t>anuary of the preceding year.</w:t>
      </w:r>
    </w:p>
    <w:p w:rsidR="00E72BB7" w:rsidRPr="00EF4855" w:rsidRDefault="00E72BB7" w:rsidP="004C39E3">
      <w:pPr>
        <w:pStyle w:val="NoSpacing"/>
        <w:ind w:left="840"/>
        <w:jc w:val="both"/>
        <w:rPr>
          <w:rFonts w:ascii="Arial" w:hAnsi="Arial" w:cs="Arial"/>
        </w:rPr>
      </w:pPr>
    </w:p>
    <w:p w:rsidR="00E72BB7" w:rsidRPr="00EF4855" w:rsidRDefault="00094650" w:rsidP="00DA78B4">
      <w:pPr>
        <w:pStyle w:val="ListParagraph"/>
        <w:numPr>
          <w:ilvl w:val="1"/>
          <w:numId w:val="21"/>
        </w:numPr>
        <w:ind w:left="1440"/>
        <w:jc w:val="both"/>
        <w:rPr>
          <w:rFonts w:ascii="Arial" w:hAnsi="Arial" w:cs="Arial"/>
          <w:sz w:val="22"/>
          <w:szCs w:val="22"/>
        </w:rPr>
      </w:pPr>
      <w:r w:rsidRPr="004F6C55">
        <w:rPr>
          <w:rFonts w:ascii="Arial" w:hAnsi="Arial" w:cs="Arial"/>
          <w:sz w:val="22"/>
          <w:szCs w:val="22"/>
          <w:lang w:eastAsia="en-PH"/>
        </w:rPr>
        <w:t>It</w:t>
      </w:r>
      <w:r w:rsidRPr="00EF4855">
        <w:rPr>
          <w:rFonts w:ascii="Arial" w:hAnsi="Arial" w:cs="Arial"/>
          <w:sz w:val="22"/>
          <w:szCs w:val="22"/>
        </w:rPr>
        <w:t xml:space="preserve"> was </w:t>
      </w:r>
      <w:r w:rsidR="00E72BB7" w:rsidRPr="00EF4855">
        <w:rPr>
          <w:rFonts w:ascii="Arial" w:hAnsi="Arial" w:cs="Arial"/>
          <w:sz w:val="22"/>
          <w:szCs w:val="22"/>
        </w:rPr>
        <w:t xml:space="preserve">noted that both the 2018 GPB and GAD AR were not submitted to </w:t>
      </w:r>
      <w:r w:rsidR="007427AA">
        <w:rPr>
          <w:rFonts w:ascii="Arial" w:hAnsi="Arial" w:cs="Arial"/>
          <w:sz w:val="22"/>
          <w:szCs w:val="22"/>
        </w:rPr>
        <w:t>the Audit Team</w:t>
      </w:r>
      <w:r w:rsidR="00E72BB7" w:rsidRPr="00EF4855">
        <w:rPr>
          <w:rFonts w:ascii="Arial" w:hAnsi="Arial" w:cs="Arial"/>
          <w:sz w:val="22"/>
          <w:szCs w:val="22"/>
        </w:rPr>
        <w:t xml:space="preserve"> by the PCSO Management within the period prescribed under the above-stated provision. </w:t>
      </w:r>
    </w:p>
    <w:p w:rsidR="00E72BB7" w:rsidRPr="00EF4855" w:rsidRDefault="00E72BB7" w:rsidP="007427AA">
      <w:pPr>
        <w:pStyle w:val="NoSpacing"/>
        <w:ind w:left="1440" w:hanging="720"/>
        <w:jc w:val="both"/>
        <w:rPr>
          <w:rFonts w:ascii="Arial" w:hAnsi="Arial" w:cs="Arial"/>
        </w:rPr>
      </w:pPr>
    </w:p>
    <w:p w:rsidR="00E72BB7" w:rsidRPr="00EF4855" w:rsidRDefault="00E72BB7" w:rsidP="00DA78B4">
      <w:pPr>
        <w:pStyle w:val="ListParagraph"/>
        <w:numPr>
          <w:ilvl w:val="1"/>
          <w:numId w:val="21"/>
        </w:numPr>
        <w:ind w:left="1440"/>
        <w:jc w:val="both"/>
        <w:rPr>
          <w:rFonts w:ascii="Arial" w:hAnsi="Arial" w:cs="Arial"/>
          <w:sz w:val="22"/>
          <w:szCs w:val="22"/>
        </w:rPr>
      </w:pPr>
      <w:r w:rsidRPr="004F6C55">
        <w:rPr>
          <w:rFonts w:ascii="Arial" w:hAnsi="Arial" w:cs="Arial"/>
          <w:sz w:val="22"/>
          <w:szCs w:val="22"/>
          <w:lang w:eastAsia="en-PH"/>
        </w:rPr>
        <w:lastRenderedPageBreak/>
        <w:t>R</w:t>
      </w:r>
      <w:r w:rsidRPr="00EF4855">
        <w:rPr>
          <w:rFonts w:ascii="Arial" w:hAnsi="Arial" w:cs="Arial"/>
          <w:sz w:val="22"/>
          <w:szCs w:val="22"/>
        </w:rPr>
        <w:t xml:space="preserve">eview of the agency’s GPB disclosed that this was reviewed and endorsed through the Gender </w:t>
      </w:r>
      <w:r w:rsidR="001C4F10" w:rsidRPr="00EF4855">
        <w:rPr>
          <w:rFonts w:ascii="Arial" w:hAnsi="Arial" w:cs="Arial"/>
          <w:sz w:val="22"/>
          <w:szCs w:val="22"/>
        </w:rPr>
        <w:t>Mainstreaming</w:t>
      </w:r>
      <w:r w:rsidRPr="00EF4855">
        <w:rPr>
          <w:rFonts w:ascii="Arial" w:hAnsi="Arial" w:cs="Arial"/>
          <w:sz w:val="22"/>
          <w:szCs w:val="22"/>
        </w:rPr>
        <w:t xml:space="preserve"> </w:t>
      </w:r>
      <w:r w:rsidR="001C4F10" w:rsidRPr="00EF4855">
        <w:rPr>
          <w:rFonts w:ascii="Arial" w:hAnsi="Arial" w:cs="Arial"/>
          <w:sz w:val="22"/>
          <w:szCs w:val="22"/>
        </w:rPr>
        <w:t>Monitoring</w:t>
      </w:r>
      <w:r w:rsidRPr="00EF4855">
        <w:rPr>
          <w:rFonts w:ascii="Arial" w:hAnsi="Arial" w:cs="Arial"/>
          <w:sz w:val="22"/>
          <w:szCs w:val="22"/>
        </w:rPr>
        <w:t xml:space="preserve"> System (GMMS) on September 24, 2018</w:t>
      </w:r>
      <w:r w:rsidR="007427AA">
        <w:rPr>
          <w:rFonts w:ascii="Arial" w:hAnsi="Arial" w:cs="Arial"/>
          <w:sz w:val="22"/>
          <w:szCs w:val="22"/>
        </w:rPr>
        <w:t>,</w:t>
      </w:r>
      <w:r w:rsidRPr="00EF4855">
        <w:rPr>
          <w:rFonts w:ascii="Arial" w:hAnsi="Arial" w:cs="Arial"/>
          <w:sz w:val="22"/>
          <w:szCs w:val="22"/>
        </w:rPr>
        <w:t xml:space="preserve"> but was  submitted to </w:t>
      </w:r>
      <w:r w:rsidR="007427AA">
        <w:rPr>
          <w:rFonts w:ascii="Arial" w:hAnsi="Arial" w:cs="Arial"/>
          <w:sz w:val="22"/>
          <w:szCs w:val="22"/>
        </w:rPr>
        <w:t>the Audit Team</w:t>
      </w:r>
      <w:r w:rsidRPr="00EF4855">
        <w:rPr>
          <w:rFonts w:ascii="Arial" w:hAnsi="Arial" w:cs="Arial"/>
          <w:sz w:val="22"/>
          <w:szCs w:val="22"/>
        </w:rPr>
        <w:t xml:space="preserve"> on March 28, 2019 only while the GAD AR was submitted on May 28, 2019.  For the past years, it has been the practice of Management to submit the said reports only when the COA requests for copy of the same, which was not in accordance with the above-cited regulation. </w:t>
      </w:r>
    </w:p>
    <w:p w:rsidR="00E72BB7" w:rsidRPr="00EF4855" w:rsidRDefault="00E72BB7" w:rsidP="004C39E3">
      <w:pPr>
        <w:pStyle w:val="NoSpacing"/>
        <w:ind w:left="840"/>
        <w:jc w:val="both"/>
        <w:rPr>
          <w:rFonts w:ascii="Arial" w:hAnsi="Arial" w:cs="Arial"/>
        </w:rPr>
      </w:pPr>
    </w:p>
    <w:p w:rsidR="00E72BB7" w:rsidRDefault="00E72BB7" w:rsidP="00DA78B4">
      <w:pPr>
        <w:pStyle w:val="ListParagraph"/>
        <w:numPr>
          <w:ilvl w:val="1"/>
          <w:numId w:val="21"/>
        </w:numPr>
        <w:ind w:left="1440"/>
        <w:jc w:val="both"/>
        <w:rPr>
          <w:rFonts w:ascii="Arial" w:hAnsi="Arial" w:cs="Arial"/>
          <w:sz w:val="22"/>
          <w:szCs w:val="22"/>
        </w:rPr>
      </w:pPr>
      <w:r w:rsidRPr="00EF4855">
        <w:rPr>
          <w:rFonts w:ascii="Arial" w:hAnsi="Arial" w:cs="Arial"/>
          <w:sz w:val="22"/>
          <w:szCs w:val="22"/>
        </w:rPr>
        <w:t xml:space="preserve">Due to the long delay of submission, </w:t>
      </w:r>
      <w:r w:rsidR="001A6348" w:rsidRPr="00EF4855">
        <w:rPr>
          <w:rFonts w:ascii="Arial" w:hAnsi="Arial" w:cs="Arial"/>
          <w:sz w:val="22"/>
          <w:szCs w:val="22"/>
        </w:rPr>
        <w:t xml:space="preserve">the Audit Team was </w:t>
      </w:r>
      <w:r w:rsidRPr="00EF4855">
        <w:rPr>
          <w:rFonts w:ascii="Arial" w:hAnsi="Arial" w:cs="Arial"/>
          <w:sz w:val="22"/>
          <w:szCs w:val="22"/>
        </w:rPr>
        <w:t xml:space="preserve">not able to determine whether the GAD funds were actually devoted/used for projects which are within the context of the agency’s mandate and approved/or recommended by the PCW.  </w:t>
      </w:r>
    </w:p>
    <w:p w:rsidR="00D872E3" w:rsidRPr="00D872E3" w:rsidRDefault="00D872E3" w:rsidP="001635A3">
      <w:pPr>
        <w:pStyle w:val="ListParagraph"/>
        <w:ind w:left="1440" w:hanging="720"/>
        <w:rPr>
          <w:rFonts w:ascii="Arial" w:hAnsi="Arial" w:cs="Arial"/>
          <w:sz w:val="22"/>
          <w:szCs w:val="22"/>
        </w:rPr>
      </w:pPr>
    </w:p>
    <w:p w:rsidR="0022683C" w:rsidRPr="00EF4855" w:rsidRDefault="00E72BB7" w:rsidP="00DA78B4">
      <w:pPr>
        <w:pStyle w:val="ListParagraph"/>
        <w:numPr>
          <w:ilvl w:val="1"/>
          <w:numId w:val="21"/>
        </w:numPr>
        <w:ind w:left="1440"/>
        <w:jc w:val="both"/>
        <w:rPr>
          <w:rFonts w:ascii="Arial" w:hAnsi="Arial" w:cs="Arial"/>
          <w:b/>
          <w:sz w:val="22"/>
          <w:szCs w:val="22"/>
        </w:rPr>
      </w:pPr>
      <w:r w:rsidRPr="006B018F">
        <w:rPr>
          <w:rFonts w:ascii="Arial" w:hAnsi="Arial" w:cs="Arial"/>
          <w:b/>
          <w:sz w:val="22"/>
          <w:szCs w:val="22"/>
        </w:rPr>
        <w:t>We</w:t>
      </w:r>
      <w:r w:rsidRPr="00EF4855">
        <w:rPr>
          <w:rFonts w:ascii="Arial" w:hAnsi="Arial" w:cs="Arial"/>
          <w:b/>
          <w:sz w:val="22"/>
          <w:szCs w:val="22"/>
        </w:rPr>
        <w:t xml:space="preserve"> recommend</w:t>
      </w:r>
      <w:r w:rsidR="00F428EC" w:rsidRPr="00EF4855">
        <w:rPr>
          <w:rFonts w:ascii="Arial" w:hAnsi="Arial" w:cs="Arial"/>
          <w:b/>
          <w:sz w:val="22"/>
          <w:szCs w:val="22"/>
        </w:rPr>
        <w:t>ed</w:t>
      </w:r>
      <w:r w:rsidRPr="00EF4855">
        <w:rPr>
          <w:rFonts w:ascii="Arial" w:hAnsi="Arial" w:cs="Arial"/>
          <w:b/>
          <w:sz w:val="22"/>
          <w:szCs w:val="22"/>
        </w:rPr>
        <w:t xml:space="preserve"> that Management direct the concerned official and employees to comply with COA Circular No. 2014-001 on the submission of the G</w:t>
      </w:r>
      <w:r w:rsidR="007427AA">
        <w:rPr>
          <w:rFonts w:ascii="Arial" w:hAnsi="Arial" w:cs="Arial"/>
          <w:b/>
          <w:sz w:val="22"/>
          <w:szCs w:val="22"/>
        </w:rPr>
        <w:t>PB</w:t>
      </w:r>
      <w:r w:rsidRPr="00EF4855">
        <w:rPr>
          <w:rFonts w:ascii="Arial" w:hAnsi="Arial" w:cs="Arial"/>
          <w:b/>
          <w:sz w:val="22"/>
          <w:szCs w:val="22"/>
        </w:rPr>
        <w:t xml:space="preserve"> as well as the GAD </w:t>
      </w:r>
      <w:r w:rsidR="007427AA">
        <w:rPr>
          <w:rFonts w:ascii="Arial" w:hAnsi="Arial" w:cs="Arial"/>
          <w:b/>
          <w:sz w:val="22"/>
          <w:szCs w:val="22"/>
        </w:rPr>
        <w:t>Accomplishment R</w:t>
      </w:r>
      <w:r w:rsidRPr="00EF4855">
        <w:rPr>
          <w:rFonts w:ascii="Arial" w:hAnsi="Arial" w:cs="Arial"/>
          <w:b/>
          <w:sz w:val="22"/>
          <w:szCs w:val="22"/>
        </w:rPr>
        <w:t>eport within the prescribed period.</w:t>
      </w:r>
    </w:p>
    <w:p w:rsidR="0022683C" w:rsidRPr="00EF4855" w:rsidRDefault="0022683C" w:rsidP="001635A3">
      <w:pPr>
        <w:pStyle w:val="ListParagraph"/>
        <w:ind w:left="1440" w:hanging="720"/>
        <w:rPr>
          <w:rFonts w:ascii="Arial" w:hAnsi="Arial" w:cs="Arial"/>
          <w:sz w:val="22"/>
          <w:szCs w:val="22"/>
        </w:rPr>
      </w:pPr>
    </w:p>
    <w:p w:rsidR="00B64B09" w:rsidRDefault="00542609" w:rsidP="00DA78B4">
      <w:pPr>
        <w:pStyle w:val="ListParagraph"/>
        <w:numPr>
          <w:ilvl w:val="1"/>
          <w:numId w:val="21"/>
        </w:numPr>
        <w:ind w:left="1440"/>
        <w:jc w:val="both"/>
        <w:rPr>
          <w:rFonts w:ascii="Arial" w:hAnsi="Arial" w:cs="Arial"/>
          <w:sz w:val="22"/>
          <w:szCs w:val="22"/>
        </w:rPr>
      </w:pPr>
      <w:r>
        <w:rPr>
          <w:rFonts w:ascii="Arial" w:hAnsi="Arial" w:cs="Arial"/>
          <w:sz w:val="22"/>
          <w:szCs w:val="22"/>
        </w:rPr>
        <w:t>Management informed</w:t>
      </w:r>
      <w:r w:rsidR="00E72BB7" w:rsidRPr="00EF4855">
        <w:rPr>
          <w:rFonts w:ascii="Arial" w:hAnsi="Arial" w:cs="Arial"/>
          <w:sz w:val="22"/>
          <w:szCs w:val="22"/>
        </w:rPr>
        <w:t xml:space="preserve"> that</w:t>
      </w:r>
      <w:r w:rsidR="00095BBD">
        <w:rPr>
          <w:rFonts w:ascii="Arial" w:hAnsi="Arial" w:cs="Arial"/>
          <w:sz w:val="22"/>
          <w:szCs w:val="22"/>
        </w:rPr>
        <w:t xml:space="preserve"> it is currently </w:t>
      </w:r>
      <w:r w:rsidR="00683461" w:rsidRPr="004F6C55">
        <w:rPr>
          <w:rFonts w:ascii="Arial" w:hAnsi="Arial" w:cs="Arial"/>
          <w:sz w:val="22"/>
          <w:szCs w:val="22"/>
        </w:rPr>
        <w:t xml:space="preserve">proposing the creation of a GAD focused Division to attend to reports and implementation of the agency’s GPB.  The passage of RA </w:t>
      </w:r>
      <w:r w:rsidR="007427AA">
        <w:rPr>
          <w:rFonts w:ascii="Arial" w:hAnsi="Arial" w:cs="Arial"/>
          <w:sz w:val="22"/>
          <w:szCs w:val="22"/>
        </w:rPr>
        <w:t xml:space="preserve">No. </w:t>
      </w:r>
      <w:r w:rsidR="00683461" w:rsidRPr="004F6C55">
        <w:rPr>
          <w:rFonts w:ascii="Arial" w:hAnsi="Arial" w:cs="Arial"/>
          <w:sz w:val="22"/>
          <w:szCs w:val="22"/>
        </w:rPr>
        <w:t>11223 will result in displacing employees directly handling IMAP-ASAP affairs.  Since the law directs that affected employees shall be retained by the agency, the creation of a Women and Development Monitoring and Evaluation Division for GAD attributed programs under the Charity Assistance Department or Office of the General Manager will be an option, subject to compliance with GCG Memorandum Circular No. 2015-04 which allows the agency to collapse and/or create units.</w:t>
      </w:r>
    </w:p>
    <w:p w:rsidR="005A4B18" w:rsidRPr="004F6C55" w:rsidRDefault="005A4B18" w:rsidP="004F6C55">
      <w:pPr>
        <w:rPr>
          <w:rFonts w:ascii="Arial" w:hAnsi="Arial" w:cs="Arial"/>
        </w:rPr>
      </w:pPr>
    </w:p>
    <w:p w:rsidR="005A4B18" w:rsidRDefault="005C6EC6" w:rsidP="005C6EC6">
      <w:pPr>
        <w:rPr>
          <w:rFonts w:ascii="Arial" w:hAnsi="Arial" w:cs="Arial"/>
          <w:b/>
        </w:rPr>
      </w:pPr>
      <w:r w:rsidRPr="005C6EC6">
        <w:rPr>
          <w:rFonts w:ascii="Arial" w:hAnsi="Arial" w:cs="Arial"/>
          <w:b/>
        </w:rPr>
        <w:t>COMPLIANCE WITH TAX LAWS</w:t>
      </w:r>
    </w:p>
    <w:p w:rsidR="005C6EC6" w:rsidRPr="004F6C55" w:rsidRDefault="005C6EC6" w:rsidP="00DA78B4">
      <w:pPr>
        <w:pStyle w:val="ListParagraph"/>
        <w:numPr>
          <w:ilvl w:val="0"/>
          <w:numId w:val="21"/>
        </w:numPr>
        <w:ind w:left="720" w:hanging="720"/>
        <w:jc w:val="both"/>
        <w:rPr>
          <w:rFonts w:ascii="Arial" w:hAnsi="Arial" w:cs="Arial"/>
          <w:b/>
        </w:rPr>
      </w:pPr>
      <w:r w:rsidRPr="004F6C55">
        <w:rPr>
          <w:rFonts w:ascii="Arial" w:hAnsi="Arial" w:cs="Arial"/>
          <w:b/>
          <w:sz w:val="22"/>
          <w:szCs w:val="22"/>
        </w:rPr>
        <w:t xml:space="preserve">Applicable taxes for draw allowances paid </w:t>
      </w:r>
      <w:r>
        <w:rPr>
          <w:rFonts w:ascii="Arial" w:hAnsi="Arial" w:cs="Arial"/>
          <w:b/>
          <w:sz w:val="22"/>
          <w:szCs w:val="22"/>
        </w:rPr>
        <w:t xml:space="preserve">by PCSO </w:t>
      </w:r>
      <w:r w:rsidRPr="004F6C55">
        <w:rPr>
          <w:rFonts w:ascii="Arial" w:hAnsi="Arial" w:cs="Arial"/>
          <w:b/>
          <w:sz w:val="22"/>
          <w:szCs w:val="22"/>
        </w:rPr>
        <w:t xml:space="preserve">to </w:t>
      </w:r>
      <w:r>
        <w:rPr>
          <w:rFonts w:ascii="Arial" w:hAnsi="Arial" w:cs="Arial"/>
          <w:b/>
          <w:sz w:val="22"/>
          <w:szCs w:val="22"/>
        </w:rPr>
        <w:t xml:space="preserve">its employees and </w:t>
      </w:r>
      <w:r w:rsidRPr="004F6C55">
        <w:rPr>
          <w:rFonts w:ascii="Arial" w:hAnsi="Arial" w:cs="Arial"/>
          <w:b/>
          <w:sz w:val="22"/>
          <w:szCs w:val="22"/>
        </w:rPr>
        <w:t xml:space="preserve">other individuals during CY 2018 in the total amount of P202.908 million were not withheld, in violation of the National Internal Revenue Code (NIRC) of the Philippines. </w:t>
      </w:r>
    </w:p>
    <w:p w:rsidR="005C6EC6" w:rsidRPr="00EF4855" w:rsidRDefault="005C6EC6" w:rsidP="005C6EC6">
      <w:pPr>
        <w:spacing w:after="0" w:line="240" w:lineRule="auto"/>
        <w:ind w:firstLine="720"/>
        <w:jc w:val="both"/>
        <w:rPr>
          <w:rFonts w:ascii="Arial" w:hAnsi="Arial" w:cs="Arial"/>
        </w:rPr>
      </w:pPr>
    </w:p>
    <w:p w:rsidR="005C6EC6" w:rsidRPr="00B64B09" w:rsidRDefault="005C6EC6" w:rsidP="00DA78B4">
      <w:pPr>
        <w:pStyle w:val="ListParagraph"/>
        <w:numPr>
          <w:ilvl w:val="1"/>
          <w:numId w:val="21"/>
        </w:numPr>
        <w:ind w:left="1440"/>
        <w:jc w:val="both"/>
        <w:rPr>
          <w:rFonts w:ascii="Arial" w:hAnsi="Arial" w:cs="Arial"/>
          <w:i/>
        </w:rPr>
      </w:pPr>
      <w:r w:rsidRPr="004F6C55">
        <w:rPr>
          <w:rFonts w:ascii="Arial" w:hAnsi="Arial" w:cs="Arial"/>
          <w:sz w:val="22"/>
          <w:szCs w:val="22"/>
        </w:rPr>
        <w:t>Section 23(A) of the NIRC of 1997, as amended by RA</w:t>
      </w:r>
      <w:r w:rsidR="007427AA">
        <w:rPr>
          <w:rFonts w:ascii="Arial" w:hAnsi="Arial" w:cs="Arial"/>
          <w:sz w:val="22"/>
          <w:szCs w:val="22"/>
        </w:rPr>
        <w:t xml:space="preserve"> No.</w:t>
      </w:r>
      <w:r w:rsidRPr="004F6C55">
        <w:rPr>
          <w:rFonts w:ascii="Arial" w:hAnsi="Arial" w:cs="Arial"/>
          <w:sz w:val="22"/>
          <w:szCs w:val="22"/>
        </w:rPr>
        <w:t xml:space="preserve"> 10963 states that “</w:t>
      </w:r>
      <w:r w:rsidRPr="004F6C55">
        <w:rPr>
          <w:rFonts w:ascii="Arial" w:hAnsi="Arial" w:cs="Arial"/>
          <w:i/>
          <w:sz w:val="22"/>
          <w:szCs w:val="22"/>
        </w:rPr>
        <w:t>a citizen of the Philippines residing therein is taxable on all income derived from sources within and without the Philippines.”</w:t>
      </w:r>
    </w:p>
    <w:p w:rsidR="005C6EC6" w:rsidRPr="00EF4855" w:rsidRDefault="005C6EC6" w:rsidP="005C6EC6">
      <w:pPr>
        <w:spacing w:after="0" w:line="240" w:lineRule="auto"/>
        <w:ind w:firstLine="720"/>
        <w:jc w:val="both"/>
        <w:rPr>
          <w:rFonts w:ascii="Arial" w:hAnsi="Arial" w:cs="Arial"/>
        </w:rPr>
      </w:pPr>
    </w:p>
    <w:p w:rsidR="005C6EC6" w:rsidRPr="00B64B09" w:rsidRDefault="005C6EC6" w:rsidP="00DA78B4">
      <w:pPr>
        <w:pStyle w:val="ListParagraph"/>
        <w:numPr>
          <w:ilvl w:val="1"/>
          <w:numId w:val="21"/>
        </w:numPr>
        <w:ind w:left="1440"/>
        <w:jc w:val="both"/>
        <w:rPr>
          <w:rFonts w:ascii="Arial" w:hAnsi="Arial" w:cs="Arial"/>
        </w:rPr>
      </w:pPr>
      <w:r w:rsidRPr="004F6C55">
        <w:rPr>
          <w:rFonts w:ascii="Arial" w:hAnsi="Arial" w:cs="Arial"/>
          <w:sz w:val="22"/>
          <w:szCs w:val="22"/>
        </w:rPr>
        <w:t>On June 20, 2014 Revenue Memorandum Order (RMO) No. 23-2014 was issued to clarify and consolidate the responsibilities of the public sector to withhold taxes on its transactions as a customer and as an employer. Under this RMO, all government offices including government owned or controlled corporations (GOCCs) are constituted as withholding agents for purposes of the creditable tax required to be withheld on the following:</w:t>
      </w:r>
    </w:p>
    <w:p w:rsidR="005C6EC6" w:rsidRPr="00EF4855" w:rsidRDefault="005C6EC6" w:rsidP="005C6EC6">
      <w:pPr>
        <w:spacing w:after="0" w:line="240" w:lineRule="auto"/>
        <w:ind w:firstLine="720"/>
        <w:jc w:val="both"/>
        <w:rPr>
          <w:rFonts w:ascii="Arial" w:hAnsi="Arial" w:cs="Arial"/>
        </w:rPr>
      </w:pPr>
    </w:p>
    <w:p w:rsidR="005C6EC6" w:rsidRPr="00EF4855" w:rsidRDefault="005C6EC6" w:rsidP="00DA78B4">
      <w:pPr>
        <w:numPr>
          <w:ilvl w:val="0"/>
          <w:numId w:val="9"/>
        </w:numPr>
        <w:spacing w:after="0" w:line="240" w:lineRule="auto"/>
        <w:ind w:left="1980" w:hanging="540"/>
        <w:jc w:val="both"/>
        <w:rPr>
          <w:rFonts w:ascii="Arial" w:hAnsi="Arial" w:cs="Arial"/>
        </w:rPr>
      </w:pPr>
      <w:r w:rsidRPr="00EF4855">
        <w:rPr>
          <w:rFonts w:ascii="Arial" w:hAnsi="Arial" w:cs="Arial"/>
        </w:rPr>
        <w:t>Withholding of creditable income tax</w:t>
      </w:r>
    </w:p>
    <w:p w:rsidR="005C6EC6" w:rsidRPr="00EF4855" w:rsidRDefault="005C6EC6" w:rsidP="00DA78B4">
      <w:pPr>
        <w:numPr>
          <w:ilvl w:val="0"/>
          <w:numId w:val="9"/>
        </w:numPr>
        <w:spacing w:after="0" w:line="240" w:lineRule="auto"/>
        <w:ind w:left="1980" w:hanging="540"/>
        <w:jc w:val="both"/>
        <w:rPr>
          <w:rFonts w:ascii="Arial" w:hAnsi="Arial" w:cs="Arial"/>
        </w:rPr>
      </w:pPr>
      <w:r w:rsidRPr="00EF4855">
        <w:rPr>
          <w:rFonts w:ascii="Arial" w:hAnsi="Arial" w:cs="Arial"/>
        </w:rPr>
        <w:t>Withholding tax on Government Money Payments (GMPs)</w:t>
      </w:r>
    </w:p>
    <w:p w:rsidR="005C6EC6" w:rsidRPr="00EF4855" w:rsidRDefault="005C6EC6" w:rsidP="00DA78B4">
      <w:pPr>
        <w:numPr>
          <w:ilvl w:val="0"/>
          <w:numId w:val="9"/>
        </w:numPr>
        <w:spacing w:after="0" w:line="240" w:lineRule="auto"/>
        <w:ind w:left="1980" w:hanging="540"/>
        <w:jc w:val="both"/>
        <w:rPr>
          <w:rFonts w:ascii="Arial" w:hAnsi="Arial" w:cs="Arial"/>
        </w:rPr>
      </w:pPr>
      <w:r w:rsidRPr="00EF4855">
        <w:rPr>
          <w:rFonts w:ascii="Arial" w:hAnsi="Arial" w:cs="Arial"/>
        </w:rPr>
        <w:lastRenderedPageBreak/>
        <w:t>Withholding tax for non-resident foreign contractors, subject to applicable tax treaty</w:t>
      </w:r>
    </w:p>
    <w:p w:rsidR="005C6EC6" w:rsidRPr="00EF4855" w:rsidRDefault="005C6EC6" w:rsidP="00DA78B4">
      <w:pPr>
        <w:numPr>
          <w:ilvl w:val="0"/>
          <w:numId w:val="9"/>
        </w:numPr>
        <w:spacing w:after="0" w:line="240" w:lineRule="auto"/>
        <w:ind w:left="1980" w:hanging="540"/>
        <w:jc w:val="both"/>
        <w:rPr>
          <w:rFonts w:ascii="Arial" w:hAnsi="Arial" w:cs="Arial"/>
        </w:rPr>
      </w:pPr>
      <w:r w:rsidRPr="00EF4855">
        <w:rPr>
          <w:rFonts w:ascii="Arial" w:hAnsi="Arial" w:cs="Arial"/>
        </w:rPr>
        <w:t>Other withholding taxes that may be mandated from time to time by the Bureau of Internal Revenue (BIR) in the implementation of the NIRC of 1997, as amended.</w:t>
      </w:r>
    </w:p>
    <w:p w:rsidR="005C6EC6" w:rsidRPr="00EF4855" w:rsidRDefault="005C6EC6" w:rsidP="005C6EC6">
      <w:pPr>
        <w:spacing w:after="0" w:line="240" w:lineRule="auto"/>
        <w:jc w:val="both"/>
        <w:rPr>
          <w:rFonts w:ascii="Arial" w:hAnsi="Arial" w:cs="Arial"/>
        </w:rPr>
      </w:pPr>
    </w:p>
    <w:p w:rsidR="005C6EC6" w:rsidRPr="00B64B09" w:rsidRDefault="005C6EC6" w:rsidP="00DA78B4">
      <w:pPr>
        <w:pStyle w:val="ListParagraph"/>
        <w:numPr>
          <w:ilvl w:val="1"/>
          <w:numId w:val="21"/>
        </w:numPr>
        <w:ind w:left="1440"/>
        <w:jc w:val="both"/>
        <w:rPr>
          <w:rFonts w:ascii="Arial" w:hAnsi="Arial" w:cs="Arial"/>
        </w:rPr>
      </w:pPr>
      <w:r w:rsidRPr="004F6C55">
        <w:rPr>
          <w:rFonts w:ascii="Arial" w:hAnsi="Arial" w:cs="Arial"/>
          <w:sz w:val="22"/>
          <w:szCs w:val="22"/>
        </w:rPr>
        <w:t>As an employer, government offices including GOCCs are likewise constituted as withholding agents for purposes of the creditable tax required to be withheld from compensation paid for services of its employees. Section 2(a) of Revenue Regulations (RR) No. 8-2018 dated January 25, 2018 defines compensation income as all remunerations for services performed by an employee for his employer under an employer-employee relationship. Thus, salaries, wages, emoluments and honoraria, allowances and other income of a similar nature constitute compensation income.</w:t>
      </w:r>
    </w:p>
    <w:p w:rsidR="005C6EC6" w:rsidRPr="00EF4855" w:rsidRDefault="005C6EC6" w:rsidP="005C6EC6">
      <w:pPr>
        <w:spacing w:after="0" w:line="240" w:lineRule="auto"/>
        <w:ind w:firstLine="720"/>
        <w:jc w:val="both"/>
        <w:rPr>
          <w:rFonts w:ascii="Arial" w:hAnsi="Arial" w:cs="Arial"/>
        </w:rPr>
      </w:pPr>
    </w:p>
    <w:p w:rsidR="005C6EC6" w:rsidRPr="00B64B09" w:rsidRDefault="005C6EC6" w:rsidP="00DA78B4">
      <w:pPr>
        <w:pStyle w:val="ListParagraph"/>
        <w:numPr>
          <w:ilvl w:val="1"/>
          <w:numId w:val="21"/>
        </w:numPr>
        <w:ind w:left="1440"/>
        <w:jc w:val="both"/>
        <w:rPr>
          <w:rFonts w:ascii="Arial" w:hAnsi="Arial" w:cs="Arial"/>
        </w:rPr>
      </w:pPr>
      <w:r w:rsidRPr="004F6C55">
        <w:rPr>
          <w:rFonts w:ascii="Arial" w:hAnsi="Arial" w:cs="Arial"/>
          <w:sz w:val="22"/>
          <w:szCs w:val="22"/>
        </w:rPr>
        <w:t>Section 251 of the NIRC of 1997, as amended by RA</w:t>
      </w:r>
      <w:r w:rsidR="00BE126E">
        <w:rPr>
          <w:rFonts w:ascii="Arial" w:hAnsi="Arial" w:cs="Arial"/>
          <w:sz w:val="22"/>
          <w:szCs w:val="22"/>
        </w:rPr>
        <w:t xml:space="preserve"> No.</w:t>
      </w:r>
      <w:r w:rsidRPr="004F6C55">
        <w:rPr>
          <w:rFonts w:ascii="Arial" w:hAnsi="Arial" w:cs="Arial"/>
          <w:sz w:val="22"/>
          <w:szCs w:val="22"/>
        </w:rPr>
        <w:t xml:space="preserve"> 10963, further provides that, </w:t>
      </w:r>
      <w:r w:rsidRPr="004F6C55">
        <w:rPr>
          <w:rFonts w:ascii="Arial" w:hAnsi="Arial" w:cs="Arial"/>
          <w:i/>
          <w:sz w:val="22"/>
          <w:szCs w:val="22"/>
        </w:rPr>
        <w:t>“any person required to withhold, account for, and remit any tax imposed by this Code or who willfully fails to withhold such tax, or account for and remit such tax, or aids or abets in any manner to evade any such tax or the payment thereof, shall, in addition to other penalties provided for under this Chapter, be liable upon conviction to a penalty equal to the total amount of the tax not withheld, or not accounted for and remitted.”</w:t>
      </w:r>
    </w:p>
    <w:p w:rsidR="005C6EC6" w:rsidRPr="00EF4855" w:rsidRDefault="005C6EC6" w:rsidP="005C6EC6">
      <w:pPr>
        <w:spacing w:after="0" w:line="240" w:lineRule="auto"/>
        <w:ind w:firstLine="720"/>
        <w:jc w:val="both"/>
        <w:rPr>
          <w:rFonts w:ascii="Arial" w:hAnsi="Arial" w:cs="Arial"/>
        </w:rPr>
      </w:pPr>
    </w:p>
    <w:p w:rsidR="005C6EC6" w:rsidRPr="00B64B09" w:rsidRDefault="005C6EC6" w:rsidP="001C3A9D">
      <w:pPr>
        <w:pStyle w:val="ListParagraph"/>
        <w:numPr>
          <w:ilvl w:val="1"/>
          <w:numId w:val="21"/>
        </w:numPr>
        <w:ind w:left="1440"/>
        <w:jc w:val="both"/>
        <w:rPr>
          <w:rFonts w:ascii="Arial" w:hAnsi="Arial" w:cs="Arial"/>
        </w:rPr>
      </w:pPr>
      <w:r w:rsidRPr="004F6C55">
        <w:rPr>
          <w:rFonts w:ascii="Arial" w:hAnsi="Arial" w:cs="Arial"/>
          <w:sz w:val="22"/>
          <w:szCs w:val="22"/>
        </w:rPr>
        <w:t xml:space="preserve">Verification, however, revealed that applicable taxes were not withheld by PCSO from the draw allowances paid during CY 2018 in the total amount of P202.908 million, broken down in Table </w:t>
      </w:r>
      <w:r w:rsidR="00542609">
        <w:rPr>
          <w:rFonts w:ascii="Arial" w:hAnsi="Arial" w:cs="Arial"/>
          <w:sz w:val="22"/>
          <w:szCs w:val="22"/>
        </w:rPr>
        <w:t>16</w:t>
      </w:r>
      <w:r w:rsidRPr="004F6C55">
        <w:rPr>
          <w:rFonts w:ascii="Arial" w:hAnsi="Arial" w:cs="Arial"/>
          <w:sz w:val="22"/>
          <w:szCs w:val="22"/>
        </w:rPr>
        <w:t>.</w:t>
      </w:r>
    </w:p>
    <w:p w:rsidR="005C6EC6" w:rsidRPr="004F6C55" w:rsidRDefault="005C6EC6" w:rsidP="005C6EC6">
      <w:pPr>
        <w:pStyle w:val="ListParagraph"/>
        <w:rPr>
          <w:rFonts w:ascii="Arial" w:hAnsi="Arial" w:cs="Arial"/>
          <w:sz w:val="22"/>
          <w:szCs w:val="22"/>
        </w:rPr>
      </w:pPr>
    </w:p>
    <w:p w:rsidR="005C6EC6" w:rsidRPr="004F6C55" w:rsidRDefault="005C6EC6" w:rsidP="00513646">
      <w:pPr>
        <w:pStyle w:val="ListParagraph"/>
        <w:tabs>
          <w:tab w:val="left" w:pos="1350"/>
        </w:tabs>
        <w:ind w:left="1350"/>
        <w:jc w:val="center"/>
        <w:rPr>
          <w:rFonts w:ascii="Arial" w:hAnsi="Arial" w:cs="Arial"/>
          <w:b/>
          <w:sz w:val="20"/>
          <w:szCs w:val="20"/>
        </w:rPr>
      </w:pPr>
      <w:r w:rsidRPr="00B64B09">
        <w:rPr>
          <w:rFonts w:ascii="Arial" w:hAnsi="Arial" w:cs="Arial"/>
          <w:b/>
          <w:bCs/>
          <w:sz w:val="20"/>
          <w:szCs w:val="20"/>
        </w:rPr>
        <w:t xml:space="preserve">Table </w:t>
      </w:r>
      <w:r w:rsidR="006632F2">
        <w:rPr>
          <w:rFonts w:ascii="Arial" w:hAnsi="Arial" w:cs="Arial"/>
          <w:b/>
          <w:bCs/>
          <w:sz w:val="20"/>
          <w:szCs w:val="20"/>
        </w:rPr>
        <w:t>16</w:t>
      </w:r>
      <w:r w:rsidRPr="004F6C55">
        <w:rPr>
          <w:rFonts w:ascii="Arial" w:hAnsi="Arial" w:cs="Arial"/>
          <w:b/>
          <w:bCs/>
          <w:sz w:val="20"/>
          <w:szCs w:val="20"/>
        </w:rPr>
        <w:t xml:space="preserve"> </w:t>
      </w:r>
      <w:r w:rsidRPr="00B64B09">
        <w:rPr>
          <w:rFonts w:ascii="Arial" w:hAnsi="Arial" w:cs="Arial"/>
          <w:b/>
          <w:bCs/>
          <w:sz w:val="20"/>
          <w:szCs w:val="20"/>
        </w:rPr>
        <w:t xml:space="preserve">– Draw Allowances paid </w:t>
      </w:r>
      <w:r w:rsidRPr="004F6C55">
        <w:rPr>
          <w:rFonts w:ascii="Arial" w:hAnsi="Arial" w:cs="Arial"/>
          <w:b/>
          <w:bCs/>
          <w:sz w:val="20"/>
          <w:szCs w:val="20"/>
        </w:rPr>
        <w:t>during CY 2018</w:t>
      </w:r>
      <w:r w:rsidR="00BE126E">
        <w:rPr>
          <w:rFonts w:ascii="Arial" w:hAnsi="Arial" w:cs="Arial"/>
          <w:b/>
          <w:bCs/>
          <w:sz w:val="20"/>
          <w:szCs w:val="20"/>
        </w:rPr>
        <w:t xml:space="preserve"> not subjected to Tax</w:t>
      </w:r>
    </w:p>
    <w:p w:rsidR="005C6EC6" w:rsidRPr="004F6C55" w:rsidRDefault="005C6EC6" w:rsidP="00BE126E">
      <w:pPr>
        <w:pStyle w:val="ListParagraph"/>
        <w:jc w:val="center"/>
        <w:rPr>
          <w:rFonts w:ascii="Arial" w:hAnsi="Arial" w:cs="Arial"/>
          <w:sz w:val="20"/>
          <w:szCs w:val="20"/>
        </w:rPr>
      </w:pPr>
    </w:p>
    <w:tbl>
      <w:tblPr>
        <w:tblW w:w="0" w:type="auto"/>
        <w:jc w:val="right"/>
        <w:tblLook w:val="04A0" w:firstRow="1" w:lastRow="0" w:firstColumn="1" w:lastColumn="0" w:noHBand="0" w:noVBand="1"/>
      </w:tblPr>
      <w:tblGrid>
        <w:gridCol w:w="5494"/>
        <w:gridCol w:w="419"/>
        <w:gridCol w:w="2205"/>
      </w:tblGrid>
      <w:tr w:rsidR="005C6EC6" w:rsidRPr="00312964" w:rsidTr="00BE126E">
        <w:trPr>
          <w:jc w:val="right"/>
        </w:trPr>
        <w:tc>
          <w:tcPr>
            <w:tcW w:w="5494" w:type="dxa"/>
            <w:tcBorders>
              <w:top w:val="single" w:sz="4" w:space="0" w:color="auto"/>
              <w:bottom w:val="single" w:sz="4" w:space="0" w:color="auto"/>
            </w:tcBorders>
            <w:shd w:val="clear" w:color="auto" w:fill="auto"/>
            <w:vAlign w:val="center"/>
          </w:tcPr>
          <w:p w:rsidR="005C6EC6" w:rsidRPr="00961C14" w:rsidRDefault="005C6EC6" w:rsidP="00D20AC9">
            <w:pPr>
              <w:spacing w:after="0" w:line="240" w:lineRule="auto"/>
              <w:jc w:val="center"/>
              <w:rPr>
                <w:rFonts w:ascii="Arial Narrow" w:hAnsi="Arial Narrow" w:cs="Arial"/>
              </w:rPr>
            </w:pPr>
          </w:p>
        </w:tc>
        <w:tc>
          <w:tcPr>
            <w:tcW w:w="419" w:type="dxa"/>
            <w:tcBorders>
              <w:top w:val="single" w:sz="4" w:space="0" w:color="auto"/>
              <w:bottom w:val="single" w:sz="4" w:space="0" w:color="auto"/>
            </w:tcBorders>
            <w:shd w:val="clear" w:color="auto" w:fill="auto"/>
          </w:tcPr>
          <w:p w:rsidR="005C6EC6" w:rsidRPr="00961C14" w:rsidRDefault="005C6EC6" w:rsidP="00D20AC9">
            <w:pPr>
              <w:spacing w:after="0" w:line="240" w:lineRule="auto"/>
              <w:jc w:val="center"/>
              <w:rPr>
                <w:rFonts w:ascii="Arial Narrow" w:hAnsi="Arial Narrow" w:cs="Arial"/>
                <w:b/>
              </w:rPr>
            </w:pPr>
          </w:p>
        </w:tc>
        <w:tc>
          <w:tcPr>
            <w:tcW w:w="2205" w:type="dxa"/>
            <w:tcBorders>
              <w:top w:val="single" w:sz="4" w:space="0" w:color="auto"/>
              <w:bottom w:val="single" w:sz="4" w:space="0" w:color="auto"/>
            </w:tcBorders>
            <w:shd w:val="clear" w:color="auto" w:fill="auto"/>
            <w:vAlign w:val="center"/>
          </w:tcPr>
          <w:p w:rsidR="005C6EC6" w:rsidRPr="00961C14" w:rsidRDefault="005C6EC6" w:rsidP="00BE126E">
            <w:pPr>
              <w:spacing w:after="0" w:line="240" w:lineRule="auto"/>
              <w:ind w:right="-90"/>
              <w:jc w:val="right"/>
              <w:rPr>
                <w:rFonts w:ascii="Arial Narrow" w:hAnsi="Arial Narrow" w:cs="Arial"/>
                <w:b/>
              </w:rPr>
            </w:pPr>
            <w:r w:rsidRPr="00961C14">
              <w:rPr>
                <w:rFonts w:ascii="Arial Narrow" w:hAnsi="Arial Narrow" w:cs="Arial"/>
                <w:b/>
              </w:rPr>
              <w:t>Amount</w:t>
            </w:r>
          </w:p>
        </w:tc>
      </w:tr>
      <w:tr w:rsidR="005C6EC6" w:rsidRPr="00312964" w:rsidTr="00BE126E">
        <w:trPr>
          <w:jc w:val="right"/>
        </w:trPr>
        <w:tc>
          <w:tcPr>
            <w:tcW w:w="5494" w:type="dxa"/>
            <w:tcBorders>
              <w:top w:val="single" w:sz="4" w:space="0" w:color="auto"/>
            </w:tcBorders>
            <w:shd w:val="clear" w:color="auto" w:fill="auto"/>
            <w:vAlign w:val="center"/>
          </w:tcPr>
          <w:p w:rsidR="005C6EC6" w:rsidRPr="00961C14" w:rsidRDefault="005C6EC6" w:rsidP="00BE126E">
            <w:pPr>
              <w:spacing w:after="0" w:line="240" w:lineRule="auto"/>
              <w:ind w:hanging="95"/>
              <w:rPr>
                <w:rFonts w:ascii="Arial Narrow" w:hAnsi="Arial Narrow" w:cs="Arial"/>
              </w:rPr>
            </w:pPr>
            <w:r w:rsidRPr="00961C14">
              <w:rPr>
                <w:rFonts w:ascii="Arial Narrow" w:hAnsi="Arial Narrow" w:cs="Arial"/>
              </w:rPr>
              <w:t>PCSO officials and employees</w:t>
            </w:r>
          </w:p>
        </w:tc>
        <w:tc>
          <w:tcPr>
            <w:tcW w:w="419" w:type="dxa"/>
            <w:tcBorders>
              <w:top w:val="single" w:sz="4" w:space="0" w:color="auto"/>
            </w:tcBorders>
            <w:shd w:val="clear" w:color="auto" w:fill="auto"/>
          </w:tcPr>
          <w:p w:rsidR="005C6EC6" w:rsidRPr="00961C14" w:rsidRDefault="005C6EC6" w:rsidP="00D20AC9">
            <w:pPr>
              <w:spacing w:after="0" w:line="240" w:lineRule="auto"/>
              <w:jc w:val="center"/>
              <w:rPr>
                <w:rFonts w:ascii="Arial Narrow" w:hAnsi="Arial Narrow" w:cs="Arial"/>
              </w:rPr>
            </w:pPr>
            <w:r w:rsidRPr="00961C14">
              <w:rPr>
                <w:rFonts w:ascii="Arial Narrow" w:hAnsi="Arial Narrow" w:cs="Arial"/>
              </w:rPr>
              <w:t>P</w:t>
            </w:r>
          </w:p>
        </w:tc>
        <w:tc>
          <w:tcPr>
            <w:tcW w:w="2205" w:type="dxa"/>
            <w:tcBorders>
              <w:top w:val="single" w:sz="4" w:space="0" w:color="auto"/>
            </w:tcBorders>
            <w:shd w:val="clear" w:color="auto" w:fill="auto"/>
            <w:vAlign w:val="center"/>
          </w:tcPr>
          <w:p w:rsidR="005C6EC6" w:rsidRPr="00961C14" w:rsidRDefault="005C6EC6" w:rsidP="00BE126E">
            <w:pPr>
              <w:spacing w:after="0" w:line="240" w:lineRule="auto"/>
              <w:ind w:right="-90"/>
              <w:jc w:val="right"/>
              <w:rPr>
                <w:rFonts w:ascii="Arial Narrow" w:hAnsi="Arial Narrow" w:cs="Arial"/>
              </w:rPr>
            </w:pPr>
            <w:r w:rsidRPr="00961C14">
              <w:rPr>
                <w:rFonts w:ascii="Arial Narrow" w:hAnsi="Arial Narrow" w:cs="Arial"/>
              </w:rPr>
              <w:t>191,609,225</w:t>
            </w:r>
          </w:p>
        </w:tc>
      </w:tr>
      <w:tr w:rsidR="005C6EC6" w:rsidRPr="00312964" w:rsidTr="00BE126E">
        <w:trPr>
          <w:jc w:val="right"/>
        </w:trPr>
        <w:tc>
          <w:tcPr>
            <w:tcW w:w="5494" w:type="dxa"/>
            <w:shd w:val="clear" w:color="auto" w:fill="auto"/>
            <w:vAlign w:val="center"/>
          </w:tcPr>
          <w:p w:rsidR="005C6EC6" w:rsidRPr="00961C14" w:rsidRDefault="005C6EC6" w:rsidP="00BE126E">
            <w:pPr>
              <w:spacing w:after="0" w:line="240" w:lineRule="auto"/>
              <w:ind w:hanging="95"/>
              <w:rPr>
                <w:rFonts w:ascii="Arial Narrow" w:hAnsi="Arial Narrow" w:cs="Arial"/>
              </w:rPr>
            </w:pPr>
            <w:r w:rsidRPr="00961C14">
              <w:rPr>
                <w:rFonts w:ascii="Arial Narrow" w:hAnsi="Arial Narrow" w:cs="Arial"/>
              </w:rPr>
              <w:t>PCSO’s Confidential Agents and Consultants</w:t>
            </w:r>
          </w:p>
        </w:tc>
        <w:tc>
          <w:tcPr>
            <w:tcW w:w="419" w:type="dxa"/>
            <w:shd w:val="clear" w:color="auto" w:fill="auto"/>
          </w:tcPr>
          <w:p w:rsidR="005C6EC6" w:rsidRPr="00961C14" w:rsidRDefault="005C6EC6" w:rsidP="00D20AC9">
            <w:pPr>
              <w:spacing w:after="0" w:line="240" w:lineRule="auto"/>
              <w:jc w:val="center"/>
              <w:rPr>
                <w:rFonts w:ascii="Arial Narrow" w:hAnsi="Arial Narrow" w:cs="Arial"/>
              </w:rPr>
            </w:pPr>
          </w:p>
        </w:tc>
        <w:tc>
          <w:tcPr>
            <w:tcW w:w="2205" w:type="dxa"/>
            <w:shd w:val="clear" w:color="auto" w:fill="auto"/>
            <w:vAlign w:val="center"/>
          </w:tcPr>
          <w:p w:rsidR="005C6EC6" w:rsidRPr="00961C14" w:rsidRDefault="005C6EC6" w:rsidP="00BE126E">
            <w:pPr>
              <w:spacing w:after="0" w:line="240" w:lineRule="auto"/>
              <w:ind w:right="-90"/>
              <w:jc w:val="right"/>
              <w:rPr>
                <w:rFonts w:ascii="Arial Narrow" w:hAnsi="Arial Narrow" w:cs="Arial"/>
              </w:rPr>
            </w:pPr>
            <w:r w:rsidRPr="00961C14">
              <w:rPr>
                <w:rFonts w:ascii="Arial Narrow" w:hAnsi="Arial Narrow" w:cs="Arial"/>
              </w:rPr>
              <w:t>7,800,150</w:t>
            </w:r>
          </w:p>
        </w:tc>
      </w:tr>
      <w:tr w:rsidR="005C6EC6" w:rsidRPr="00312964" w:rsidTr="00BE126E">
        <w:trPr>
          <w:jc w:val="right"/>
        </w:trPr>
        <w:tc>
          <w:tcPr>
            <w:tcW w:w="5494" w:type="dxa"/>
            <w:shd w:val="clear" w:color="auto" w:fill="auto"/>
            <w:vAlign w:val="center"/>
          </w:tcPr>
          <w:p w:rsidR="005C6EC6" w:rsidRPr="00961C14" w:rsidRDefault="005C6EC6" w:rsidP="00BE126E">
            <w:pPr>
              <w:spacing w:after="0" w:line="240" w:lineRule="auto"/>
              <w:ind w:hanging="95"/>
              <w:rPr>
                <w:rFonts w:ascii="Arial Narrow" w:hAnsi="Arial Narrow" w:cs="Arial"/>
              </w:rPr>
            </w:pPr>
            <w:r w:rsidRPr="00961C14">
              <w:rPr>
                <w:rFonts w:ascii="Arial Narrow" w:hAnsi="Arial Narrow" w:cs="Arial"/>
              </w:rPr>
              <w:t xml:space="preserve">Judges for the morning, afternoon and evening draws </w:t>
            </w:r>
          </w:p>
        </w:tc>
        <w:tc>
          <w:tcPr>
            <w:tcW w:w="419" w:type="dxa"/>
            <w:shd w:val="clear" w:color="auto" w:fill="auto"/>
          </w:tcPr>
          <w:p w:rsidR="005C6EC6" w:rsidRPr="00961C14" w:rsidRDefault="005C6EC6" w:rsidP="00D20AC9">
            <w:pPr>
              <w:spacing w:after="0" w:line="240" w:lineRule="auto"/>
              <w:jc w:val="center"/>
              <w:rPr>
                <w:rFonts w:ascii="Arial Narrow" w:hAnsi="Arial Narrow" w:cs="Arial"/>
              </w:rPr>
            </w:pPr>
          </w:p>
        </w:tc>
        <w:tc>
          <w:tcPr>
            <w:tcW w:w="2205" w:type="dxa"/>
            <w:shd w:val="clear" w:color="auto" w:fill="auto"/>
          </w:tcPr>
          <w:p w:rsidR="005C6EC6" w:rsidRPr="00961C14" w:rsidRDefault="005C6EC6" w:rsidP="00BE126E">
            <w:pPr>
              <w:spacing w:after="0" w:line="240" w:lineRule="auto"/>
              <w:ind w:right="-90"/>
              <w:jc w:val="right"/>
              <w:rPr>
                <w:rFonts w:ascii="Arial Narrow" w:hAnsi="Arial Narrow" w:cs="Arial"/>
              </w:rPr>
            </w:pPr>
            <w:r w:rsidRPr="00961C14">
              <w:rPr>
                <w:rFonts w:ascii="Arial Narrow" w:hAnsi="Arial Narrow" w:cs="Arial"/>
              </w:rPr>
              <w:t>2,442,200</w:t>
            </w:r>
          </w:p>
        </w:tc>
      </w:tr>
      <w:tr w:rsidR="005C6EC6" w:rsidRPr="00312964" w:rsidTr="00BE126E">
        <w:trPr>
          <w:jc w:val="right"/>
        </w:trPr>
        <w:tc>
          <w:tcPr>
            <w:tcW w:w="5494" w:type="dxa"/>
            <w:tcBorders>
              <w:bottom w:val="single" w:sz="4" w:space="0" w:color="auto"/>
            </w:tcBorders>
            <w:shd w:val="clear" w:color="auto" w:fill="auto"/>
            <w:vAlign w:val="center"/>
          </w:tcPr>
          <w:p w:rsidR="005C6EC6" w:rsidRPr="00961C14" w:rsidRDefault="005C6EC6" w:rsidP="00BE126E">
            <w:pPr>
              <w:spacing w:after="0" w:line="240" w:lineRule="auto"/>
              <w:ind w:hanging="95"/>
              <w:rPr>
                <w:rFonts w:ascii="Arial Narrow" w:hAnsi="Arial Narrow" w:cs="Arial"/>
              </w:rPr>
            </w:pPr>
            <w:r w:rsidRPr="00961C14">
              <w:rPr>
                <w:rFonts w:ascii="Arial Narrow" w:hAnsi="Arial Narrow" w:cs="Arial"/>
              </w:rPr>
              <w:t>Representatives from other Government Agencies</w:t>
            </w:r>
          </w:p>
        </w:tc>
        <w:tc>
          <w:tcPr>
            <w:tcW w:w="419" w:type="dxa"/>
            <w:tcBorders>
              <w:bottom w:val="single" w:sz="4" w:space="0" w:color="auto"/>
            </w:tcBorders>
            <w:shd w:val="clear" w:color="auto" w:fill="auto"/>
          </w:tcPr>
          <w:p w:rsidR="005C6EC6" w:rsidRPr="00961C14" w:rsidRDefault="005C6EC6" w:rsidP="00D20AC9">
            <w:pPr>
              <w:spacing w:after="0" w:line="240" w:lineRule="auto"/>
              <w:jc w:val="center"/>
              <w:rPr>
                <w:rFonts w:ascii="Arial Narrow" w:hAnsi="Arial Narrow" w:cs="Arial"/>
              </w:rPr>
            </w:pPr>
          </w:p>
        </w:tc>
        <w:tc>
          <w:tcPr>
            <w:tcW w:w="2205" w:type="dxa"/>
            <w:tcBorders>
              <w:bottom w:val="single" w:sz="4" w:space="0" w:color="auto"/>
            </w:tcBorders>
            <w:shd w:val="clear" w:color="auto" w:fill="auto"/>
            <w:vAlign w:val="center"/>
          </w:tcPr>
          <w:p w:rsidR="005C6EC6" w:rsidRPr="00961C14" w:rsidRDefault="005C6EC6" w:rsidP="00BE126E">
            <w:pPr>
              <w:spacing w:after="0" w:line="240" w:lineRule="auto"/>
              <w:ind w:right="-90"/>
              <w:jc w:val="right"/>
              <w:rPr>
                <w:rFonts w:ascii="Arial Narrow" w:hAnsi="Arial Narrow" w:cs="Arial"/>
              </w:rPr>
            </w:pPr>
            <w:r w:rsidRPr="00961C14">
              <w:rPr>
                <w:rFonts w:ascii="Arial Narrow" w:hAnsi="Arial Narrow" w:cs="Arial"/>
              </w:rPr>
              <w:t>1,056,900</w:t>
            </w:r>
          </w:p>
        </w:tc>
      </w:tr>
      <w:tr w:rsidR="005C6EC6" w:rsidRPr="00312964" w:rsidTr="00BE126E">
        <w:trPr>
          <w:jc w:val="right"/>
        </w:trPr>
        <w:tc>
          <w:tcPr>
            <w:tcW w:w="5494" w:type="dxa"/>
            <w:tcBorders>
              <w:top w:val="single" w:sz="4" w:space="0" w:color="auto"/>
              <w:bottom w:val="double" w:sz="4" w:space="0" w:color="auto"/>
            </w:tcBorders>
            <w:shd w:val="clear" w:color="auto" w:fill="auto"/>
            <w:vAlign w:val="center"/>
          </w:tcPr>
          <w:p w:rsidR="005C6EC6" w:rsidRPr="00961C14" w:rsidRDefault="005C6EC6" w:rsidP="00BE126E">
            <w:pPr>
              <w:spacing w:after="0" w:line="240" w:lineRule="auto"/>
              <w:ind w:hanging="95"/>
              <w:rPr>
                <w:rFonts w:ascii="Arial Narrow" w:hAnsi="Arial Narrow" w:cs="Arial"/>
                <w:b/>
              </w:rPr>
            </w:pPr>
            <w:r w:rsidRPr="00961C14">
              <w:rPr>
                <w:rFonts w:ascii="Arial Narrow" w:hAnsi="Arial Narrow" w:cs="Arial"/>
                <w:b/>
              </w:rPr>
              <w:t>Total</w:t>
            </w:r>
          </w:p>
        </w:tc>
        <w:tc>
          <w:tcPr>
            <w:tcW w:w="419" w:type="dxa"/>
            <w:tcBorders>
              <w:top w:val="single" w:sz="4" w:space="0" w:color="auto"/>
              <w:bottom w:val="double" w:sz="4" w:space="0" w:color="auto"/>
            </w:tcBorders>
            <w:shd w:val="clear" w:color="auto" w:fill="auto"/>
          </w:tcPr>
          <w:p w:rsidR="005C6EC6" w:rsidRPr="00961C14" w:rsidRDefault="005C6EC6" w:rsidP="00D20AC9">
            <w:pPr>
              <w:spacing w:after="0" w:line="240" w:lineRule="auto"/>
              <w:jc w:val="center"/>
              <w:rPr>
                <w:rFonts w:ascii="Arial Narrow" w:hAnsi="Arial Narrow" w:cs="Arial"/>
                <w:b/>
              </w:rPr>
            </w:pPr>
            <w:r w:rsidRPr="00961C14">
              <w:rPr>
                <w:rFonts w:ascii="Arial Narrow" w:hAnsi="Arial Narrow" w:cs="Arial"/>
                <w:b/>
              </w:rPr>
              <w:t>P</w:t>
            </w:r>
          </w:p>
        </w:tc>
        <w:tc>
          <w:tcPr>
            <w:tcW w:w="2205" w:type="dxa"/>
            <w:tcBorders>
              <w:top w:val="single" w:sz="4" w:space="0" w:color="auto"/>
              <w:bottom w:val="double" w:sz="4" w:space="0" w:color="auto"/>
            </w:tcBorders>
            <w:shd w:val="clear" w:color="auto" w:fill="auto"/>
            <w:vAlign w:val="center"/>
          </w:tcPr>
          <w:p w:rsidR="005C6EC6" w:rsidRPr="00961C14" w:rsidRDefault="005C6EC6" w:rsidP="00BE126E">
            <w:pPr>
              <w:spacing w:after="0" w:line="240" w:lineRule="auto"/>
              <w:ind w:right="-90"/>
              <w:jc w:val="right"/>
              <w:rPr>
                <w:rFonts w:ascii="Arial Narrow" w:hAnsi="Arial Narrow" w:cs="Arial"/>
                <w:b/>
              </w:rPr>
            </w:pPr>
            <w:r w:rsidRPr="00961C14">
              <w:rPr>
                <w:rFonts w:ascii="Arial Narrow" w:hAnsi="Arial Narrow" w:cs="Arial"/>
                <w:b/>
              </w:rPr>
              <w:t>202,908,475</w:t>
            </w:r>
          </w:p>
        </w:tc>
      </w:tr>
    </w:tbl>
    <w:p w:rsidR="005C6EC6" w:rsidRPr="00EF4855" w:rsidRDefault="005C6EC6" w:rsidP="005C6EC6">
      <w:pPr>
        <w:spacing w:after="0" w:line="240" w:lineRule="auto"/>
        <w:ind w:firstLine="720"/>
        <w:jc w:val="both"/>
        <w:rPr>
          <w:rFonts w:ascii="Arial" w:hAnsi="Arial" w:cs="Arial"/>
        </w:rPr>
      </w:pPr>
    </w:p>
    <w:p w:rsidR="00D20AC9" w:rsidRPr="004F367C" w:rsidRDefault="004F367C" w:rsidP="00DA78B4">
      <w:pPr>
        <w:pStyle w:val="ListParagraph"/>
        <w:numPr>
          <w:ilvl w:val="1"/>
          <w:numId w:val="21"/>
        </w:numPr>
        <w:ind w:left="1260" w:hanging="630"/>
        <w:jc w:val="both"/>
        <w:rPr>
          <w:rFonts w:ascii="Arial" w:hAnsi="Arial" w:cs="Arial"/>
          <w:sz w:val="22"/>
          <w:szCs w:val="22"/>
        </w:rPr>
      </w:pPr>
      <w:r w:rsidRPr="004F367C">
        <w:rPr>
          <w:rFonts w:ascii="Arial" w:hAnsi="Arial" w:cs="Arial"/>
          <w:sz w:val="22"/>
          <w:szCs w:val="22"/>
        </w:rPr>
        <w:t>S</w:t>
      </w:r>
      <w:r w:rsidR="00D20AC9" w:rsidRPr="004F367C">
        <w:rPr>
          <w:rFonts w:ascii="Arial" w:hAnsi="Arial" w:cs="Arial"/>
          <w:sz w:val="22"/>
          <w:szCs w:val="22"/>
        </w:rPr>
        <w:t>imilar observation</w:t>
      </w:r>
      <w:r w:rsidR="00542609">
        <w:rPr>
          <w:rFonts w:ascii="Arial" w:hAnsi="Arial" w:cs="Arial"/>
          <w:sz w:val="22"/>
          <w:szCs w:val="22"/>
        </w:rPr>
        <w:t>s were</w:t>
      </w:r>
      <w:r w:rsidR="00D20AC9" w:rsidRPr="004F367C">
        <w:rPr>
          <w:rFonts w:ascii="Arial" w:hAnsi="Arial" w:cs="Arial"/>
          <w:sz w:val="22"/>
          <w:szCs w:val="22"/>
        </w:rPr>
        <w:t xml:space="preserve"> </w:t>
      </w:r>
      <w:r w:rsidRPr="004F367C">
        <w:rPr>
          <w:rFonts w:ascii="Arial" w:hAnsi="Arial" w:cs="Arial"/>
          <w:sz w:val="22"/>
          <w:szCs w:val="22"/>
        </w:rPr>
        <w:t>noted</w:t>
      </w:r>
      <w:r w:rsidR="00542609">
        <w:rPr>
          <w:rFonts w:ascii="Arial" w:hAnsi="Arial" w:cs="Arial"/>
          <w:sz w:val="22"/>
          <w:szCs w:val="22"/>
        </w:rPr>
        <w:t xml:space="preserve"> </w:t>
      </w:r>
      <w:r w:rsidRPr="004F367C">
        <w:rPr>
          <w:rFonts w:ascii="Arial" w:hAnsi="Arial" w:cs="Arial"/>
          <w:sz w:val="22"/>
          <w:szCs w:val="22"/>
        </w:rPr>
        <w:t>for</w:t>
      </w:r>
      <w:r w:rsidR="00872C79">
        <w:rPr>
          <w:rFonts w:ascii="Arial" w:hAnsi="Arial" w:cs="Arial"/>
          <w:sz w:val="22"/>
          <w:szCs w:val="22"/>
        </w:rPr>
        <w:t xml:space="preserve"> </w:t>
      </w:r>
      <w:r w:rsidR="00542609">
        <w:rPr>
          <w:rFonts w:ascii="Arial" w:hAnsi="Arial" w:cs="Arial"/>
          <w:sz w:val="22"/>
          <w:szCs w:val="22"/>
        </w:rPr>
        <w:t xml:space="preserve">the </w:t>
      </w:r>
      <w:r w:rsidR="00872C79">
        <w:rPr>
          <w:rFonts w:ascii="Arial" w:hAnsi="Arial" w:cs="Arial"/>
          <w:sz w:val="22"/>
          <w:szCs w:val="22"/>
        </w:rPr>
        <w:t>draw allowances paid</w:t>
      </w:r>
      <w:r w:rsidR="00542609">
        <w:rPr>
          <w:rFonts w:ascii="Arial" w:hAnsi="Arial" w:cs="Arial"/>
          <w:sz w:val="22"/>
          <w:szCs w:val="22"/>
        </w:rPr>
        <w:t xml:space="preserve"> by </w:t>
      </w:r>
      <w:r w:rsidR="00D872E3">
        <w:rPr>
          <w:rFonts w:ascii="Arial" w:hAnsi="Arial" w:cs="Arial"/>
          <w:sz w:val="22"/>
          <w:szCs w:val="22"/>
        </w:rPr>
        <w:t>the PCSO</w:t>
      </w:r>
      <w:r w:rsidR="00542609">
        <w:rPr>
          <w:rFonts w:ascii="Arial" w:hAnsi="Arial" w:cs="Arial"/>
          <w:sz w:val="22"/>
          <w:szCs w:val="22"/>
        </w:rPr>
        <w:t xml:space="preserve"> </w:t>
      </w:r>
      <w:r w:rsidR="00D20AC9" w:rsidRPr="004F367C">
        <w:rPr>
          <w:rFonts w:ascii="Arial" w:hAnsi="Arial" w:cs="Arial"/>
          <w:sz w:val="22"/>
          <w:szCs w:val="22"/>
        </w:rPr>
        <w:t xml:space="preserve">Palawan, Marinduque, </w:t>
      </w:r>
      <w:r w:rsidRPr="004F367C">
        <w:rPr>
          <w:rFonts w:ascii="Arial" w:hAnsi="Arial" w:cs="Arial"/>
          <w:sz w:val="22"/>
          <w:szCs w:val="22"/>
        </w:rPr>
        <w:t>Surigao Del Norte</w:t>
      </w:r>
      <w:r w:rsidR="00542609">
        <w:rPr>
          <w:rFonts w:ascii="Arial" w:hAnsi="Arial" w:cs="Arial"/>
          <w:sz w:val="22"/>
          <w:szCs w:val="22"/>
        </w:rPr>
        <w:t>, and Agusan Del Norte branches by the respective Audit Team Leader</w:t>
      </w:r>
      <w:r w:rsidR="00D872E3">
        <w:rPr>
          <w:rFonts w:ascii="Arial" w:hAnsi="Arial" w:cs="Arial"/>
          <w:sz w:val="22"/>
          <w:szCs w:val="22"/>
        </w:rPr>
        <w:t>s</w:t>
      </w:r>
      <w:r w:rsidR="00542609">
        <w:rPr>
          <w:rFonts w:ascii="Arial" w:hAnsi="Arial" w:cs="Arial"/>
          <w:sz w:val="22"/>
          <w:szCs w:val="22"/>
        </w:rPr>
        <w:t>.</w:t>
      </w:r>
    </w:p>
    <w:p w:rsidR="00961C14" w:rsidRPr="004F367C" w:rsidRDefault="00961C14" w:rsidP="00D20AC9">
      <w:pPr>
        <w:pStyle w:val="ListParagraph"/>
        <w:ind w:left="1170"/>
        <w:jc w:val="both"/>
        <w:rPr>
          <w:rFonts w:ascii="Arial" w:hAnsi="Arial" w:cs="Arial"/>
          <w:sz w:val="22"/>
          <w:szCs w:val="22"/>
        </w:rPr>
      </w:pPr>
    </w:p>
    <w:p w:rsidR="005C6EC6" w:rsidRPr="00B64B09" w:rsidRDefault="005C6EC6" w:rsidP="00DA78B4">
      <w:pPr>
        <w:pStyle w:val="ListParagraph"/>
        <w:numPr>
          <w:ilvl w:val="1"/>
          <w:numId w:val="21"/>
        </w:numPr>
        <w:ind w:left="1260" w:hanging="630"/>
        <w:jc w:val="both"/>
        <w:rPr>
          <w:rFonts w:ascii="Arial" w:hAnsi="Arial" w:cs="Arial"/>
        </w:rPr>
      </w:pPr>
      <w:r w:rsidRPr="004F6C55">
        <w:rPr>
          <w:rFonts w:ascii="Arial" w:hAnsi="Arial" w:cs="Arial"/>
          <w:sz w:val="22"/>
          <w:szCs w:val="22"/>
        </w:rPr>
        <w:t>PCSO’s inability to withhold taxes from the said draw allowances and remit the same to the BIR deprived the government of the opportunity to generate additional revenue to fund its priority programs and projects, notwithstanding the fact that such was a clear violation of the above-stated BIR regulations subject to the penalties provided therein.</w:t>
      </w:r>
    </w:p>
    <w:p w:rsidR="005C6EC6" w:rsidRPr="00EF4855" w:rsidRDefault="005C6EC6" w:rsidP="005C6EC6">
      <w:pPr>
        <w:spacing w:after="0" w:line="240" w:lineRule="auto"/>
        <w:ind w:firstLine="720"/>
        <w:jc w:val="both"/>
        <w:rPr>
          <w:rFonts w:ascii="Arial" w:hAnsi="Arial" w:cs="Arial"/>
        </w:rPr>
      </w:pPr>
    </w:p>
    <w:p w:rsidR="005C6EC6" w:rsidRPr="00B64B09" w:rsidRDefault="005C6EC6" w:rsidP="00DA78B4">
      <w:pPr>
        <w:pStyle w:val="ListParagraph"/>
        <w:numPr>
          <w:ilvl w:val="1"/>
          <w:numId w:val="21"/>
        </w:numPr>
        <w:ind w:left="1260" w:hanging="630"/>
        <w:jc w:val="both"/>
        <w:rPr>
          <w:rFonts w:ascii="Arial" w:hAnsi="Arial" w:cs="Arial"/>
          <w:b/>
        </w:rPr>
      </w:pPr>
      <w:r w:rsidRPr="006B018F">
        <w:rPr>
          <w:rFonts w:ascii="Arial" w:hAnsi="Arial" w:cs="Arial"/>
          <w:b/>
          <w:sz w:val="22"/>
          <w:szCs w:val="22"/>
        </w:rPr>
        <w:t>We</w:t>
      </w:r>
      <w:r w:rsidRPr="004F6C55">
        <w:rPr>
          <w:rFonts w:ascii="Arial" w:hAnsi="Arial" w:cs="Arial"/>
          <w:b/>
          <w:sz w:val="22"/>
          <w:szCs w:val="22"/>
        </w:rPr>
        <w:t xml:space="preserve"> recommended that Management ensure compliance with Section 251 of the NIRC of 1997, as amended by RA </w:t>
      </w:r>
      <w:r w:rsidR="00BE126E">
        <w:rPr>
          <w:rFonts w:ascii="Arial" w:hAnsi="Arial" w:cs="Arial"/>
          <w:b/>
          <w:sz w:val="22"/>
          <w:szCs w:val="22"/>
        </w:rPr>
        <w:t xml:space="preserve">No. </w:t>
      </w:r>
      <w:r w:rsidRPr="004F6C55">
        <w:rPr>
          <w:rFonts w:ascii="Arial" w:hAnsi="Arial" w:cs="Arial"/>
          <w:b/>
          <w:sz w:val="22"/>
          <w:szCs w:val="22"/>
        </w:rPr>
        <w:t xml:space="preserve">10963, and direct the concerned officials to cause the withholding of the applicable taxes </w:t>
      </w:r>
      <w:r w:rsidRPr="004F6C55">
        <w:rPr>
          <w:rFonts w:ascii="Arial" w:hAnsi="Arial" w:cs="Arial"/>
          <w:b/>
          <w:sz w:val="22"/>
          <w:szCs w:val="22"/>
        </w:rPr>
        <w:lastRenderedPageBreak/>
        <w:t xml:space="preserve">from the draw allowances being paid to concerned officials and employees and other individuals and remit the same to the BIR.  </w:t>
      </w:r>
    </w:p>
    <w:p w:rsidR="005C6EC6" w:rsidRPr="004F6C55" w:rsidRDefault="005C6EC6" w:rsidP="005C6EC6">
      <w:pPr>
        <w:pStyle w:val="ListParagraph"/>
        <w:rPr>
          <w:rFonts w:ascii="Arial" w:hAnsi="Arial" w:cs="Arial"/>
          <w:b/>
          <w:sz w:val="22"/>
          <w:szCs w:val="22"/>
        </w:rPr>
      </w:pPr>
    </w:p>
    <w:p w:rsidR="005C6EC6" w:rsidRPr="004F6C55" w:rsidRDefault="005C6EC6" w:rsidP="00DA78B4">
      <w:pPr>
        <w:pStyle w:val="ListParagraph"/>
        <w:numPr>
          <w:ilvl w:val="1"/>
          <w:numId w:val="21"/>
        </w:numPr>
        <w:ind w:left="1260" w:hanging="540"/>
        <w:jc w:val="both"/>
        <w:rPr>
          <w:rFonts w:ascii="Arial" w:hAnsi="Arial" w:cs="Arial"/>
          <w:b/>
        </w:rPr>
      </w:pPr>
      <w:r w:rsidRPr="004F6C55">
        <w:rPr>
          <w:rFonts w:ascii="Arial" w:hAnsi="Arial" w:cs="Arial"/>
          <w:sz w:val="22"/>
          <w:szCs w:val="22"/>
        </w:rPr>
        <w:t>Management commented that</w:t>
      </w:r>
      <w:r>
        <w:rPr>
          <w:rFonts w:ascii="Arial" w:hAnsi="Arial" w:cs="Arial"/>
          <w:sz w:val="22"/>
          <w:szCs w:val="22"/>
        </w:rPr>
        <w:t xml:space="preserve"> a</w:t>
      </w:r>
      <w:r w:rsidRPr="004F6C55">
        <w:rPr>
          <w:rFonts w:ascii="Arial" w:hAnsi="Arial" w:cs="Arial"/>
          <w:sz w:val="22"/>
          <w:szCs w:val="22"/>
        </w:rPr>
        <w:t xml:space="preserve"> thorough evaluation </w:t>
      </w:r>
      <w:r>
        <w:rPr>
          <w:rFonts w:ascii="Arial" w:hAnsi="Arial" w:cs="Arial"/>
          <w:sz w:val="22"/>
          <w:szCs w:val="22"/>
        </w:rPr>
        <w:t xml:space="preserve">shall be conducted </w:t>
      </w:r>
      <w:r w:rsidR="000F0628">
        <w:rPr>
          <w:rFonts w:ascii="Arial" w:hAnsi="Arial" w:cs="Arial"/>
          <w:sz w:val="22"/>
          <w:szCs w:val="22"/>
        </w:rPr>
        <w:t>on the appropriate</w:t>
      </w:r>
      <w:r w:rsidRPr="004F6C55">
        <w:rPr>
          <w:rFonts w:ascii="Arial" w:hAnsi="Arial" w:cs="Arial"/>
          <w:sz w:val="22"/>
          <w:szCs w:val="22"/>
        </w:rPr>
        <w:t xml:space="preserve"> taxes to be withheld to ensure complete and accurate preparation of reconciliation schedules and supporting evidence.</w:t>
      </w:r>
      <w:r>
        <w:rPr>
          <w:rFonts w:ascii="Arial" w:hAnsi="Arial" w:cs="Arial"/>
          <w:sz w:val="22"/>
          <w:szCs w:val="22"/>
        </w:rPr>
        <w:t xml:space="preserve"> </w:t>
      </w:r>
      <w:r w:rsidRPr="004F6C55">
        <w:rPr>
          <w:rFonts w:ascii="Arial" w:hAnsi="Arial" w:cs="Arial"/>
          <w:sz w:val="22"/>
          <w:szCs w:val="22"/>
          <w:lang w:val="en-PH"/>
        </w:rPr>
        <w:t>Likewise, PCSO will still check the possibility of the withholding tax from draw participants who are not employees of PCSO considering that most of them are not earning income regularly and thus may not be similarly situated for tax purposes.</w:t>
      </w:r>
    </w:p>
    <w:p w:rsidR="00AF119C" w:rsidRPr="000F0628" w:rsidRDefault="00AF119C" w:rsidP="000F0628">
      <w:pPr>
        <w:jc w:val="both"/>
        <w:rPr>
          <w:rFonts w:ascii="Arial" w:hAnsi="Arial" w:cs="Arial"/>
        </w:rPr>
      </w:pPr>
    </w:p>
    <w:p w:rsidR="002F50CB" w:rsidRDefault="002F50CB" w:rsidP="00DA78B4">
      <w:pPr>
        <w:pStyle w:val="ListParagraph"/>
        <w:numPr>
          <w:ilvl w:val="0"/>
          <w:numId w:val="21"/>
        </w:numPr>
        <w:ind w:left="720" w:hanging="720"/>
        <w:jc w:val="both"/>
        <w:rPr>
          <w:rFonts w:ascii="Arial" w:hAnsi="Arial" w:cs="Arial"/>
          <w:sz w:val="22"/>
          <w:szCs w:val="22"/>
        </w:rPr>
      </w:pPr>
      <w:r w:rsidRPr="002F50CB">
        <w:rPr>
          <w:rFonts w:ascii="Arial" w:hAnsi="Arial" w:cs="Arial"/>
          <w:sz w:val="22"/>
          <w:szCs w:val="22"/>
        </w:rPr>
        <w:t>Taxes withheld and due to the Bureau of Internal Revenue (BIR) for CY 2018 in the total amount of P 15,425,014,735.51 were deducted and remitted within the prescribed period. The taxes withheld for the month of December 2018 amounting to P797</w:t>
      </w:r>
      <w:r w:rsidR="006B018F">
        <w:rPr>
          <w:rFonts w:ascii="Arial" w:hAnsi="Arial" w:cs="Arial"/>
          <w:sz w:val="22"/>
          <w:szCs w:val="22"/>
        </w:rPr>
        <w:t>,</w:t>
      </w:r>
      <w:r w:rsidR="006B018F" w:rsidRPr="002F50CB">
        <w:rPr>
          <w:rFonts w:ascii="Arial" w:hAnsi="Arial" w:cs="Arial"/>
          <w:sz w:val="22"/>
          <w:szCs w:val="22"/>
        </w:rPr>
        <w:t>167,561.10</w:t>
      </w:r>
      <w:r w:rsidRPr="002F50CB">
        <w:rPr>
          <w:rFonts w:ascii="Arial" w:hAnsi="Arial" w:cs="Arial"/>
          <w:sz w:val="22"/>
          <w:szCs w:val="22"/>
        </w:rPr>
        <w:t xml:space="preserve"> were remitted to the BIR </w:t>
      </w:r>
      <w:r w:rsidR="000F0628">
        <w:rPr>
          <w:rFonts w:ascii="Arial" w:hAnsi="Arial" w:cs="Arial"/>
          <w:sz w:val="22"/>
          <w:szCs w:val="22"/>
        </w:rPr>
        <w:t>in January 2019 as shown in T</w:t>
      </w:r>
      <w:r w:rsidRPr="002F50CB">
        <w:rPr>
          <w:rFonts w:ascii="Arial" w:hAnsi="Arial" w:cs="Arial"/>
          <w:sz w:val="22"/>
          <w:szCs w:val="22"/>
        </w:rPr>
        <w:t>able</w:t>
      </w:r>
      <w:r w:rsidR="000F0628">
        <w:rPr>
          <w:rFonts w:ascii="Arial" w:hAnsi="Arial" w:cs="Arial"/>
          <w:sz w:val="22"/>
          <w:szCs w:val="22"/>
        </w:rPr>
        <w:t xml:space="preserve"> 17</w:t>
      </w:r>
      <w:r w:rsidRPr="002F50CB">
        <w:rPr>
          <w:rFonts w:ascii="Arial" w:hAnsi="Arial" w:cs="Arial"/>
          <w:sz w:val="22"/>
          <w:szCs w:val="22"/>
        </w:rPr>
        <w:t xml:space="preserve"> below.</w:t>
      </w:r>
    </w:p>
    <w:p w:rsidR="00592556" w:rsidRPr="002F50CB" w:rsidRDefault="00592556" w:rsidP="00592556">
      <w:pPr>
        <w:pStyle w:val="ListParagraph"/>
        <w:ind w:left="576"/>
        <w:jc w:val="both"/>
        <w:rPr>
          <w:rFonts w:ascii="Arial" w:hAnsi="Arial" w:cs="Arial"/>
          <w:sz w:val="22"/>
          <w:szCs w:val="22"/>
        </w:rPr>
      </w:pPr>
    </w:p>
    <w:p w:rsidR="006632F2" w:rsidRPr="00BE126E" w:rsidRDefault="006632F2" w:rsidP="000F0628">
      <w:pPr>
        <w:pStyle w:val="ListParagraph"/>
        <w:ind w:left="576"/>
        <w:jc w:val="center"/>
        <w:rPr>
          <w:rFonts w:ascii="Arial" w:hAnsi="Arial" w:cs="Arial"/>
          <w:b/>
          <w:color w:val="000000" w:themeColor="text1"/>
          <w:sz w:val="20"/>
          <w:szCs w:val="20"/>
        </w:rPr>
      </w:pPr>
      <w:r w:rsidRPr="00BE126E">
        <w:rPr>
          <w:rFonts w:ascii="Arial" w:hAnsi="Arial" w:cs="Arial"/>
          <w:b/>
          <w:color w:val="000000" w:themeColor="text1"/>
          <w:sz w:val="20"/>
          <w:szCs w:val="20"/>
        </w:rPr>
        <w:t>Table 17 – Remi</w:t>
      </w:r>
      <w:r w:rsidR="00D872E3" w:rsidRPr="00BE126E">
        <w:rPr>
          <w:rFonts w:ascii="Arial" w:hAnsi="Arial" w:cs="Arial"/>
          <w:b/>
          <w:color w:val="000000" w:themeColor="text1"/>
          <w:sz w:val="20"/>
          <w:szCs w:val="20"/>
        </w:rPr>
        <w:t>ttances for the Taxes Withheld i</w:t>
      </w:r>
      <w:r w:rsidRPr="00BE126E">
        <w:rPr>
          <w:rFonts w:ascii="Arial" w:hAnsi="Arial" w:cs="Arial"/>
          <w:b/>
          <w:color w:val="000000" w:themeColor="text1"/>
          <w:sz w:val="20"/>
          <w:szCs w:val="20"/>
        </w:rPr>
        <w:t>n December 2018</w:t>
      </w:r>
    </w:p>
    <w:p w:rsidR="006632F2" w:rsidRDefault="006632F2" w:rsidP="002F50CB">
      <w:pPr>
        <w:pStyle w:val="ListParagraph"/>
        <w:ind w:left="576"/>
        <w:jc w:val="both"/>
        <w:rPr>
          <w:rFonts w:ascii="Arial" w:hAnsi="Arial" w:cs="Arial"/>
          <w:sz w:val="22"/>
          <w:szCs w:val="22"/>
        </w:rPr>
      </w:pPr>
    </w:p>
    <w:tbl>
      <w:tblPr>
        <w:tblStyle w:val="TableGrid"/>
        <w:tblW w:w="8218"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1926"/>
        <w:gridCol w:w="1926"/>
      </w:tblGrid>
      <w:tr w:rsidR="002F50CB" w:rsidRPr="002F50CB" w:rsidTr="00BE126E">
        <w:trPr>
          <w:trHeight w:val="170"/>
          <w:jc w:val="right"/>
        </w:trPr>
        <w:tc>
          <w:tcPr>
            <w:tcW w:w="4366" w:type="dxa"/>
            <w:tcBorders>
              <w:top w:val="single" w:sz="4" w:space="0" w:color="auto"/>
              <w:bottom w:val="single" w:sz="4" w:space="0" w:color="auto"/>
            </w:tcBorders>
          </w:tcPr>
          <w:p w:rsidR="002F50CB" w:rsidRPr="00BE126E" w:rsidRDefault="002F50CB" w:rsidP="001961E6">
            <w:pPr>
              <w:rPr>
                <w:rFonts w:ascii="Arial Narrow" w:hAnsi="Arial Narrow" w:cs="Arial"/>
              </w:rPr>
            </w:pPr>
          </w:p>
        </w:tc>
        <w:tc>
          <w:tcPr>
            <w:tcW w:w="1926" w:type="dxa"/>
            <w:tcBorders>
              <w:top w:val="single" w:sz="4" w:space="0" w:color="auto"/>
              <w:bottom w:val="single" w:sz="4" w:space="0" w:color="auto"/>
            </w:tcBorders>
          </w:tcPr>
          <w:p w:rsidR="002F50CB" w:rsidRPr="00BE126E" w:rsidRDefault="002F50CB" w:rsidP="00BE126E">
            <w:pPr>
              <w:jc w:val="right"/>
              <w:rPr>
                <w:rFonts w:ascii="Arial Narrow" w:hAnsi="Arial Narrow" w:cs="Arial"/>
                <w:b/>
              </w:rPr>
            </w:pPr>
            <w:r w:rsidRPr="00BE126E">
              <w:rPr>
                <w:rFonts w:ascii="Arial Narrow" w:hAnsi="Arial Narrow" w:cs="Arial"/>
                <w:b/>
              </w:rPr>
              <w:t>Amount</w:t>
            </w:r>
          </w:p>
        </w:tc>
        <w:tc>
          <w:tcPr>
            <w:tcW w:w="1926" w:type="dxa"/>
            <w:tcBorders>
              <w:top w:val="single" w:sz="4" w:space="0" w:color="auto"/>
              <w:bottom w:val="single" w:sz="4" w:space="0" w:color="auto"/>
            </w:tcBorders>
          </w:tcPr>
          <w:p w:rsidR="000F0628" w:rsidRPr="00BE126E" w:rsidRDefault="002F50CB" w:rsidP="00BE126E">
            <w:pPr>
              <w:ind w:firstLine="360"/>
              <w:jc w:val="center"/>
              <w:rPr>
                <w:rFonts w:ascii="Arial Narrow" w:hAnsi="Arial Narrow" w:cs="Arial"/>
                <w:b/>
              </w:rPr>
            </w:pPr>
            <w:r w:rsidRPr="00BE126E">
              <w:rPr>
                <w:rFonts w:ascii="Arial Narrow" w:hAnsi="Arial Narrow" w:cs="Arial"/>
                <w:b/>
              </w:rPr>
              <w:t>Date Remitted</w:t>
            </w:r>
          </w:p>
        </w:tc>
      </w:tr>
      <w:tr w:rsidR="002F50CB" w:rsidRPr="002F50CB" w:rsidTr="00BE126E">
        <w:trPr>
          <w:trHeight w:val="197"/>
          <w:jc w:val="right"/>
        </w:trPr>
        <w:tc>
          <w:tcPr>
            <w:tcW w:w="4366" w:type="dxa"/>
            <w:tcBorders>
              <w:top w:val="single" w:sz="4" w:space="0" w:color="auto"/>
            </w:tcBorders>
          </w:tcPr>
          <w:p w:rsidR="002F50CB" w:rsidRPr="00BE126E" w:rsidRDefault="002F50CB" w:rsidP="00BE126E">
            <w:pPr>
              <w:ind w:hanging="98"/>
              <w:rPr>
                <w:rFonts w:ascii="Arial Narrow" w:hAnsi="Arial Narrow" w:cs="Arial"/>
              </w:rPr>
            </w:pPr>
            <w:r w:rsidRPr="00BE126E">
              <w:rPr>
                <w:rFonts w:ascii="Arial Narrow" w:hAnsi="Arial Narrow" w:cs="Arial"/>
              </w:rPr>
              <w:t>Final Income Taxes Withheld</w:t>
            </w:r>
          </w:p>
        </w:tc>
        <w:tc>
          <w:tcPr>
            <w:tcW w:w="1926" w:type="dxa"/>
            <w:tcBorders>
              <w:top w:val="single" w:sz="4" w:space="0" w:color="auto"/>
            </w:tcBorders>
          </w:tcPr>
          <w:p w:rsidR="002F50CB" w:rsidRPr="00BE126E" w:rsidRDefault="00BE126E" w:rsidP="001961E6">
            <w:pPr>
              <w:jc w:val="right"/>
              <w:rPr>
                <w:rFonts w:ascii="Arial Narrow" w:hAnsi="Arial Narrow" w:cs="Arial"/>
              </w:rPr>
            </w:pPr>
            <w:r w:rsidRPr="00BE126E">
              <w:rPr>
                <w:rFonts w:ascii="Arial Narrow" w:hAnsi="Arial Narrow" w:cs="Arial"/>
              </w:rPr>
              <w:t xml:space="preserve">P </w:t>
            </w:r>
            <w:r w:rsidR="002F50CB" w:rsidRPr="00BE126E">
              <w:rPr>
                <w:rFonts w:ascii="Arial Narrow" w:hAnsi="Arial Narrow" w:cs="Arial"/>
              </w:rPr>
              <w:t>124,246,319.09</w:t>
            </w:r>
          </w:p>
        </w:tc>
        <w:tc>
          <w:tcPr>
            <w:tcW w:w="1926" w:type="dxa"/>
            <w:tcBorders>
              <w:top w:val="single" w:sz="4" w:space="0" w:color="auto"/>
            </w:tcBorders>
          </w:tcPr>
          <w:p w:rsidR="002F50CB" w:rsidRPr="00BE126E" w:rsidRDefault="002F50CB" w:rsidP="00BE126E">
            <w:pPr>
              <w:ind w:left="270" w:right="-90"/>
              <w:jc w:val="right"/>
              <w:rPr>
                <w:rFonts w:ascii="Arial Narrow" w:hAnsi="Arial Narrow" w:cs="Arial"/>
              </w:rPr>
            </w:pPr>
            <w:r w:rsidRPr="00BE126E">
              <w:rPr>
                <w:rFonts w:ascii="Arial Narrow" w:hAnsi="Arial Narrow" w:cs="Arial"/>
              </w:rPr>
              <w:t>Jan. 29 &amp; 30, 2019</w:t>
            </w:r>
          </w:p>
        </w:tc>
      </w:tr>
      <w:tr w:rsidR="002F50CB" w:rsidRPr="002F50CB" w:rsidTr="00BE126E">
        <w:trPr>
          <w:trHeight w:val="153"/>
          <w:jc w:val="right"/>
        </w:trPr>
        <w:tc>
          <w:tcPr>
            <w:tcW w:w="4366" w:type="dxa"/>
          </w:tcPr>
          <w:p w:rsidR="002F50CB" w:rsidRPr="00BE126E" w:rsidRDefault="002F50CB" w:rsidP="00BE126E">
            <w:pPr>
              <w:ind w:hanging="98"/>
              <w:rPr>
                <w:rFonts w:ascii="Arial Narrow" w:hAnsi="Arial Narrow" w:cs="Arial"/>
              </w:rPr>
            </w:pPr>
            <w:r w:rsidRPr="00BE126E">
              <w:rPr>
                <w:rFonts w:ascii="Arial Narrow" w:hAnsi="Arial Narrow" w:cs="Arial"/>
              </w:rPr>
              <w:t>Creditable Income Taxes Withheld (Expanded)</w:t>
            </w:r>
          </w:p>
        </w:tc>
        <w:tc>
          <w:tcPr>
            <w:tcW w:w="1926" w:type="dxa"/>
          </w:tcPr>
          <w:p w:rsidR="002F50CB" w:rsidRPr="00BE126E" w:rsidRDefault="002F50CB" w:rsidP="001961E6">
            <w:pPr>
              <w:jc w:val="right"/>
              <w:rPr>
                <w:rFonts w:ascii="Arial Narrow" w:hAnsi="Arial Narrow" w:cs="Arial"/>
              </w:rPr>
            </w:pPr>
            <w:r w:rsidRPr="00BE126E">
              <w:rPr>
                <w:rFonts w:ascii="Arial Narrow" w:hAnsi="Arial Narrow" w:cs="Arial"/>
              </w:rPr>
              <w:t>49,817,363.65</w:t>
            </w:r>
          </w:p>
        </w:tc>
        <w:tc>
          <w:tcPr>
            <w:tcW w:w="1926" w:type="dxa"/>
          </w:tcPr>
          <w:p w:rsidR="002F50CB" w:rsidRPr="00BE126E" w:rsidRDefault="002F50CB" w:rsidP="00BE126E">
            <w:pPr>
              <w:ind w:left="270" w:right="-90"/>
              <w:rPr>
                <w:rFonts w:ascii="Arial Narrow" w:hAnsi="Arial Narrow" w:cs="Arial"/>
              </w:rPr>
            </w:pPr>
            <w:r w:rsidRPr="00BE126E">
              <w:rPr>
                <w:rFonts w:ascii="Arial Narrow" w:hAnsi="Arial Narrow" w:cs="Arial"/>
              </w:rPr>
              <w:t>Jan. 30, 2019</w:t>
            </w:r>
          </w:p>
        </w:tc>
      </w:tr>
      <w:tr w:rsidR="002F50CB" w:rsidRPr="002F50CB" w:rsidTr="00BE126E">
        <w:trPr>
          <w:trHeight w:val="189"/>
          <w:jc w:val="right"/>
        </w:trPr>
        <w:tc>
          <w:tcPr>
            <w:tcW w:w="4366" w:type="dxa"/>
          </w:tcPr>
          <w:p w:rsidR="002F50CB" w:rsidRPr="00BE126E" w:rsidRDefault="002F50CB" w:rsidP="00BE126E">
            <w:pPr>
              <w:ind w:hanging="98"/>
              <w:rPr>
                <w:rFonts w:ascii="Arial Narrow" w:hAnsi="Arial Narrow" w:cs="Arial"/>
              </w:rPr>
            </w:pPr>
            <w:r w:rsidRPr="00BE126E">
              <w:rPr>
                <w:rFonts w:ascii="Arial Narrow" w:hAnsi="Arial Narrow" w:cs="Arial"/>
              </w:rPr>
              <w:t>VAT and Other Percentage Taxes Withheld</w:t>
            </w:r>
          </w:p>
        </w:tc>
        <w:tc>
          <w:tcPr>
            <w:tcW w:w="1926" w:type="dxa"/>
          </w:tcPr>
          <w:p w:rsidR="002F50CB" w:rsidRPr="00BE126E" w:rsidRDefault="002F50CB" w:rsidP="001961E6">
            <w:pPr>
              <w:jc w:val="right"/>
              <w:rPr>
                <w:rFonts w:ascii="Arial Narrow" w:hAnsi="Arial Narrow" w:cs="Arial"/>
              </w:rPr>
            </w:pPr>
            <w:r w:rsidRPr="00BE126E">
              <w:rPr>
                <w:rFonts w:ascii="Arial Narrow" w:hAnsi="Arial Narrow" w:cs="Arial"/>
              </w:rPr>
              <w:t>38,258,417.03</w:t>
            </w:r>
          </w:p>
        </w:tc>
        <w:tc>
          <w:tcPr>
            <w:tcW w:w="1926" w:type="dxa"/>
          </w:tcPr>
          <w:p w:rsidR="002F50CB" w:rsidRPr="00BE126E" w:rsidRDefault="002F50CB" w:rsidP="00BE126E">
            <w:pPr>
              <w:ind w:left="270" w:right="-90"/>
              <w:rPr>
                <w:rFonts w:ascii="Arial Narrow" w:hAnsi="Arial Narrow" w:cs="Arial"/>
              </w:rPr>
            </w:pPr>
            <w:r w:rsidRPr="00BE126E">
              <w:rPr>
                <w:rFonts w:ascii="Arial Narrow" w:hAnsi="Arial Narrow" w:cs="Arial"/>
              </w:rPr>
              <w:t>Jan. 10, 2019</w:t>
            </w:r>
          </w:p>
        </w:tc>
      </w:tr>
      <w:tr w:rsidR="002F50CB" w:rsidRPr="002F50CB" w:rsidTr="00BE126E">
        <w:trPr>
          <w:trHeight w:val="144"/>
          <w:jc w:val="right"/>
        </w:trPr>
        <w:tc>
          <w:tcPr>
            <w:tcW w:w="4366" w:type="dxa"/>
          </w:tcPr>
          <w:p w:rsidR="002F50CB" w:rsidRPr="00BE126E" w:rsidRDefault="002F50CB" w:rsidP="00BE126E">
            <w:pPr>
              <w:ind w:hanging="98"/>
              <w:rPr>
                <w:rFonts w:ascii="Arial Narrow" w:hAnsi="Arial Narrow" w:cs="Arial"/>
              </w:rPr>
            </w:pPr>
            <w:r w:rsidRPr="00BE126E">
              <w:rPr>
                <w:rFonts w:ascii="Arial Narrow" w:hAnsi="Arial Narrow" w:cs="Arial"/>
              </w:rPr>
              <w:t>Documentary Stamp Tax</w:t>
            </w:r>
          </w:p>
        </w:tc>
        <w:tc>
          <w:tcPr>
            <w:tcW w:w="1926" w:type="dxa"/>
          </w:tcPr>
          <w:p w:rsidR="002F50CB" w:rsidRPr="00BE126E" w:rsidRDefault="002F50CB" w:rsidP="001961E6">
            <w:pPr>
              <w:jc w:val="right"/>
              <w:rPr>
                <w:rFonts w:ascii="Arial Narrow" w:hAnsi="Arial Narrow" w:cs="Arial"/>
              </w:rPr>
            </w:pPr>
            <w:r w:rsidRPr="00BE126E">
              <w:rPr>
                <w:rFonts w:ascii="Arial Narrow" w:hAnsi="Arial Narrow" w:cs="Arial"/>
              </w:rPr>
              <w:t>577,913,782.99</w:t>
            </w:r>
          </w:p>
        </w:tc>
        <w:tc>
          <w:tcPr>
            <w:tcW w:w="1926" w:type="dxa"/>
          </w:tcPr>
          <w:p w:rsidR="002F50CB" w:rsidRPr="00BE126E" w:rsidRDefault="002F50CB" w:rsidP="00BE126E">
            <w:pPr>
              <w:ind w:left="270" w:right="-90"/>
              <w:rPr>
                <w:rFonts w:ascii="Arial Narrow" w:hAnsi="Arial Narrow" w:cs="Arial"/>
              </w:rPr>
            </w:pPr>
            <w:r w:rsidRPr="00BE126E">
              <w:rPr>
                <w:rFonts w:ascii="Arial Narrow" w:hAnsi="Arial Narrow" w:cs="Arial"/>
              </w:rPr>
              <w:t>Jan. 4, 2019</w:t>
            </w:r>
          </w:p>
        </w:tc>
      </w:tr>
      <w:tr w:rsidR="002F50CB" w:rsidRPr="002F50CB" w:rsidTr="00BE126E">
        <w:trPr>
          <w:trHeight w:val="180"/>
          <w:jc w:val="right"/>
        </w:trPr>
        <w:tc>
          <w:tcPr>
            <w:tcW w:w="4366" w:type="dxa"/>
          </w:tcPr>
          <w:p w:rsidR="002F50CB" w:rsidRPr="00BE126E" w:rsidRDefault="002F50CB" w:rsidP="00BE126E">
            <w:pPr>
              <w:ind w:hanging="98"/>
              <w:rPr>
                <w:rFonts w:ascii="Arial Narrow" w:hAnsi="Arial Narrow" w:cs="Arial"/>
              </w:rPr>
            </w:pPr>
            <w:r w:rsidRPr="00BE126E">
              <w:rPr>
                <w:rFonts w:ascii="Arial Narrow" w:hAnsi="Arial Narrow" w:cs="Arial"/>
              </w:rPr>
              <w:t>Taxes Withheld on Compensation</w:t>
            </w:r>
          </w:p>
        </w:tc>
        <w:tc>
          <w:tcPr>
            <w:tcW w:w="1926" w:type="dxa"/>
          </w:tcPr>
          <w:p w:rsidR="002F50CB" w:rsidRPr="00BE126E" w:rsidRDefault="002F50CB" w:rsidP="001961E6">
            <w:pPr>
              <w:jc w:val="right"/>
              <w:rPr>
                <w:rFonts w:ascii="Arial Narrow" w:hAnsi="Arial Narrow" w:cs="Arial"/>
              </w:rPr>
            </w:pPr>
            <w:r w:rsidRPr="00BE126E">
              <w:rPr>
                <w:rFonts w:ascii="Arial Narrow" w:hAnsi="Arial Narrow" w:cs="Arial"/>
              </w:rPr>
              <w:t>5,571,678.34</w:t>
            </w:r>
          </w:p>
        </w:tc>
        <w:tc>
          <w:tcPr>
            <w:tcW w:w="1926" w:type="dxa"/>
          </w:tcPr>
          <w:p w:rsidR="002F50CB" w:rsidRPr="00BE126E" w:rsidRDefault="002F50CB" w:rsidP="00BE126E">
            <w:pPr>
              <w:ind w:left="270" w:right="-90"/>
              <w:rPr>
                <w:rFonts w:ascii="Arial Narrow" w:hAnsi="Arial Narrow" w:cs="Arial"/>
              </w:rPr>
            </w:pPr>
            <w:r w:rsidRPr="00BE126E">
              <w:rPr>
                <w:rFonts w:ascii="Arial Narrow" w:hAnsi="Arial Narrow" w:cs="Arial"/>
              </w:rPr>
              <w:t>Jan. 10, 2019</w:t>
            </w:r>
          </w:p>
        </w:tc>
      </w:tr>
      <w:tr w:rsidR="002F50CB" w:rsidRPr="002F50CB" w:rsidTr="00BE126E">
        <w:trPr>
          <w:trHeight w:val="216"/>
          <w:jc w:val="right"/>
        </w:trPr>
        <w:tc>
          <w:tcPr>
            <w:tcW w:w="4366" w:type="dxa"/>
            <w:tcBorders>
              <w:bottom w:val="single" w:sz="4" w:space="0" w:color="auto"/>
            </w:tcBorders>
          </w:tcPr>
          <w:p w:rsidR="002F50CB" w:rsidRPr="00BE126E" w:rsidRDefault="002F50CB" w:rsidP="00BE126E">
            <w:pPr>
              <w:ind w:hanging="98"/>
              <w:rPr>
                <w:rFonts w:ascii="Arial Narrow" w:hAnsi="Arial Narrow" w:cs="Arial"/>
              </w:rPr>
            </w:pPr>
            <w:r w:rsidRPr="00BE126E">
              <w:rPr>
                <w:rFonts w:ascii="Arial Narrow" w:hAnsi="Arial Narrow" w:cs="Arial"/>
              </w:rPr>
              <w:t>Taxes Withheld on Horse Race Winners</w:t>
            </w:r>
          </w:p>
        </w:tc>
        <w:tc>
          <w:tcPr>
            <w:tcW w:w="1926" w:type="dxa"/>
            <w:tcBorders>
              <w:bottom w:val="single" w:sz="4" w:space="0" w:color="auto"/>
            </w:tcBorders>
          </w:tcPr>
          <w:p w:rsidR="002F50CB" w:rsidRPr="00BE126E" w:rsidRDefault="002F50CB" w:rsidP="001961E6">
            <w:pPr>
              <w:jc w:val="right"/>
              <w:rPr>
                <w:rFonts w:ascii="Arial Narrow" w:hAnsi="Arial Narrow" w:cs="Arial"/>
              </w:rPr>
            </w:pPr>
            <w:r w:rsidRPr="00BE126E">
              <w:rPr>
                <w:rFonts w:ascii="Arial Narrow" w:hAnsi="Arial Narrow" w:cs="Arial"/>
              </w:rPr>
              <w:t>1,360,000.00</w:t>
            </w:r>
          </w:p>
        </w:tc>
        <w:tc>
          <w:tcPr>
            <w:tcW w:w="1926" w:type="dxa"/>
            <w:tcBorders>
              <w:bottom w:val="single" w:sz="4" w:space="0" w:color="auto"/>
            </w:tcBorders>
          </w:tcPr>
          <w:p w:rsidR="000F0628" w:rsidRPr="00BE126E" w:rsidRDefault="002F50CB" w:rsidP="00BE126E">
            <w:pPr>
              <w:ind w:left="270" w:right="-90"/>
              <w:rPr>
                <w:rFonts w:ascii="Arial Narrow" w:hAnsi="Arial Narrow" w:cs="Arial"/>
              </w:rPr>
            </w:pPr>
            <w:r w:rsidRPr="00BE126E">
              <w:rPr>
                <w:rFonts w:ascii="Arial Narrow" w:hAnsi="Arial Narrow" w:cs="Arial"/>
              </w:rPr>
              <w:t>Jan. 30, 2019</w:t>
            </w:r>
          </w:p>
        </w:tc>
      </w:tr>
      <w:tr w:rsidR="002F50CB" w:rsidRPr="002F50CB" w:rsidTr="006632F2">
        <w:trPr>
          <w:trHeight w:val="262"/>
          <w:jc w:val="right"/>
        </w:trPr>
        <w:tc>
          <w:tcPr>
            <w:tcW w:w="4366" w:type="dxa"/>
            <w:tcBorders>
              <w:top w:val="single" w:sz="4" w:space="0" w:color="auto"/>
              <w:bottom w:val="double" w:sz="4" w:space="0" w:color="auto"/>
            </w:tcBorders>
          </w:tcPr>
          <w:p w:rsidR="002F50CB" w:rsidRPr="00BE126E" w:rsidRDefault="002F50CB" w:rsidP="00BE126E">
            <w:pPr>
              <w:ind w:hanging="98"/>
              <w:rPr>
                <w:rFonts w:ascii="Arial Narrow" w:hAnsi="Arial Narrow" w:cs="Arial"/>
                <w:b/>
              </w:rPr>
            </w:pPr>
            <w:r w:rsidRPr="00BE126E">
              <w:rPr>
                <w:rFonts w:ascii="Arial Narrow" w:hAnsi="Arial Narrow" w:cs="Arial"/>
                <w:b/>
              </w:rPr>
              <w:t>Total</w:t>
            </w:r>
          </w:p>
        </w:tc>
        <w:tc>
          <w:tcPr>
            <w:tcW w:w="1926" w:type="dxa"/>
            <w:tcBorders>
              <w:top w:val="single" w:sz="4" w:space="0" w:color="auto"/>
              <w:bottom w:val="double" w:sz="4" w:space="0" w:color="auto"/>
            </w:tcBorders>
          </w:tcPr>
          <w:p w:rsidR="002F50CB" w:rsidRPr="00BE126E" w:rsidRDefault="00BE126E" w:rsidP="001961E6">
            <w:pPr>
              <w:jc w:val="right"/>
              <w:rPr>
                <w:rFonts w:ascii="Arial Narrow" w:hAnsi="Arial Narrow" w:cs="Arial"/>
                <w:b/>
              </w:rPr>
            </w:pPr>
            <w:r w:rsidRPr="00BE126E">
              <w:rPr>
                <w:rFonts w:ascii="Arial Narrow" w:hAnsi="Arial Narrow" w:cs="Arial"/>
                <w:b/>
              </w:rPr>
              <w:t>P</w:t>
            </w:r>
            <w:r w:rsidR="002F50CB" w:rsidRPr="00BE126E">
              <w:rPr>
                <w:rFonts w:ascii="Arial Narrow" w:hAnsi="Arial Narrow" w:cs="Arial"/>
                <w:b/>
              </w:rPr>
              <w:t>797,167,561.10</w:t>
            </w:r>
          </w:p>
        </w:tc>
        <w:tc>
          <w:tcPr>
            <w:tcW w:w="1926" w:type="dxa"/>
            <w:tcBorders>
              <w:top w:val="single" w:sz="4" w:space="0" w:color="auto"/>
              <w:bottom w:val="double" w:sz="4" w:space="0" w:color="auto"/>
            </w:tcBorders>
          </w:tcPr>
          <w:p w:rsidR="002F50CB" w:rsidRPr="00BE126E" w:rsidRDefault="002F50CB" w:rsidP="001961E6">
            <w:pPr>
              <w:rPr>
                <w:rFonts w:ascii="Arial Narrow" w:hAnsi="Arial Narrow" w:cs="Arial"/>
              </w:rPr>
            </w:pPr>
          </w:p>
        </w:tc>
      </w:tr>
    </w:tbl>
    <w:p w:rsidR="006632F2" w:rsidRDefault="006632F2" w:rsidP="00D9627A">
      <w:pPr>
        <w:spacing w:after="0" w:line="240" w:lineRule="auto"/>
        <w:rPr>
          <w:rFonts w:ascii="Arial" w:hAnsi="Arial" w:cs="Arial"/>
          <w:b/>
        </w:rPr>
      </w:pPr>
    </w:p>
    <w:p w:rsidR="00BE126E" w:rsidRDefault="00BE126E" w:rsidP="00D9627A">
      <w:pPr>
        <w:spacing w:after="0" w:line="240" w:lineRule="auto"/>
        <w:rPr>
          <w:rFonts w:ascii="Arial" w:hAnsi="Arial" w:cs="Arial"/>
          <w:b/>
        </w:rPr>
      </w:pPr>
    </w:p>
    <w:p w:rsidR="00D9627A" w:rsidRPr="006244AD" w:rsidRDefault="00D9627A" w:rsidP="00D9627A">
      <w:pPr>
        <w:spacing w:after="0" w:line="240" w:lineRule="auto"/>
        <w:rPr>
          <w:rFonts w:ascii="Arial" w:hAnsi="Arial" w:cs="Arial"/>
          <w:b/>
        </w:rPr>
      </w:pPr>
      <w:r w:rsidRPr="006244AD">
        <w:rPr>
          <w:rFonts w:ascii="Arial" w:hAnsi="Arial" w:cs="Arial"/>
          <w:b/>
        </w:rPr>
        <w:t>COMPLIANCE WITH GSIS, PAG-IBIG AND PHILHEALTH DEDUCTIONS AND REMITTANCES</w:t>
      </w:r>
    </w:p>
    <w:p w:rsidR="00D9627A" w:rsidRPr="006244AD" w:rsidRDefault="00D9627A" w:rsidP="00D9627A">
      <w:pPr>
        <w:pStyle w:val="ListParagraph"/>
        <w:ind w:left="360"/>
        <w:rPr>
          <w:rFonts w:ascii="Arial" w:hAnsi="Arial" w:cs="Arial"/>
          <w:b/>
          <w:sz w:val="22"/>
          <w:szCs w:val="22"/>
        </w:rPr>
      </w:pPr>
    </w:p>
    <w:p w:rsidR="00D9627A" w:rsidRPr="006244AD" w:rsidRDefault="00D9627A" w:rsidP="00DA78B4">
      <w:pPr>
        <w:pStyle w:val="ListParagraph"/>
        <w:numPr>
          <w:ilvl w:val="0"/>
          <w:numId w:val="21"/>
        </w:numPr>
        <w:ind w:left="720" w:hanging="720"/>
        <w:jc w:val="both"/>
        <w:rPr>
          <w:rFonts w:ascii="Arial" w:hAnsi="Arial" w:cs="Arial"/>
          <w:sz w:val="22"/>
          <w:szCs w:val="22"/>
        </w:rPr>
      </w:pPr>
      <w:r w:rsidRPr="006244AD">
        <w:rPr>
          <w:rFonts w:ascii="Arial" w:hAnsi="Arial" w:cs="Arial"/>
          <w:sz w:val="22"/>
          <w:szCs w:val="22"/>
        </w:rPr>
        <w:t>Premiums due to GSIS, Pag-IBIG and PhilHealth for January to November 2018 were deducted from the salaries of PCSO-Head Office personnel in the amount of P57</w:t>
      </w:r>
      <w:r w:rsidR="00961C14">
        <w:rPr>
          <w:rFonts w:ascii="Arial" w:hAnsi="Arial" w:cs="Arial"/>
          <w:sz w:val="22"/>
          <w:szCs w:val="22"/>
        </w:rPr>
        <w:t>.</w:t>
      </w:r>
      <w:r w:rsidRPr="006244AD">
        <w:rPr>
          <w:rFonts w:ascii="Arial" w:hAnsi="Arial" w:cs="Arial"/>
          <w:sz w:val="22"/>
          <w:szCs w:val="22"/>
        </w:rPr>
        <w:t>992</w:t>
      </w:r>
      <w:r w:rsidR="00961C14">
        <w:rPr>
          <w:rFonts w:ascii="Arial" w:hAnsi="Arial" w:cs="Arial"/>
          <w:sz w:val="22"/>
          <w:szCs w:val="22"/>
        </w:rPr>
        <w:t xml:space="preserve"> million</w:t>
      </w:r>
      <w:r w:rsidRPr="006244AD">
        <w:rPr>
          <w:rFonts w:ascii="Arial" w:hAnsi="Arial" w:cs="Arial"/>
          <w:sz w:val="22"/>
          <w:szCs w:val="22"/>
        </w:rPr>
        <w:t xml:space="preserve"> and remitted within the prescribed period. The premiums deducted in December 2018 in the amount of P5</w:t>
      </w:r>
      <w:r w:rsidR="00961C14">
        <w:rPr>
          <w:rFonts w:ascii="Arial" w:hAnsi="Arial" w:cs="Arial"/>
          <w:sz w:val="22"/>
          <w:szCs w:val="22"/>
        </w:rPr>
        <w:t>.</w:t>
      </w:r>
      <w:r w:rsidRPr="006244AD">
        <w:rPr>
          <w:rFonts w:ascii="Arial" w:hAnsi="Arial" w:cs="Arial"/>
          <w:sz w:val="22"/>
          <w:szCs w:val="22"/>
        </w:rPr>
        <w:t>495</w:t>
      </w:r>
      <w:r w:rsidR="00961C14">
        <w:rPr>
          <w:rFonts w:ascii="Arial" w:hAnsi="Arial" w:cs="Arial"/>
          <w:sz w:val="22"/>
          <w:szCs w:val="22"/>
        </w:rPr>
        <w:t xml:space="preserve"> million</w:t>
      </w:r>
      <w:r w:rsidRPr="006244AD">
        <w:rPr>
          <w:rFonts w:ascii="Arial" w:hAnsi="Arial" w:cs="Arial"/>
          <w:sz w:val="22"/>
          <w:szCs w:val="22"/>
        </w:rPr>
        <w:t xml:space="preserve"> were remitted in January 2019</w:t>
      </w:r>
      <w:r w:rsidR="00961C14">
        <w:rPr>
          <w:rFonts w:ascii="Arial" w:hAnsi="Arial" w:cs="Arial"/>
          <w:sz w:val="22"/>
          <w:szCs w:val="22"/>
        </w:rPr>
        <w:t>,</w:t>
      </w:r>
      <w:r w:rsidRPr="006244AD">
        <w:rPr>
          <w:rFonts w:ascii="Arial" w:hAnsi="Arial" w:cs="Arial"/>
          <w:sz w:val="22"/>
          <w:szCs w:val="22"/>
        </w:rPr>
        <w:t xml:space="preserve"> details </w:t>
      </w:r>
      <w:r w:rsidR="00961C14">
        <w:rPr>
          <w:rFonts w:ascii="Arial" w:hAnsi="Arial" w:cs="Arial"/>
          <w:sz w:val="22"/>
          <w:szCs w:val="22"/>
        </w:rPr>
        <w:t>presented in Table 18.</w:t>
      </w:r>
    </w:p>
    <w:p w:rsidR="001C3A9D" w:rsidRDefault="001C3A9D" w:rsidP="00BE126E">
      <w:pPr>
        <w:pStyle w:val="ListParagraph"/>
        <w:jc w:val="center"/>
        <w:rPr>
          <w:rFonts w:ascii="Arial" w:hAnsi="Arial" w:cs="Arial"/>
          <w:b/>
          <w:color w:val="000000" w:themeColor="text1"/>
          <w:sz w:val="20"/>
          <w:szCs w:val="20"/>
        </w:rPr>
      </w:pPr>
    </w:p>
    <w:p w:rsidR="00BE126E" w:rsidRDefault="00BE126E" w:rsidP="00BE126E">
      <w:pPr>
        <w:pStyle w:val="ListParagraph"/>
        <w:jc w:val="center"/>
        <w:rPr>
          <w:rFonts w:ascii="Arial" w:hAnsi="Arial" w:cs="Arial"/>
          <w:b/>
          <w:color w:val="000000" w:themeColor="text1"/>
          <w:sz w:val="20"/>
          <w:szCs w:val="20"/>
        </w:rPr>
      </w:pPr>
      <w:r w:rsidRPr="00BE126E">
        <w:rPr>
          <w:rFonts w:ascii="Arial" w:hAnsi="Arial" w:cs="Arial"/>
          <w:b/>
          <w:color w:val="000000" w:themeColor="text1"/>
          <w:sz w:val="20"/>
          <w:szCs w:val="20"/>
        </w:rPr>
        <w:t>Table 1</w:t>
      </w:r>
      <w:r>
        <w:rPr>
          <w:rFonts w:ascii="Arial" w:hAnsi="Arial" w:cs="Arial"/>
          <w:b/>
          <w:color w:val="000000" w:themeColor="text1"/>
          <w:sz w:val="20"/>
          <w:szCs w:val="20"/>
        </w:rPr>
        <w:t>8</w:t>
      </w:r>
      <w:r w:rsidRPr="00BE126E">
        <w:rPr>
          <w:rFonts w:ascii="Arial" w:hAnsi="Arial" w:cs="Arial"/>
          <w:b/>
          <w:color w:val="000000" w:themeColor="text1"/>
          <w:sz w:val="20"/>
          <w:szCs w:val="20"/>
        </w:rPr>
        <w:t xml:space="preserve"> – </w:t>
      </w:r>
      <w:r>
        <w:rPr>
          <w:rFonts w:ascii="Arial" w:hAnsi="Arial" w:cs="Arial"/>
          <w:b/>
          <w:color w:val="000000" w:themeColor="text1"/>
          <w:sz w:val="20"/>
          <w:szCs w:val="20"/>
        </w:rPr>
        <w:t>GSIS, Pag-IBIG and PhilHealth Deductions and Remittances</w:t>
      </w:r>
    </w:p>
    <w:p w:rsidR="00961C14" w:rsidRPr="00BE126E" w:rsidRDefault="00961C14" w:rsidP="00BE126E">
      <w:pPr>
        <w:pStyle w:val="ListParagraph"/>
        <w:jc w:val="center"/>
        <w:rPr>
          <w:rFonts w:ascii="Arial" w:hAnsi="Arial" w:cs="Arial"/>
          <w:b/>
          <w:color w:val="000000" w:themeColor="text1"/>
          <w:sz w:val="20"/>
          <w:szCs w:val="20"/>
        </w:rPr>
      </w:pPr>
    </w:p>
    <w:tbl>
      <w:tblPr>
        <w:tblW w:w="8807" w:type="dxa"/>
        <w:tblInd w:w="108" w:type="dxa"/>
        <w:tblLayout w:type="fixed"/>
        <w:tblLook w:val="04A0" w:firstRow="1" w:lastRow="0" w:firstColumn="1" w:lastColumn="0" w:noHBand="0" w:noVBand="1"/>
      </w:tblPr>
      <w:tblGrid>
        <w:gridCol w:w="1560"/>
        <w:gridCol w:w="1950"/>
        <w:gridCol w:w="2160"/>
        <w:gridCol w:w="1440"/>
        <w:gridCol w:w="1697"/>
      </w:tblGrid>
      <w:tr w:rsidR="00D9627A" w:rsidRPr="008F7043" w:rsidTr="0025052F">
        <w:trPr>
          <w:trHeight w:hRule="exact" w:val="1086"/>
        </w:trPr>
        <w:tc>
          <w:tcPr>
            <w:tcW w:w="1560" w:type="dxa"/>
            <w:tcBorders>
              <w:top w:val="single" w:sz="4" w:space="0" w:color="auto"/>
              <w:bottom w:val="single" w:sz="4" w:space="0" w:color="auto"/>
            </w:tcBorders>
            <w:vAlign w:val="center"/>
          </w:tcPr>
          <w:p w:rsidR="00D9627A" w:rsidRPr="00BE126E" w:rsidRDefault="00D9627A" w:rsidP="0025052F">
            <w:pPr>
              <w:ind w:hanging="38"/>
              <w:rPr>
                <w:rFonts w:ascii="Arial Narrow" w:hAnsi="Arial Narrow" w:cs="Arial"/>
                <w:sz w:val="20"/>
                <w:szCs w:val="20"/>
              </w:rPr>
            </w:pPr>
            <w:r w:rsidRPr="00BE126E">
              <w:rPr>
                <w:rFonts w:ascii="Arial Narrow" w:hAnsi="Arial Narrow" w:cs="Arial"/>
                <w:sz w:val="20"/>
                <w:szCs w:val="20"/>
              </w:rPr>
              <w:t>Agency</w:t>
            </w:r>
          </w:p>
        </w:tc>
        <w:tc>
          <w:tcPr>
            <w:tcW w:w="1950" w:type="dxa"/>
            <w:tcBorders>
              <w:top w:val="single" w:sz="4" w:space="0" w:color="auto"/>
              <w:bottom w:val="single" w:sz="4" w:space="0" w:color="auto"/>
            </w:tcBorders>
            <w:vAlign w:val="center"/>
          </w:tcPr>
          <w:p w:rsidR="00D9627A" w:rsidRPr="00BE126E" w:rsidRDefault="00D9627A" w:rsidP="00432DA9">
            <w:pPr>
              <w:ind w:left="-115"/>
              <w:jc w:val="center"/>
              <w:rPr>
                <w:rFonts w:ascii="Arial Narrow" w:hAnsi="Arial Narrow" w:cs="Arial"/>
                <w:sz w:val="20"/>
                <w:szCs w:val="20"/>
              </w:rPr>
            </w:pPr>
            <w:r w:rsidRPr="00BE126E">
              <w:rPr>
                <w:rFonts w:ascii="Arial Narrow" w:hAnsi="Arial Narrow" w:cs="Arial"/>
                <w:sz w:val="20"/>
                <w:szCs w:val="20"/>
              </w:rPr>
              <w:t>Premiums collected and remitted in 2018 (January to November 2018)</w:t>
            </w:r>
          </w:p>
        </w:tc>
        <w:tc>
          <w:tcPr>
            <w:tcW w:w="2160" w:type="dxa"/>
            <w:tcBorders>
              <w:top w:val="single" w:sz="4" w:space="0" w:color="auto"/>
              <w:bottom w:val="single" w:sz="4" w:space="0" w:color="auto"/>
            </w:tcBorders>
            <w:vAlign w:val="center"/>
          </w:tcPr>
          <w:p w:rsidR="00D9627A" w:rsidRPr="00BE126E" w:rsidRDefault="00D9627A" w:rsidP="00432DA9">
            <w:pPr>
              <w:ind w:left="36"/>
              <w:jc w:val="center"/>
              <w:rPr>
                <w:rFonts w:ascii="Arial Narrow" w:hAnsi="Arial Narrow" w:cs="Arial"/>
                <w:sz w:val="20"/>
                <w:szCs w:val="20"/>
              </w:rPr>
            </w:pPr>
            <w:r w:rsidRPr="00BE126E">
              <w:rPr>
                <w:rFonts w:ascii="Arial Narrow" w:hAnsi="Arial Narrow" w:cs="Arial"/>
                <w:sz w:val="20"/>
                <w:szCs w:val="20"/>
              </w:rPr>
              <w:t>Premiums collected in December 2018 and remitted in January 2019</w:t>
            </w:r>
          </w:p>
        </w:tc>
        <w:tc>
          <w:tcPr>
            <w:tcW w:w="1440" w:type="dxa"/>
            <w:tcBorders>
              <w:top w:val="single" w:sz="4" w:space="0" w:color="auto"/>
              <w:bottom w:val="single" w:sz="4" w:space="0" w:color="auto"/>
            </w:tcBorders>
            <w:vAlign w:val="center"/>
          </w:tcPr>
          <w:p w:rsidR="00D9627A" w:rsidRPr="00BE126E" w:rsidRDefault="00D9627A" w:rsidP="00432DA9">
            <w:pPr>
              <w:ind w:left="-109"/>
              <w:jc w:val="center"/>
              <w:rPr>
                <w:rFonts w:ascii="Arial Narrow" w:hAnsi="Arial Narrow" w:cs="Arial"/>
                <w:sz w:val="20"/>
                <w:szCs w:val="20"/>
              </w:rPr>
            </w:pPr>
            <w:r w:rsidRPr="00BE126E">
              <w:rPr>
                <w:rFonts w:ascii="Arial Narrow" w:hAnsi="Arial Narrow" w:cs="Arial"/>
                <w:sz w:val="20"/>
                <w:szCs w:val="20"/>
              </w:rPr>
              <w:t>Date Remitted in 2019</w:t>
            </w:r>
          </w:p>
        </w:tc>
        <w:tc>
          <w:tcPr>
            <w:tcW w:w="1697" w:type="dxa"/>
            <w:tcBorders>
              <w:top w:val="single" w:sz="4" w:space="0" w:color="auto"/>
              <w:bottom w:val="single" w:sz="4" w:space="0" w:color="auto"/>
            </w:tcBorders>
            <w:vAlign w:val="center"/>
          </w:tcPr>
          <w:p w:rsidR="00D9627A" w:rsidRPr="00BE126E" w:rsidRDefault="00D9627A" w:rsidP="00BE126E">
            <w:pPr>
              <w:ind w:left="-100"/>
              <w:jc w:val="right"/>
              <w:rPr>
                <w:rFonts w:ascii="Arial Narrow" w:hAnsi="Arial Narrow" w:cs="Arial"/>
                <w:sz w:val="20"/>
                <w:szCs w:val="20"/>
              </w:rPr>
            </w:pPr>
            <w:r w:rsidRPr="00BE126E">
              <w:rPr>
                <w:rFonts w:ascii="Arial Narrow" w:hAnsi="Arial Narrow" w:cs="Arial"/>
                <w:sz w:val="20"/>
                <w:szCs w:val="20"/>
              </w:rPr>
              <w:t>Total</w:t>
            </w:r>
          </w:p>
        </w:tc>
      </w:tr>
      <w:tr w:rsidR="00D9627A" w:rsidRPr="008F7043" w:rsidTr="0025052F">
        <w:trPr>
          <w:trHeight w:hRule="exact" w:val="292"/>
        </w:trPr>
        <w:tc>
          <w:tcPr>
            <w:tcW w:w="1560" w:type="dxa"/>
            <w:tcBorders>
              <w:top w:val="single" w:sz="4" w:space="0" w:color="auto"/>
            </w:tcBorders>
            <w:vAlign w:val="center"/>
            <w:hideMark/>
          </w:tcPr>
          <w:p w:rsidR="00D9627A" w:rsidRPr="00BE126E" w:rsidRDefault="00D9627A" w:rsidP="0025052F">
            <w:pPr>
              <w:ind w:left="-38" w:hanging="38"/>
              <w:rPr>
                <w:rFonts w:ascii="Arial Narrow" w:hAnsi="Arial Narrow" w:cs="Arial"/>
                <w:sz w:val="20"/>
                <w:szCs w:val="20"/>
              </w:rPr>
            </w:pPr>
            <w:r w:rsidRPr="00BE126E">
              <w:rPr>
                <w:rFonts w:ascii="Arial Narrow" w:hAnsi="Arial Narrow" w:cs="Arial"/>
                <w:sz w:val="20"/>
                <w:szCs w:val="20"/>
              </w:rPr>
              <w:t>GSIS</w:t>
            </w:r>
          </w:p>
        </w:tc>
        <w:tc>
          <w:tcPr>
            <w:tcW w:w="1950" w:type="dxa"/>
            <w:tcBorders>
              <w:top w:val="single" w:sz="4" w:space="0" w:color="auto"/>
            </w:tcBorders>
            <w:vAlign w:val="center"/>
            <w:hideMark/>
          </w:tcPr>
          <w:p w:rsidR="00D9627A" w:rsidRPr="00BE126E" w:rsidRDefault="00961C14" w:rsidP="00432DA9">
            <w:pPr>
              <w:jc w:val="right"/>
              <w:rPr>
                <w:rFonts w:ascii="Arial Narrow" w:hAnsi="Arial Narrow" w:cs="Arial"/>
                <w:sz w:val="20"/>
                <w:szCs w:val="20"/>
              </w:rPr>
            </w:pPr>
            <w:r>
              <w:rPr>
                <w:rFonts w:ascii="Arial Narrow" w:hAnsi="Arial Narrow" w:cs="Arial"/>
                <w:sz w:val="20"/>
                <w:szCs w:val="20"/>
              </w:rPr>
              <w:t xml:space="preserve">P </w:t>
            </w:r>
            <w:r w:rsidR="00D9627A" w:rsidRPr="00BE126E">
              <w:rPr>
                <w:rFonts w:ascii="Arial Narrow" w:hAnsi="Arial Narrow" w:cs="Arial"/>
                <w:sz w:val="20"/>
                <w:szCs w:val="20"/>
              </w:rPr>
              <w:t>50,711,928.19</w:t>
            </w:r>
          </w:p>
        </w:tc>
        <w:tc>
          <w:tcPr>
            <w:tcW w:w="2160" w:type="dxa"/>
            <w:tcBorders>
              <w:top w:val="single" w:sz="4" w:space="0" w:color="auto"/>
            </w:tcBorders>
            <w:vAlign w:val="center"/>
            <w:hideMark/>
          </w:tcPr>
          <w:p w:rsidR="00D9627A" w:rsidRPr="00BE126E" w:rsidRDefault="00961C14" w:rsidP="00432DA9">
            <w:pPr>
              <w:jc w:val="right"/>
              <w:rPr>
                <w:rFonts w:ascii="Arial Narrow" w:hAnsi="Arial Narrow" w:cs="Arial"/>
                <w:sz w:val="20"/>
                <w:szCs w:val="20"/>
              </w:rPr>
            </w:pPr>
            <w:r>
              <w:rPr>
                <w:rFonts w:ascii="Arial Narrow" w:hAnsi="Arial Narrow" w:cs="Arial"/>
                <w:sz w:val="20"/>
                <w:szCs w:val="20"/>
              </w:rPr>
              <w:t xml:space="preserve">P </w:t>
            </w:r>
            <w:r w:rsidR="00D9627A" w:rsidRPr="00BE126E">
              <w:rPr>
                <w:rFonts w:ascii="Arial Narrow" w:hAnsi="Arial Narrow" w:cs="Arial"/>
                <w:sz w:val="20"/>
                <w:szCs w:val="20"/>
              </w:rPr>
              <w:t>4,812,384.20</w:t>
            </w:r>
          </w:p>
        </w:tc>
        <w:tc>
          <w:tcPr>
            <w:tcW w:w="1440" w:type="dxa"/>
            <w:tcBorders>
              <w:top w:val="single" w:sz="4" w:space="0" w:color="auto"/>
            </w:tcBorders>
            <w:vAlign w:val="center"/>
          </w:tcPr>
          <w:p w:rsidR="00D9627A" w:rsidRPr="00BE126E" w:rsidRDefault="00D9627A" w:rsidP="00432DA9">
            <w:pPr>
              <w:jc w:val="right"/>
              <w:rPr>
                <w:rFonts w:ascii="Arial Narrow" w:hAnsi="Arial Narrow" w:cs="Arial"/>
                <w:sz w:val="20"/>
                <w:szCs w:val="20"/>
              </w:rPr>
            </w:pPr>
            <w:r w:rsidRPr="00BE126E">
              <w:rPr>
                <w:rFonts w:ascii="Arial Narrow" w:hAnsi="Arial Narrow" w:cs="Arial"/>
                <w:sz w:val="20"/>
                <w:szCs w:val="20"/>
              </w:rPr>
              <w:t>Jan. 11, 2019</w:t>
            </w:r>
          </w:p>
        </w:tc>
        <w:tc>
          <w:tcPr>
            <w:tcW w:w="1697" w:type="dxa"/>
            <w:tcBorders>
              <w:top w:val="single" w:sz="4" w:space="0" w:color="auto"/>
            </w:tcBorders>
            <w:vAlign w:val="center"/>
            <w:hideMark/>
          </w:tcPr>
          <w:p w:rsidR="00D9627A" w:rsidRPr="00BE126E" w:rsidRDefault="0025052F" w:rsidP="00BE126E">
            <w:pPr>
              <w:ind w:right="-58"/>
              <w:jc w:val="right"/>
              <w:rPr>
                <w:rFonts w:ascii="Arial Narrow" w:hAnsi="Arial Narrow" w:cs="Arial"/>
                <w:sz w:val="20"/>
                <w:szCs w:val="20"/>
              </w:rPr>
            </w:pPr>
            <w:r>
              <w:rPr>
                <w:rFonts w:ascii="Arial Narrow" w:hAnsi="Arial Narrow" w:cs="Arial"/>
                <w:sz w:val="20"/>
                <w:szCs w:val="20"/>
              </w:rPr>
              <w:t>P</w:t>
            </w:r>
            <w:r w:rsidR="00961C14">
              <w:rPr>
                <w:rFonts w:ascii="Arial Narrow" w:hAnsi="Arial Narrow" w:cs="Arial"/>
                <w:sz w:val="20"/>
                <w:szCs w:val="20"/>
              </w:rPr>
              <w:t xml:space="preserve"> </w:t>
            </w:r>
            <w:r w:rsidR="00D9627A" w:rsidRPr="00BE126E">
              <w:rPr>
                <w:rFonts w:ascii="Arial Narrow" w:hAnsi="Arial Narrow" w:cs="Arial"/>
                <w:sz w:val="20"/>
                <w:szCs w:val="20"/>
              </w:rPr>
              <w:t>55,524,312.39</w:t>
            </w:r>
          </w:p>
        </w:tc>
      </w:tr>
      <w:tr w:rsidR="00D9627A" w:rsidRPr="008F7043" w:rsidTr="0025052F">
        <w:trPr>
          <w:trHeight w:hRule="exact" w:val="288"/>
        </w:trPr>
        <w:tc>
          <w:tcPr>
            <w:tcW w:w="1560" w:type="dxa"/>
            <w:vAlign w:val="center"/>
            <w:hideMark/>
          </w:tcPr>
          <w:p w:rsidR="00D9627A" w:rsidRPr="00BE126E" w:rsidRDefault="00D9627A" w:rsidP="0025052F">
            <w:pPr>
              <w:ind w:left="-38" w:hanging="38"/>
              <w:rPr>
                <w:rFonts w:ascii="Arial Narrow" w:hAnsi="Arial Narrow" w:cs="Arial"/>
                <w:sz w:val="20"/>
                <w:szCs w:val="20"/>
              </w:rPr>
            </w:pPr>
            <w:r w:rsidRPr="00BE126E">
              <w:rPr>
                <w:rFonts w:ascii="Arial Narrow" w:hAnsi="Arial Narrow" w:cs="Arial"/>
                <w:sz w:val="20"/>
                <w:szCs w:val="20"/>
              </w:rPr>
              <w:t>Pag-IBIG</w:t>
            </w:r>
          </w:p>
        </w:tc>
        <w:tc>
          <w:tcPr>
            <w:tcW w:w="1950" w:type="dxa"/>
            <w:vAlign w:val="center"/>
            <w:hideMark/>
          </w:tcPr>
          <w:p w:rsidR="00D9627A" w:rsidRPr="00BE126E" w:rsidRDefault="00D9627A" w:rsidP="00432DA9">
            <w:pPr>
              <w:jc w:val="right"/>
              <w:rPr>
                <w:rFonts w:ascii="Arial Narrow" w:hAnsi="Arial Narrow" w:cs="Arial"/>
                <w:sz w:val="20"/>
                <w:szCs w:val="20"/>
              </w:rPr>
            </w:pPr>
            <w:r w:rsidRPr="00BE126E">
              <w:rPr>
                <w:rFonts w:ascii="Arial Narrow" w:hAnsi="Arial Narrow" w:cs="Arial"/>
                <w:sz w:val="20"/>
                <w:szCs w:val="20"/>
              </w:rPr>
              <w:t>1,926,630.00</w:t>
            </w:r>
          </w:p>
        </w:tc>
        <w:tc>
          <w:tcPr>
            <w:tcW w:w="2160" w:type="dxa"/>
            <w:vAlign w:val="center"/>
            <w:hideMark/>
          </w:tcPr>
          <w:p w:rsidR="00D9627A" w:rsidRPr="00BE126E" w:rsidRDefault="00D9627A" w:rsidP="00432DA9">
            <w:pPr>
              <w:jc w:val="right"/>
              <w:rPr>
                <w:rFonts w:ascii="Arial Narrow" w:hAnsi="Arial Narrow" w:cs="Arial"/>
                <w:sz w:val="20"/>
                <w:szCs w:val="20"/>
              </w:rPr>
            </w:pPr>
            <w:r w:rsidRPr="00BE126E">
              <w:rPr>
                <w:rFonts w:ascii="Arial Narrow" w:hAnsi="Arial Narrow" w:cs="Arial"/>
                <w:sz w:val="20"/>
                <w:szCs w:val="20"/>
              </w:rPr>
              <w:t>173,180.00</w:t>
            </w:r>
          </w:p>
        </w:tc>
        <w:tc>
          <w:tcPr>
            <w:tcW w:w="1440" w:type="dxa"/>
            <w:vAlign w:val="center"/>
          </w:tcPr>
          <w:p w:rsidR="00D9627A" w:rsidRPr="00BE126E" w:rsidRDefault="00D9627A" w:rsidP="00432DA9">
            <w:pPr>
              <w:jc w:val="right"/>
              <w:rPr>
                <w:rFonts w:ascii="Arial Narrow" w:hAnsi="Arial Narrow" w:cs="Arial"/>
                <w:sz w:val="20"/>
                <w:szCs w:val="20"/>
              </w:rPr>
            </w:pPr>
            <w:r w:rsidRPr="00BE126E">
              <w:rPr>
                <w:rFonts w:ascii="Arial Narrow" w:hAnsi="Arial Narrow" w:cs="Arial"/>
                <w:sz w:val="20"/>
                <w:szCs w:val="20"/>
              </w:rPr>
              <w:t>Jan. 14, 2019</w:t>
            </w:r>
          </w:p>
        </w:tc>
        <w:tc>
          <w:tcPr>
            <w:tcW w:w="1697" w:type="dxa"/>
            <w:vAlign w:val="center"/>
            <w:hideMark/>
          </w:tcPr>
          <w:p w:rsidR="00D9627A" w:rsidRPr="00BE126E" w:rsidRDefault="00D9627A" w:rsidP="00BE126E">
            <w:pPr>
              <w:ind w:right="-58"/>
              <w:jc w:val="right"/>
              <w:rPr>
                <w:rFonts w:ascii="Arial Narrow" w:hAnsi="Arial Narrow" w:cs="Arial"/>
                <w:sz w:val="20"/>
                <w:szCs w:val="20"/>
              </w:rPr>
            </w:pPr>
            <w:r w:rsidRPr="00BE126E">
              <w:rPr>
                <w:rFonts w:ascii="Arial Narrow" w:hAnsi="Arial Narrow" w:cs="Arial"/>
                <w:sz w:val="20"/>
                <w:szCs w:val="20"/>
              </w:rPr>
              <w:t>2,099,810.00</w:t>
            </w:r>
          </w:p>
        </w:tc>
      </w:tr>
      <w:tr w:rsidR="00D9627A" w:rsidRPr="008F7043" w:rsidTr="0025052F">
        <w:trPr>
          <w:trHeight w:hRule="exact" w:val="288"/>
        </w:trPr>
        <w:tc>
          <w:tcPr>
            <w:tcW w:w="1560" w:type="dxa"/>
            <w:tcBorders>
              <w:bottom w:val="single" w:sz="4" w:space="0" w:color="auto"/>
            </w:tcBorders>
            <w:vAlign w:val="center"/>
            <w:hideMark/>
          </w:tcPr>
          <w:p w:rsidR="00D9627A" w:rsidRPr="00BE126E" w:rsidRDefault="00D9627A" w:rsidP="0025052F">
            <w:pPr>
              <w:ind w:left="-38" w:hanging="38"/>
              <w:rPr>
                <w:rFonts w:ascii="Arial Narrow" w:hAnsi="Arial Narrow" w:cs="Arial"/>
                <w:sz w:val="20"/>
                <w:szCs w:val="20"/>
              </w:rPr>
            </w:pPr>
            <w:r w:rsidRPr="00BE126E">
              <w:rPr>
                <w:rFonts w:ascii="Arial Narrow" w:hAnsi="Arial Narrow" w:cs="Arial"/>
                <w:sz w:val="20"/>
                <w:szCs w:val="20"/>
              </w:rPr>
              <w:t>PhilHealth</w:t>
            </w:r>
          </w:p>
        </w:tc>
        <w:tc>
          <w:tcPr>
            <w:tcW w:w="1950" w:type="dxa"/>
            <w:tcBorders>
              <w:bottom w:val="single" w:sz="4" w:space="0" w:color="auto"/>
            </w:tcBorders>
            <w:vAlign w:val="center"/>
            <w:hideMark/>
          </w:tcPr>
          <w:p w:rsidR="00D9627A" w:rsidRPr="00BE126E" w:rsidRDefault="00D9627A" w:rsidP="00432DA9">
            <w:pPr>
              <w:jc w:val="right"/>
              <w:rPr>
                <w:rFonts w:ascii="Arial Narrow" w:hAnsi="Arial Narrow" w:cs="Arial"/>
                <w:sz w:val="20"/>
                <w:szCs w:val="20"/>
              </w:rPr>
            </w:pPr>
            <w:r w:rsidRPr="00BE126E">
              <w:rPr>
                <w:rFonts w:ascii="Arial Narrow" w:hAnsi="Arial Narrow" w:cs="Arial"/>
                <w:sz w:val="20"/>
                <w:szCs w:val="20"/>
              </w:rPr>
              <w:t>5,353,687.62</w:t>
            </w:r>
          </w:p>
        </w:tc>
        <w:tc>
          <w:tcPr>
            <w:tcW w:w="2160" w:type="dxa"/>
            <w:tcBorders>
              <w:bottom w:val="single" w:sz="4" w:space="0" w:color="auto"/>
            </w:tcBorders>
            <w:vAlign w:val="center"/>
            <w:hideMark/>
          </w:tcPr>
          <w:p w:rsidR="00D9627A" w:rsidRPr="00BE126E" w:rsidRDefault="00D9627A" w:rsidP="00432DA9">
            <w:pPr>
              <w:jc w:val="right"/>
              <w:rPr>
                <w:rFonts w:ascii="Arial Narrow" w:hAnsi="Arial Narrow" w:cs="Arial"/>
                <w:sz w:val="20"/>
                <w:szCs w:val="20"/>
              </w:rPr>
            </w:pPr>
            <w:r w:rsidRPr="00BE126E">
              <w:rPr>
                <w:rFonts w:ascii="Arial Narrow" w:hAnsi="Arial Narrow" w:cs="Arial"/>
                <w:sz w:val="20"/>
                <w:szCs w:val="20"/>
              </w:rPr>
              <w:t>509,780.56</w:t>
            </w:r>
          </w:p>
        </w:tc>
        <w:tc>
          <w:tcPr>
            <w:tcW w:w="1440" w:type="dxa"/>
            <w:tcBorders>
              <w:bottom w:val="single" w:sz="4" w:space="0" w:color="auto"/>
            </w:tcBorders>
            <w:vAlign w:val="center"/>
          </w:tcPr>
          <w:p w:rsidR="00D9627A" w:rsidRPr="00BE126E" w:rsidRDefault="00D9627A" w:rsidP="00432DA9">
            <w:pPr>
              <w:jc w:val="right"/>
              <w:rPr>
                <w:rFonts w:ascii="Arial Narrow" w:hAnsi="Arial Narrow" w:cs="Arial"/>
                <w:sz w:val="20"/>
                <w:szCs w:val="20"/>
              </w:rPr>
            </w:pPr>
            <w:r w:rsidRPr="00BE126E">
              <w:rPr>
                <w:rFonts w:ascii="Arial Narrow" w:hAnsi="Arial Narrow" w:cs="Arial"/>
                <w:sz w:val="20"/>
                <w:szCs w:val="20"/>
              </w:rPr>
              <w:t>Jan. 17, 2019</w:t>
            </w:r>
          </w:p>
        </w:tc>
        <w:tc>
          <w:tcPr>
            <w:tcW w:w="1697" w:type="dxa"/>
            <w:tcBorders>
              <w:bottom w:val="single" w:sz="4" w:space="0" w:color="auto"/>
            </w:tcBorders>
            <w:vAlign w:val="center"/>
            <w:hideMark/>
          </w:tcPr>
          <w:p w:rsidR="00D9627A" w:rsidRPr="00BE126E" w:rsidRDefault="00D9627A" w:rsidP="00BE126E">
            <w:pPr>
              <w:ind w:right="-58"/>
              <w:jc w:val="right"/>
              <w:rPr>
                <w:rFonts w:ascii="Arial Narrow" w:hAnsi="Arial Narrow" w:cs="Arial"/>
                <w:sz w:val="20"/>
                <w:szCs w:val="20"/>
              </w:rPr>
            </w:pPr>
            <w:r w:rsidRPr="00BE126E">
              <w:rPr>
                <w:rFonts w:ascii="Arial Narrow" w:hAnsi="Arial Narrow" w:cs="Arial"/>
                <w:sz w:val="20"/>
                <w:szCs w:val="20"/>
              </w:rPr>
              <w:t>5,863,468.18</w:t>
            </w:r>
          </w:p>
        </w:tc>
      </w:tr>
      <w:tr w:rsidR="00D9627A" w:rsidRPr="008F7043" w:rsidTr="0025052F">
        <w:trPr>
          <w:trHeight w:hRule="exact" w:val="288"/>
        </w:trPr>
        <w:tc>
          <w:tcPr>
            <w:tcW w:w="1560" w:type="dxa"/>
            <w:tcBorders>
              <w:top w:val="single" w:sz="4" w:space="0" w:color="auto"/>
              <w:bottom w:val="double" w:sz="4" w:space="0" w:color="auto"/>
            </w:tcBorders>
            <w:vAlign w:val="center"/>
            <w:hideMark/>
          </w:tcPr>
          <w:p w:rsidR="00D9627A" w:rsidRPr="00BE126E" w:rsidRDefault="00D9627A" w:rsidP="0025052F">
            <w:pPr>
              <w:ind w:left="-38" w:hanging="38"/>
              <w:rPr>
                <w:rFonts w:ascii="Arial Narrow" w:hAnsi="Arial Narrow" w:cs="Arial"/>
                <w:sz w:val="20"/>
                <w:szCs w:val="20"/>
              </w:rPr>
            </w:pPr>
            <w:r w:rsidRPr="00BE126E">
              <w:rPr>
                <w:rFonts w:ascii="Arial Narrow" w:hAnsi="Arial Narrow" w:cs="Arial"/>
                <w:sz w:val="20"/>
                <w:szCs w:val="20"/>
              </w:rPr>
              <w:t>Total</w:t>
            </w:r>
          </w:p>
        </w:tc>
        <w:tc>
          <w:tcPr>
            <w:tcW w:w="1950" w:type="dxa"/>
            <w:tcBorders>
              <w:top w:val="single" w:sz="4" w:space="0" w:color="auto"/>
              <w:bottom w:val="double" w:sz="4" w:space="0" w:color="auto"/>
            </w:tcBorders>
            <w:vAlign w:val="center"/>
            <w:hideMark/>
          </w:tcPr>
          <w:p w:rsidR="00D9627A" w:rsidRPr="00BE126E" w:rsidRDefault="00961C14" w:rsidP="00432DA9">
            <w:pPr>
              <w:ind w:left="-115" w:firstLine="475"/>
              <w:jc w:val="right"/>
              <w:rPr>
                <w:rFonts w:ascii="Arial Narrow" w:hAnsi="Arial Narrow" w:cs="Arial"/>
                <w:sz w:val="20"/>
                <w:szCs w:val="20"/>
              </w:rPr>
            </w:pPr>
            <w:r>
              <w:rPr>
                <w:rFonts w:ascii="Arial Narrow" w:hAnsi="Arial Narrow" w:cs="Arial"/>
                <w:sz w:val="20"/>
                <w:szCs w:val="20"/>
              </w:rPr>
              <w:t xml:space="preserve">P </w:t>
            </w:r>
            <w:r w:rsidR="00D9627A" w:rsidRPr="00BE126E">
              <w:rPr>
                <w:rFonts w:ascii="Arial Narrow" w:hAnsi="Arial Narrow" w:cs="Arial"/>
                <w:sz w:val="20"/>
                <w:szCs w:val="20"/>
              </w:rPr>
              <w:t>57,992,245.81</w:t>
            </w:r>
          </w:p>
        </w:tc>
        <w:tc>
          <w:tcPr>
            <w:tcW w:w="2160" w:type="dxa"/>
            <w:tcBorders>
              <w:top w:val="single" w:sz="4" w:space="0" w:color="auto"/>
              <w:bottom w:val="double" w:sz="4" w:space="0" w:color="auto"/>
            </w:tcBorders>
            <w:vAlign w:val="center"/>
            <w:hideMark/>
          </w:tcPr>
          <w:p w:rsidR="00D9627A" w:rsidRPr="00BE126E" w:rsidRDefault="00961C14" w:rsidP="00432DA9">
            <w:pPr>
              <w:jc w:val="right"/>
              <w:rPr>
                <w:rFonts w:ascii="Arial Narrow" w:hAnsi="Arial Narrow" w:cs="Arial"/>
                <w:sz w:val="20"/>
                <w:szCs w:val="20"/>
              </w:rPr>
            </w:pPr>
            <w:r>
              <w:rPr>
                <w:rFonts w:ascii="Arial Narrow" w:hAnsi="Arial Narrow" w:cs="Arial"/>
                <w:sz w:val="20"/>
                <w:szCs w:val="20"/>
              </w:rPr>
              <w:t xml:space="preserve">P </w:t>
            </w:r>
            <w:r w:rsidR="00D9627A" w:rsidRPr="00BE126E">
              <w:rPr>
                <w:rFonts w:ascii="Arial Narrow" w:hAnsi="Arial Narrow" w:cs="Arial"/>
                <w:sz w:val="20"/>
                <w:szCs w:val="20"/>
              </w:rPr>
              <w:t>5,495,344.76</w:t>
            </w:r>
          </w:p>
        </w:tc>
        <w:tc>
          <w:tcPr>
            <w:tcW w:w="1440" w:type="dxa"/>
            <w:tcBorders>
              <w:top w:val="single" w:sz="4" w:space="0" w:color="auto"/>
              <w:bottom w:val="double" w:sz="4" w:space="0" w:color="auto"/>
            </w:tcBorders>
            <w:vAlign w:val="center"/>
          </w:tcPr>
          <w:p w:rsidR="00D9627A" w:rsidRPr="00BE126E" w:rsidRDefault="00D9627A" w:rsidP="00432DA9">
            <w:pPr>
              <w:jc w:val="right"/>
              <w:rPr>
                <w:rFonts w:ascii="Arial Narrow" w:hAnsi="Arial Narrow" w:cs="Arial"/>
                <w:sz w:val="20"/>
                <w:szCs w:val="20"/>
              </w:rPr>
            </w:pPr>
          </w:p>
        </w:tc>
        <w:tc>
          <w:tcPr>
            <w:tcW w:w="1697" w:type="dxa"/>
            <w:tcBorders>
              <w:top w:val="single" w:sz="4" w:space="0" w:color="auto"/>
              <w:bottom w:val="double" w:sz="4" w:space="0" w:color="auto"/>
            </w:tcBorders>
            <w:vAlign w:val="center"/>
            <w:hideMark/>
          </w:tcPr>
          <w:p w:rsidR="00D9627A" w:rsidRPr="00BE126E" w:rsidRDefault="00961C14" w:rsidP="00BE126E">
            <w:pPr>
              <w:ind w:right="-58"/>
              <w:jc w:val="right"/>
              <w:rPr>
                <w:rFonts w:ascii="Arial Narrow" w:hAnsi="Arial Narrow" w:cs="Calibri"/>
                <w:color w:val="000000"/>
                <w:sz w:val="20"/>
                <w:szCs w:val="20"/>
                <w:lang w:val="en-GB"/>
              </w:rPr>
            </w:pPr>
            <w:r>
              <w:rPr>
                <w:rFonts w:ascii="Arial Narrow" w:hAnsi="Arial Narrow" w:cs="Calibri"/>
                <w:color w:val="000000"/>
                <w:sz w:val="20"/>
                <w:szCs w:val="20"/>
              </w:rPr>
              <w:t xml:space="preserve">P </w:t>
            </w:r>
            <w:r w:rsidR="00D9627A" w:rsidRPr="00BE126E">
              <w:rPr>
                <w:rFonts w:ascii="Arial Narrow" w:hAnsi="Arial Narrow" w:cs="Calibri"/>
                <w:color w:val="000000"/>
                <w:sz w:val="20"/>
                <w:szCs w:val="20"/>
              </w:rPr>
              <w:t>63,487,590.57</w:t>
            </w:r>
          </w:p>
          <w:p w:rsidR="00D9627A" w:rsidRPr="00BE126E" w:rsidRDefault="00D9627A" w:rsidP="00BE126E">
            <w:pPr>
              <w:ind w:right="-58"/>
              <w:jc w:val="right"/>
              <w:rPr>
                <w:rFonts w:ascii="Arial Narrow" w:hAnsi="Arial Narrow" w:cs="Arial"/>
                <w:sz w:val="20"/>
                <w:szCs w:val="20"/>
              </w:rPr>
            </w:pPr>
          </w:p>
        </w:tc>
      </w:tr>
    </w:tbl>
    <w:p w:rsidR="006B018F" w:rsidRDefault="006B018F" w:rsidP="00DB6918">
      <w:pPr>
        <w:jc w:val="both"/>
        <w:rPr>
          <w:rFonts w:ascii="Arial" w:hAnsi="Arial" w:cs="Arial"/>
          <w:b/>
        </w:rPr>
      </w:pPr>
    </w:p>
    <w:p w:rsidR="00DB6918" w:rsidRPr="001E6A2A" w:rsidRDefault="00DB6918" w:rsidP="00DB6918">
      <w:pPr>
        <w:jc w:val="both"/>
        <w:rPr>
          <w:rFonts w:ascii="Arial" w:hAnsi="Arial" w:cs="Arial"/>
          <w:b/>
        </w:rPr>
      </w:pPr>
      <w:r w:rsidRPr="001E6A2A">
        <w:rPr>
          <w:rFonts w:ascii="Arial" w:hAnsi="Arial" w:cs="Arial"/>
          <w:b/>
        </w:rPr>
        <w:lastRenderedPageBreak/>
        <w:t>SUMMARY OF TOTAL SUSPENSIONS, DISALLOWANCES AND CHARGES</w:t>
      </w:r>
    </w:p>
    <w:p w:rsidR="00DB6918" w:rsidRPr="001E6A2A" w:rsidRDefault="00DB6918" w:rsidP="00DA78B4">
      <w:pPr>
        <w:pStyle w:val="ListParagraph"/>
        <w:numPr>
          <w:ilvl w:val="0"/>
          <w:numId w:val="21"/>
        </w:numPr>
        <w:jc w:val="both"/>
        <w:rPr>
          <w:rFonts w:ascii="Arial" w:hAnsi="Arial" w:cs="Arial"/>
          <w:color w:val="000000"/>
          <w:sz w:val="22"/>
          <w:szCs w:val="22"/>
        </w:rPr>
      </w:pPr>
      <w:r w:rsidRPr="001E6A2A">
        <w:rPr>
          <w:rFonts w:ascii="Arial" w:hAnsi="Arial" w:cs="Arial"/>
          <w:sz w:val="22"/>
          <w:szCs w:val="22"/>
        </w:rPr>
        <w:t>The total unsettled audit suspensions and disallowances as at Decembe</w:t>
      </w:r>
      <w:r>
        <w:rPr>
          <w:rFonts w:ascii="Arial" w:hAnsi="Arial" w:cs="Arial"/>
          <w:sz w:val="22"/>
          <w:szCs w:val="22"/>
        </w:rPr>
        <w:t>r 31, 2018 are shown in Table 1</w:t>
      </w:r>
      <w:r w:rsidR="00D9627A">
        <w:rPr>
          <w:rFonts w:ascii="Arial" w:hAnsi="Arial" w:cs="Arial"/>
          <w:sz w:val="22"/>
          <w:szCs w:val="22"/>
        </w:rPr>
        <w:t>9</w:t>
      </w:r>
      <w:r w:rsidRPr="001E6A2A">
        <w:rPr>
          <w:rFonts w:ascii="Arial" w:hAnsi="Arial" w:cs="Arial"/>
          <w:sz w:val="22"/>
          <w:szCs w:val="22"/>
        </w:rPr>
        <w:t>. Meanwhile, there were no notice of charge at the end of the</w:t>
      </w:r>
      <w:r w:rsidRPr="001E6A2A">
        <w:rPr>
          <w:rFonts w:ascii="Arial" w:hAnsi="Arial" w:cs="Arial"/>
          <w:color w:val="000000"/>
          <w:sz w:val="22"/>
          <w:szCs w:val="22"/>
        </w:rPr>
        <w:t xml:space="preserve"> year.</w:t>
      </w:r>
    </w:p>
    <w:p w:rsidR="00DB6918" w:rsidRPr="001E6A2A" w:rsidRDefault="00DB6918" w:rsidP="00DB6918">
      <w:pPr>
        <w:pStyle w:val="NoSpacing"/>
        <w:jc w:val="both"/>
        <w:rPr>
          <w:rFonts w:ascii="Arial" w:hAnsi="Arial" w:cs="Arial"/>
          <w:color w:val="000000"/>
          <w:lang w:val="en-US"/>
        </w:rPr>
      </w:pPr>
    </w:p>
    <w:p w:rsidR="00DB6918" w:rsidRPr="00961C14" w:rsidRDefault="00DB6918" w:rsidP="00DB6918">
      <w:pPr>
        <w:pStyle w:val="ListParagraph"/>
        <w:ind w:left="1296" w:firstLine="144"/>
        <w:jc w:val="both"/>
        <w:rPr>
          <w:rFonts w:ascii="Arial" w:hAnsi="Arial" w:cs="Arial"/>
          <w:b/>
          <w:sz w:val="20"/>
          <w:szCs w:val="20"/>
        </w:rPr>
      </w:pPr>
      <w:r w:rsidRPr="00961C14">
        <w:rPr>
          <w:rFonts w:ascii="Arial" w:hAnsi="Arial" w:cs="Arial"/>
          <w:b/>
          <w:sz w:val="20"/>
          <w:szCs w:val="20"/>
        </w:rPr>
        <w:t>Table 1</w:t>
      </w:r>
      <w:r w:rsidR="00D9627A" w:rsidRPr="00961C14">
        <w:rPr>
          <w:rFonts w:ascii="Arial" w:hAnsi="Arial" w:cs="Arial"/>
          <w:b/>
          <w:sz w:val="20"/>
          <w:szCs w:val="20"/>
        </w:rPr>
        <w:t>9</w:t>
      </w:r>
      <w:r w:rsidRPr="00961C14">
        <w:rPr>
          <w:rFonts w:ascii="Arial" w:hAnsi="Arial" w:cs="Arial"/>
          <w:b/>
          <w:sz w:val="20"/>
          <w:szCs w:val="20"/>
        </w:rPr>
        <w:t xml:space="preserve"> – Summary of Total Suspension and Disallowances</w:t>
      </w:r>
    </w:p>
    <w:p w:rsidR="00DB6918" w:rsidRPr="001B2566" w:rsidRDefault="00DB6918" w:rsidP="00DB6918">
      <w:pPr>
        <w:tabs>
          <w:tab w:val="left" w:pos="720"/>
        </w:tabs>
        <w:autoSpaceDE w:val="0"/>
        <w:autoSpaceDN w:val="0"/>
        <w:adjustRightInd w:val="0"/>
        <w:spacing w:after="0" w:line="240" w:lineRule="auto"/>
        <w:contextualSpacing/>
        <w:jc w:val="both"/>
        <w:rPr>
          <w:rFonts w:ascii="Arial" w:hAnsi="Arial" w:cs="Arial"/>
          <w:color w:val="000000"/>
          <w:sz w:val="20"/>
          <w:szCs w:val="20"/>
          <w:lang w:val="en-US"/>
        </w:rPr>
      </w:pPr>
    </w:p>
    <w:tbl>
      <w:tblPr>
        <w:tblW w:w="8640" w:type="dxa"/>
        <w:tblInd w:w="108" w:type="dxa"/>
        <w:tblLayout w:type="fixed"/>
        <w:tblLook w:val="04A0" w:firstRow="1" w:lastRow="0" w:firstColumn="1" w:lastColumn="0" w:noHBand="0" w:noVBand="1"/>
      </w:tblPr>
      <w:tblGrid>
        <w:gridCol w:w="1890"/>
        <w:gridCol w:w="1800"/>
        <w:gridCol w:w="1530"/>
        <w:gridCol w:w="1620"/>
        <w:gridCol w:w="1800"/>
      </w:tblGrid>
      <w:tr w:rsidR="00DB6918" w:rsidRPr="00570CAF" w:rsidTr="00961C14">
        <w:trPr>
          <w:trHeight w:val="65"/>
          <w:tblHeader/>
        </w:trPr>
        <w:tc>
          <w:tcPr>
            <w:tcW w:w="1890" w:type="dxa"/>
            <w:tcBorders>
              <w:top w:val="single" w:sz="4" w:space="0" w:color="auto"/>
              <w:bottom w:val="single" w:sz="4" w:space="0" w:color="auto"/>
            </w:tcBorders>
            <w:shd w:val="clear" w:color="auto" w:fill="auto"/>
            <w:vAlign w:val="center"/>
          </w:tcPr>
          <w:p w:rsidR="00DB6918" w:rsidRPr="00961C14" w:rsidRDefault="00DB6918" w:rsidP="00961C14">
            <w:pPr>
              <w:tabs>
                <w:tab w:val="left" w:pos="720"/>
              </w:tabs>
              <w:autoSpaceDE w:val="0"/>
              <w:autoSpaceDN w:val="0"/>
              <w:adjustRightInd w:val="0"/>
              <w:spacing w:after="0" w:line="240" w:lineRule="auto"/>
              <w:ind w:right="-108" w:hanging="108"/>
              <w:contextualSpacing/>
              <w:jc w:val="center"/>
              <w:rPr>
                <w:rFonts w:ascii="Arial Narrow" w:hAnsi="Arial Narrow" w:cs="Arial"/>
                <w:b/>
                <w:color w:val="000000"/>
                <w:sz w:val="20"/>
                <w:szCs w:val="20"/>
                <w:lang w:val="en-US"/>
              </w:rPr>
            </w:pPr>
            <w:bookmarkStart w:id="1" w:name="_Hlk516922746"/>
            <w:r w:rsidRPr="00961C14">
              <w:rPr>
                <w:rFonts w:ascii="Arial Narrow" w:hAnsi="Arial Narrow" w:cs="Arial"/>
                <w:b/>
                <w:color w:val="000000"/>
                <w:sz w:val="20"/>
                <w:szCs w:val="20"/>
                <w:lang w:val="en-US"/>
              </w:rPr>
              <w:t>Particulars</w:t>
            </w:r>
          </w:p>
        </w:tc>
        <w:tc>
          <w:tcPr>
            <w:tcW w:w="1800" w:type="dxa"/>
            <w:tcBorders>
              <w:top w:val="single" w:sz="4" w:space="0" w:color="auto"/>
              <w:bottom w:val="single" w:sz="4" w:space="0" w:color="auto"/>
            </w:tcBorders>
            <w:shd w:val="clear" w:color="auto" w:fill="auto"/>
            <w:vAlign w:val="center"/>
          </w:tcPr>
          <w:p w:rsidR="00DB6918" w:rsidRPr="00961C14" w:rsidRDefault="00DB6918" w:rsidP="00961C14">
            <w:pPr>
              <w:tabs>
                <w:tab w:val="left" w:pos="720"/>
              </w:tabs>
              <w:autoSpaceDE w:val="0"/>
              <w:autoSpaceDN w:val="0"/>
              <w:adjustRightInd w:val="0"/>
              <w:spacing w:after="0" w:line="240" w:lineRule="auto"/>
              <w:ind w:left="-108" w:hanging="108"/>
              <w:contextualSpacing/>
              <w:jc w:val="center"/>
              <w:rPr>
                <w:rFonts w:ascii="Arial Narrow" w:hAnsi="Arial Narrow" w:cs="Arial"/>
                <w:b/>
                <w:color w:val="000000"/>
                <w:sz w:val="20"/>
                <w:szCs w:val="20"/>
                <w:lang w:val="en-US"/>
              </w:rPr>
            </w:pPr>
            <w:r w:rsidRPr="00961C14">
              <w:rPr>
                <w:rFonts w:ascii="Arial Narrow" w:hAnsi="Arial Narrow" w:cs="Arial"/>
                <w:b/>
                <w:color w:val="000000"/>
                <w:sz w:val="20"/>
                <w:szCs w:val="20"/>
                <w:lang w:val="en-US"/>
              </w:rPr>
              <w:t>Balance,</w:t>
            </w:r>
          </w:p>
          <w:p w:rsidR="00DB6918" w:rsidRPr="00961C14" w:rsidRDefault="00DB6918" w:rsidP="00961C14">
            <w:pPr>
              <w:tabs>
                <w:tab w:val="left" w:pos="720"/>
              </w:tabs>
              <w:autoSpaceDE w:val="0"/>
              <w:autoSpaceDN w:val="0"/>
              <w:adjustRightInd w:val="0"/>
              <w:spacing w:after="0" w:line="240" w:lineRule="auto"/>
              <w:ind w:left="-108" w:hanging="108"/>
              <w:contextualSpacing/>
              <w:jc w:val="center"/>
              <w:rPr>
                <w:rFonts w:ascii="Arial Narrow" w:hAnsi="Arial Narrow" w:cs="Arial"/>
                <w:b/>
                <w:color w:val="000000"/>
                <w:sz w:val="20"/>
                <w:szCs w:val="20"/>
                <w:lang w:val="en-US"/>
              </w:rPr>
            </w:pPr>
            <w:r w:rsidRPr="00961C14">
              <w:rPr>
                <w:rFonts w:ascii="Arial Narrow" w:hAnsi="Arial Narrow" w:cs="Arial"/>
                <w:b/>
                <w:color w:val="000000"/>
                <w:sz w:val="20"/>
                <w:szCs w:val="20"/>
                <w:lang w:val="en-US"/>
              </w:rPr>
              <w:t>1/1/2018</w:t>
            </w:r>
          </w:p>
        </w:tc>
        <w:tc>
          <w:tcPr>
            <w:tcW w:w="1530" w:type="dxa"/>
            <w:tcBorders>
              <w:top w:val="single" w:sz="4" w:space="0" w:color="auto"/>
              <w:bottom w:val="single" w:sz="4" w:space="0" w:color="auto"/>
            </w:tcBorders>
            <w:shd w:val="clear" w:color="auto" w:fill="auto"/>
            <w:vAlign w:val="center"/>
          </w:tcPr>
          <w:p w:rsidR="00DB6918" w:rsidRPr="00961C14" w:rsidRDefault="00DB6918" w:rsidP="00961C14">
            <w:pPr>
              <w:autoSpaceDE w:val="0"/>
              <w:autoSpaceDN w:val="0"/>
              <w:adjustRightInd w:val="0"/>
              <w:spacing w:after="0" w:line="240" w:lineRule="auto"/>
              <w:ind w:left="-108" w:hanging="108"/>
              <w:contextualSpacing/>
              <w:jc w:val="center"/>
              <w:rPr>
                <w:rFonts w:ascii="Arial Narrow" w:hAnsi="Arial Narrow" w:cs="Arial"/>
                <w:b/>
                <w:color w:val="000000"/>
                <w:sz w:val="20"/>
                <w:szCs w:val="20"/>
                <w:lang w:val="en-US"/>
              </w:rPr>
            </w:pPr>
            <w:r w:rsidRPr="00961C14">
              <w:rPr>
                <w:rFonts w:ascii="Arial Narrow" w:hAnsi="Arial Narrow" w:cs="Arial"/>
                <w:b/>
                <w:color w:val="000000"/>
                <w:sz w:val="20"/>
                <w:szCs w:val="20"/>
                <w:lang w:val="en-US"/>
              </w:rPr>
              <w:t>Issued</w:t>
            </w:r>
          </w:p>
          <w:p w:rsidR="00DB6918" w:rsidRPr="00961C14" w:rsidRDefault="00DB6918" w:rsidP="00961C14">
            <w:pPr>
              <w:autoSpaceDE w:val="0"/>
              <w:autoSpaceDN w:val="0"/>
              <w:adjustRightInd w:val="0"/>
              <w:spacing w:after="0" w:line="240" w:lineRule="auto"/>
              <w:ind w:left="-108" w:hanging="108"/>
              <w:contextualSpacing/>
              <w:jc w:val="center"/>
              <w:rPr>
                <w:rFonts w:ascii="Arial Narrow" w:hAnsi="Arial Narrow" w:cs="Arial"/>
                <w:b/>
                <w:color w:val="000000"/>
                <w:sz w:val="20"/>
                <w:szCs w:val="20"/>
                <w:lang w:val="en-US"/>
              </w:rPr>
            </w:pPr>
            <w:r w:rsidRPr="00961C14">
              <w:rPr>
                <w:rFonts w:ascii="Arial Narrow" w:hAnsi="Arial Narrow" w:cs="Arial"/>
                <w:b/>
                <w:color w:val="000000"/>
                <w:sz w:val="20"/>
                <w:szCs w:val="20"/>
                <w:lang w:val="en-US"/>
              </w:rPr>
              <w:t>This period</w:t>
            </w:r>
          </w:p>
        </w:tc>
        <w:tc>
          <w:tcPr>
            <w:tcW w:w="1620" w:type="dxa"/>
            <w:tcBorders>
              <w:top w:val="single" w:sz="4" w:space="0" w:color="auto"/>
              <w:bottom w:val="single" w:sz="4" w:space="0" w:color="auto"/>
            </w:tcBorders>
            <w:shd w:val="clear" w:color="auto" w:fill="auto"/>
            <w:vAlign w:val="center"/>
          </w:tcPr>
          <w:p w:rsidR="00DB6918" w:rsidRPr="00961C14" w:rsidRDefault="00DB6918" w:rsidP="00961C14">
            <w:pPr>
              <w:autoSpaceDE w:val="0"/>
              <w:autoSpaceDN w:val="0"/>
              <w:adjustRightInd w:val="0"/>
              <w:spacing w:after="0" w:line="240" w:lineRule="auto"/>
              <w:ind w:left="-108" w:right="-108" w:hanging="108"/>
              <w:contextualSpacing/>
              <w:jc w:val="center"/>
              <w:rPr>
                <w:rFonts w:ascii="Arial Narrow" w:hAnsi="Arial Narrow" w:cs="Arial"/>
                <w:b/>
                <w:color w:val="000000"/>
                <w:sz w:val="20"/>
                <w:szCs w:val="20"/>
                <w:lang w:val="en-US"/>
              </w:rPr>
            </w:pPr>
            <w:r w:rsidRPr="00961C14">
              <w:rPr>
                <w:rFonts w:ascii="Arial Narrow" w:hAnsi="Arial Narrow" w:cs="Arial"/>
                <w:b/>
                <w:color w:val="000000"/>
                <w:sz w:val="20"/>
                <w:szCs w:val="20"/>
                <w:lang w:val="en-US"/>
              </w:rPr>
              <w:t>Settlement This period</w:t>
            </w:r>
          </w:p>
        </w:tc>
        <w:tc>
          <w:tcPr>
            <w:tcW w:w="1800" w:type="dxa"/>
            <w:tcBorders>
              <w:top w:val="single" w:sz="4" w:space="0" w:color="auto"/>
              <w:bottom w:val="single" w:sz="4" w:space="0" w:color="auto"/>
            </w:tcBorders>
            <w:shd w:val="clear" w:color="auto" w:fill="auto"/>
            <w:vAlign w:val="center"/>
          </w:tcPr>
          <w:p w:rsidR="00DB6918" w:rsidRPr="00961C14" w:rsidRDefault="00DB6918" w:rsidP="00961C14">
            <w:pPr>
              <w:autoSpaceDE w:val="0"/>
              <w:autoSpaceDN w:val="0"/>
              <w:adjustRightInd w:val="0"/>
              <w:spacing w:after="0" w:line="240" w:lineRule="auto"/>
              <w:ind w:left="-123" w:right="-108" w:hanging="108"/>
              <w:contextualSpacing/>
              <w:jc w:val="center"/>
              <w:rPr>
                <w:rFonts w:ascii="Arial Narrow" w:hAnsi="Arial Narrow" w:cs="Arial"/>
                <w:b/>
                <w:color w:val="000000"/>
                <w:sz w:val="20"/>
                <w:szCs w:val="20"/>
                <w:lang w:val="en-US"/>
              </w:rPr>
            </w:pPr>
            <w:r w:rsidRPr="00961C14">
              <w:rPr>
                <w:rFonts w:ascii="Arial Narrow" w:hAnsi="Arial Narrow" w:cs="Arial"/>
                <w:b/>
                <w:color w:val="000000"/>
                <w:sz w:val="20"/>
                <w:szCs w:val="20"/>
                <w:lang w:val="en-US"/>
              </w:rPr>
              <w:t>Balance,</w:t>
            </w:r>
          </w:p>
          <w:p w:rsidR="00DB6918" w:rsidRPr="00961C14" w:rsidRDefault="00DB6918" w:rsidP="00961C14">
            <w:pPr>
              <w:autoSpaceDE w:val="0"/>
              <w:autoSpaceDN w:val="0"/>
              <w:adjustRightInd w:val="0"/>
              <w:spacing w:after="0" w:line="240" w:lineRule="auto"/>
              <w:ind w:left="-123" w:right="-108" w:hanging="108"/>
              <w:contextualSpacing/>
              <w:jc w:val="center"/>
              <w:rPr>
                <w:rFonts w:ascii="Arial Narrow" w:hAnsi="Arial Narrow" w:cs="Arial"/>
                <w:b/>
                <w:color w:val="000000"/>
                <w:sz w:val="20"/>
                <w:szCs w:val="20"/>
                <w:lang w:val="en-US"/>
              </w:rPr>
            </w:pPr>
            <w:r w:rsidRPr="00961C14">
              <w:rPr>
                <w:rFonts w:ascii="Arial Narrow" w:hAnsi="Arial Narrow" w:cs="Arial"/>
                <w:b/>
                <w:color w:val="000000"/>
                <w:sz w:val="20"/>
                <w:szCs w:val="20"/>
                <w:lang w:val="en-US"/>
              </w:rPr>
              <w:t>12/31/2018</w:t>
            </w:r>
          </w:p>
        </w:tc>
      </w:tr>
      <w:tr w:rsidR="00DB6918" w:rsidRPr="00570CAF" w:rsidTr="00961C14">
        <w:trPr>
          <w:trHeight w:val="65"/>
        </w:trPr>
        <w:tc>
          <w:tcPr>
            <w:tcW w:w="1890" w:type="dxa"/>
            <w:shd w:val="clear" w:color="auto" w:fill="auto"/>
            <w:vAlign w:val="center"/>
          </w:tcPr>
          <w:p w:rsidR="00DB6918" w:rsidRPr="00961C14" w:rsidRDefault="00DB6918" w:rsidP="00961C14">
            <w:pPr>
              <w:tabs>
                <w:tab w:val="left" w:pos="720"/>
              </w:tabs>
              <w:autoSpaceDE w:val="0"/>
              <w:autoSpaceDN w:val="0"/>
              <w:adjustRightInd w:val="0"/>
              <w:spacing w:after="0" w:line="240" w:lineRule="auto"/>
              <w:ind w:right="-108" w:hanging="108"/>
              <w:contextualSpacing/>
              <w:rPr>
                <w:rFonts w:ascii="Arial Narrow" w:hAnsi="Arial Narrow" w:cs="Arial"/>
                <w:color w:val="000000"/>
                <w:sz w:val="20"/>
                <w:szCs w:val="20"/>
                <w:lang w:val="en-US"/>
              </w:rPr>
            </w:pPr>
            <w:r w:rsidRPr="00961C14">
              <w:rPr>
                <w:rFonts w:ascii="Arial Narrow" w:hAnsi="Arial Narrow" w:cs="Arial"/>
                <w:color w:val="000000"/>
                <w:sz w:val="20"/>
                <w:szCs w:val="20"/>
                <w:lang w:val="en-US"/>
              </w:rPr>
              <w:t xml:space="preserve">Notice of Suspension </w:t>
            </w:r>
          </w:p>
        </w:tc>
        <w:tc>
          <w:tcPr>
            <w:tcW w:w="1800" w:type="dxa"/>
            <w:shd w:val="clear" w:color="auto" w:fill="auto"/>
            <w:vAlign w:val="center"/>
          </w:tcPr>
          <w:p w:rsidR="00DB6918" w:rsidRPr="00961C14" w:rsidRDefault="00DB6918" w:rsidP="00961C14">
            <w:pPr>
              <w:tabs>
                <w:tab w:val="left" w:pos="720"/>
              </w:tabs>
              <w:autoSpaceDE w:val="0"/>
              <w:autoSpaceDN w:val="0"/>
              <w:adjustRightInd w:val="0"/>
              <w:spacing w:after="0" w:line="240" w:lineRule="auto"/>
              <w:ind w:left="-108" w:hanging="108"/>
              <w:contextualSpacing/>
              <w:jc w:val="right"/>
              <w:rPr>
                <w:rFonts w:ascii="Arial Narrow" w:hAnsi="Arial Narrow" w:cs="Arial"/>
                <w:color w:val="000000"/>
                <w:sz w:val="20"/>
                <w:szCs w:val="20"/>
                <w:lang w:val="en-US"/>
              </w:rPr>
            </w:pPr>
            <w:r w:rsidRPr="00961C14">
              <w:rPr>
                <w:rFonts w:ascii="Arial Narrow" w:hAnsi="Arial Narrow" w:cs="Arial"/>
                <w:color w:val="000000"/>
                <w:sz w:val="20"/>
                <w:szCs w:val="20"/>
                <w:lang w:val="en-US"/>
              </w:rPr>
              <w:t xml:space="preserve">     </w:t>
            </w:r>
            <w:r w:rsidR="00961C14">
              <w:rPr>
                <w:rFonts w:ascii="Arial Narrow" w:hAnsi="Arial Narrow" w:cs="Arial"/>
                <w:color w:val="000000"/>
                <w:sz w:val="20"/>
                <w:szCs w:val="20"/>
                <w:lang w:val="en-US"/>
              </w:rPr>
              <w:t xml:space="preserve">P     </w:t>
            </w:r>
            <w:r w:rsidRPr="00961C14">
              <w:rPr>
                <w:rFonts w:ascii="Arial Narrow" w:hAnsi="Arial Narrow" w:cs="Arial"/>
                <w:color w:val="000000"/>
                <w:sz w:val="20"/>
                <w:szCs w:val="20"/>
                <w:lang w:val="en-US"/>
              </w:rPr>
              <w:t>13,501,329.18</w:t>
            </w:r>
          </w:p>
        </w:tc>
        <w:tc>
          <w:tcPr>
            <w:tcW w:w="1530" w:type="dxa"/>
            <w:shd w:val="clear" w:color="auto" w:fill="auto"/>
            <w:vAlign w:val="bottom"/>
          </w:tcPr>
          <w:p w:rsidR="00DB6918" w:rsidRPr="00961C14" w:rsidRDefault="00961C14" w:rsidP="00961C14">
            <w:pPr>
              <w:autoSpaceDE w:val="0"/>
              <w:autoSpaceDN w:val="0"/>
              <w:adjustRightInd w:val="0"/>
              <w:spacing w:after="0" w:line="240" w:lineRule="auto"/>
              <w:ind w:left="-108" w:hanging="108"/>
              <w:contextualSpacing/>
              <w:jc w:val="right"/>
              <w:rPr>
                <w:rFonts w:ascii="Arial Narrow" w:hAnsi="Arial Narrow" w:cs="Arial"/>
                <w:color w:val="000000"/>
                <w:sz w:val="20"/>
                <w:szCs w:val="20"/>
                <w:lang w:val="en-US"/>
              </w:rPr>
            </w:pPr>
            <w:r>
              <w:rPr>
                <w:rFonts w:ascii="Arial Narrow" w:hAnsi="Arial Narrow" w:cs="Arial"/>
                <w:color w:val="000000"/>
                <w:sz w:val="20"/>
                <w:szCs w:val="20"/>
                <w:lang w:val="en-US"/>
              </w:rPr>
              <w:t>P                        -</w:t>
            </w:r>
          </w:p>
        </w:tc>
        <w:tc>
          <w:tcPr>
            <w:tcW w:w="1620" w:type="dxa"/>
            <w:shd w:val="clear" w:color="auto" w:fill="auto"/>
            <w:vAlign w:val="bottom"/>
          </w:tcPr>
          <w:p w:rsidR="00DB6918" w:rsidRPr="00961C14" w:rsidRDefault="00DB6918" w:rsidP="00961C14">
            <w:pPr>
              <w:autoSpaceDE w:val="0"/>
              <w:autoSpaceDN w:val="0"/>
              <w:adjustRightInd w:val="0"/>
              <w:spacing w:after="0" w:line="240" w:lineRule="auto"/>
              <w:ind w:left="162" w:hanging="108"/>
              <w:contextualSpacing/>
              <w:jc w:val="right"/>
              <w:rPr>
                <w:rFonts w:ascii="Arial Narrow" w:hAnsi="Arial Narrow" w:cs="Arial"/>
                <w:color w:val="000000"/>
                <w:sz w:val="20"/>
                <w:szCs w:val="20"/>
                <w:lang w:val="en-US"/>
              </w:rPr>
            </w:pPr>
            <w:r w:rsidRPr="00961C14">
              <w:rPr>
                <w:rFonts w:ascii="Arial Narrow" w:hAnsi="Arial Narrow" w:cs="Arial"/>
                <w:color w:val="000000"/>
                <w:sz w:val="20"/>
                <w:szCs w:val="20"/>
                <w:lang w:val="en-US"/>
              </w:rPr>
              <w:t xml:space="preserve">  </w:t>
            </w:r>
            <w:r w:rsidR="00961C14">
              <w:rPr>
                <w:rFonts w:ascii="Arial Narrow" w:hAnsi="Arial Narrow" w:cs="Arial"/>
                <w:color w:val="000000"/>
                <w:sz w:val="20"/>
                <w:szCs w:val="20"/>
                <w:lang w:val="en-US"/>
              </w:rPr>
              <w:t xml:space="preserve">P </w:t>
            </w:r>
            <w:r w:rsidRPr="00961C14">
              <w:rPr>
                <w:rFonts w:ascii="Arial Narrow" w:hAnsi="Arial Narrow" w:cs="Arial"/>
                <w:color w:val="000000"/>
                <w:sz w:val="20"/>
                <w:szCs w:val="20"/>
                <w:lang w:val="en-US"/>
              </w:rPr>
              <w:t>9,150,929.00</w:t>
            </w:r>
          </w:p>
        </w:tc>
        <w:tc>
          <w:tcPr>
            <w:tcW w:w="1800" w:type="dxa"/>
            <w:shd w:val="clear" w:color="auto" w:fill="auto"/>
            <w:vAlign w:val="bottom"/>
          </w:tcPr>
          <w:p w:rsidR="00DB6918" w:rsidRPr="00961C14" w:rsidRDefault="00961C14" w:rsidP="00961C14">
            <w:pPr>
              <w:autoSpaceDE w:val="0"/>
              <w:autoSpaceDN w:val="0"/>
              <w:adjustRightInd w:val="0"/>
              <w:spacing w:after="0" w:line="240" w:lineRule="auto"/>
              <w:ind w:left="-123" w:right="-108" w:hanging="108"/>
              <w:contextualSpacing/>
              <w:jc w:val="right"/>
              <w:rPr>
                <w:rFonts w:ascii="Arial Narrow" w:hAnsi="Arial Narrow" w:cs="Arial"/>
                <w:color w:val="000000"/>
                <w:sz w:val="20"/>
                <w:szCs w:val="20"/>
                <w:lang w:val="en-US"/>
              </w:rPr>
            </w:pPr>
            <w:r>
              <w:rPr>
                <w:rFonts w:ascii="Arial Narrow" w:hAnsi="Arial Narrow" w:cs="Arial"/>
                <w:color w:val="000000"/>
                <w:sz w:val="20"/>
                <w:szCs w:val="20"/>
                <w:lang w:val="en-US"/>
              </w:rPr>
              <w:t xml:space="preserve">P        </w:t>
            </w:r>
            <w:r w:rsidR="00DB6918" w:rsidRPr="00961C14">
              <w:rPr>
                <w:rFonts w:ascii="Arial Narrow" w:hAnsi="Arial Narrow" w:cs="Arial"/>
                <w:color w:val="000000"/>
                <w:sz w:val="20"/>
                <w:szCs w:val="20"/>
                <w:lang w:val="en-US"/>
              </w:rPr>
              <w:t>4,350,400.18</w:t>
            </w:r>
          </w:p>
        </w:tc>
      </w:tr>
      <w:tr w:rsidR="00DB6918" w:rsidRPr="00570CAF" w:rsidTr="00961C14">
        <w:trPr>
          <w:trHeight w:val="73"/>
        </w:trPr>
        <w:tc>
          <w:tcPr>
            <w:tcW w:w="1890" w:type="dxa"/>
            <w:shd w:val="clear" w:color="auto" w:fill="auto"/>
          </w:tcPr>
          <w:p w:rsidR="00DB6918" w:rsidRPr="00961C14" w:rsidRDefault="00DB6918" w:rsidP="00961C14">
            <w:pPr>
              <w:tabs>
                <w:tab w:val="left" w:pos="720"/>
              </w:tabs>
              <w:autoSpaceDE w:val="0"/>
              <w:autoSpaceDN w:val="0"/>
              <w:adjustRightInd w:val="0"/>
              <w:spacing w:after="0" w:line="240" w:lineRule="auto"/>
              <w:ind w:right="-108" w:hanging="108"/>
              <w:contextualSpacing/>
              <w:rPr>
                <w:rFonts w:ascii="Arial Narrow" w:hAnsi="Arial Narrow" w:cs="Arial"/>
                <w:color w:val="000000"/>
                <w:sz w:val="20"/>
                <w:szCs w:val="20"/>
                <w:lang w:val="en-US"/>
              </w:rPr>
            </w:pPr>
            <w:bookmarkStart w:id="2" w:name="_Hlk516922605"/>
            <w:r w:rsidRPr="00961C14">
              <w:rPr>
                <w:rFonts w:ascii="Arial Narrow" w:hAnsi="Arial Narrow" w:cs="Arial"/>
                <w:color w:val="000000"/>
                <w:sz w:val="20"/>
                <w:szCs w:val="20"/>
                <w:lang w:val="en-US"/>
              </w:rPr>
              <w:t xml:space="preserve">Notice of Disallowance </w:t>
            </w:r>
          </w:p>
        </w:tc>
        <w:tc>
          <w:tcPr>
            <w:tcW w:w="1800" w:type="dxa"/>
            <w:shd w:val="clear" w:color="auto" w:fill="auto"/>
          </w:tcPr>
          <w:p w:rsidR="00DB6918" w:rsidRPr="00961C14" w:rsidRDefault="00DB6918" w:rsidP="00961C14">
            <w:pPr>
              <w:tabs>
                <w:tab w:val="left" w:pos="720"/>
              </w:tabs>
              <w:autoSpaceDE w:val="0"/>
              <w:autoSpaceDN w:val="0"/>
              <w:adjustRightInd w:val="0"/>
              <w:spacing w:after="0" w:line="240" w:lineRule="auto"/>
              <w:ind w:left="-108" w:hanging="108"/>
              <w:contextualSpacing/>
              <w:jc w:val="right"/>
              <w:rPr>
                <w:rFonts w:ascii="Arial Narrow" w:hAnsi="Arial Narrow" w:cs="Arial"/>
                <w:color w:val="000000"/>
                <w:sz w:val="20"/>
                <w:szCs w:val="20"/>
                <w:lang w:val="en-US"/>
              </w:rPr>
            </w:pPr>
            <w:r w:rsidRPr="00961C14">
              <w:rPr>
                <w:rFonts w:ascii="Arial Narrow" w:hAnsi="Arial Narrow" w:cs="Arial"/>
                <w:color w:val="000000"/>
                <w:sz w:val="20"/>
                <w:szCs w:val="20"/>
                <w:lang w:val="en-US"/>
              </w:rPr>
              <w:t xml:space="preserve">  1,256,296,390.11</w:t>
            </w:r>
          </w:p>
        </w:tc>
        <w:tc>
          <w:tcPr>
            <w:tcW w:w="1530" w:type="dxa"/>
            <w:shd w:val="clear" w:color="auto" w:fill="auto"/>
            <w:vAlign w:val="bottom"/>
          </w:tcPr>
          <w:p w:rsidR="00DB6918" w:rsidRPr="00961C14" w:rsidRDefault="00DB6918" w:rsidP="00961C14">
            <w:pPr>
              <w:autoSpaceDE w:val="0"/>
              <w:autoSpaceDN w:val="0"/>
              <w:adjustRightInd w:val="0"/>
              <w:spacing w:after="0" w:line="240" w:lineRule="auto"/>
              <w:ind w:left="-108" w:hanging="108"/>
              <w:contextualSpacing/>
              <w:jc w:val="right"/>
              <w:rPr>
                <w:rFonts w:ascii="Arial Narrow" w:hAnsi="Arial Narrow" w:cs="Arial"/>
                <w:color w:val="000000"/>
                <w:sz w:val="20"/>
                <w:szCs w:val="20"/>
                <w:lang w:val="en-US"/>
              </w:rPr>
            </w:pPr>
            <w:r w:rsidRPr="00961C14">
              <w:rPr>
                <w:rFonts w:ascii="Arial Narrow" w:hAnsi="Arial Narrow" w:cs="Arial"/>
                <w:color w:val="000000"/>
                <w:sz w:val="20"/>
                <w:szCs w:val="20"/>
                <w:lang w:val="en-US"/>
              </w:rPr>
              <w:t>811,463,087.99</w:t>
            </w:r>
          </w:p>
        </w:tc>
        <w:tc>
          <w:tcPr>
            <w:tcW w:w="1620" w:type="dxa"/>
            <w:shd w:val="clear" w:color="auto" w:fill="auto"/>
            <w:vAlign w:val="bottom"/>
          </w:tcPr>
          <w:p w:rsidR="00DB6918" w:rsidRPr="00961C14" w:rsidRDefault="00DB6918" w:rsidP="00961C14">
            <w:pPr>
              <w:autoSpaceDE w:val="0"/>
              <w:autoSpaceDN w:val="0"/>
              <w:adjustRightInd w:val="0"/>
              <w:spacing w:after="0" w:line="240" w:lineRule="auto"/>
              <w:ind w:left="162" w:hanging="108"/>
              <w:contextualSpacing/>
              <w:jc w:val="right"/>
              <w:rPr>
                <w:rFonts w:ascii="Arial Narrow" w:hAnsi="Arial Narrow" w:cs="Arial"/>
                <w:color w:val="000000"/>
                <w:sz w:val="20"/>
                <w:szCs w:val="20"/>
                <w:lang w:val="en-US"/>
              </w:rPr>
            </w:pPr>
            <w:r w:rsidRPr="00961C14">
              <w:rPr>
                <w:rFonts w:ascii="Arial Narrow" w:hAnsi="Arial Narrow" w:cs="Arial"/>
                <w:color w:val="000000"/>
                <w:sz w:val="20"/>
                <w:szCs w:val="20"/>
                <w:lang w:val="en-US"/>
              </w:rPr>
              <w:t xml:space="preserve">       72,644.88</w:t>
            </w:r>
          </w:p>
        </w:tc>
        <w:tc>
          <w:tcPr>
            <w:tcW w:w="1800" w:type="dxa"/>
            <w:shd w:val="clear" w:color="auto" w:fill="auto"/>
            <w:vAlign w:val="bottom"/>
          </w:tcPr>
          <w:p w:rsidR="00DB6918" w:rsidRPr="00961C14" w:rsidRDefault="00DB6918" w:rsidP="00961C14">
            <w:pPr>
              <w:autoSpaceDE w:val="0"/>
              <w:autoSpaceDN w:val="0"/>
              <w:adjustRightInd w:val="0"/>
              <w:spacing w:after="0" w:line="240" w:lineRule="auto"/>
              <w:ind w:left="-123" w:right="-108" w:hanging="108"/>
              <w:contextualSpacing/>
              <w:jc w:val="right"/>
              <w:rPr>
                <w:rFonts w:ascii="Arial Narrow" w:hAnsi="Arial Narrow" w:cs="Arial"/>
                <w:color w:val="000000"/>
                <w:sz w:val="20"/>
                <w:szCs w:val="20"/>
                <w:lang w:val="en-US"/>
              </w:rPr>
            </w:pPr>
            <w:r w:rsidRPr="00961C14">
              <w:rPr>
                <w:rFonts w:ascii="Arial Narrow" w:hAnsi="Arial Narrow" w:cs="Arial"/>
                <w:color w:val="000000"/>
                <w:sz w:val="20"/>
                <w:szCs w:val="20"/>
                <w:lang w:val="en-US"/>
              </w:rPr>
              <w:t xml:space="preserve"> 2,067,686,833.22</w:t>
            </w:r>
          </w:p>
        </w:tc>
      </w:tr>
      <w:bookmarkEnd w:id="2"/>
      <w:tr w:rsidR="00DB6918" w:rsidRPr="00570CAF" w:rsidTr="00961C14">
        <w:trPr>
          <w:trHeight w:val="197"/>
        </w:trPr>
        <w:tc>
          <w:tcPr>
            <w:tcW w:w="1890" w:type="dxa"/>
            <w:tcBorders>
              <w:top w:val="single" w:sz="4" w:space="0" w:color="auto"/>
              <w:bottom w:val="double" w:sz="4" w:space="0" w:color="auto"/>
            </w:tcBorders>
            <w:shd w:val="clear" w:color="auto" w:fill="auto"/>
          </w:tcPr>
          <w:p w:rsidR="00DB6918" w:rsidRPr="00961C14" w:rsidRDefault="00DB6918" w:rsidP="00961C14">
            <w:pPr>
              <w:tabs>
                <w:tab w:val="left" w:pos="720"/>
              </w:tabs>
              <w:autoSpaceDE w:val="0"/>
              <w:autoSpaceDN w:val="0"/>
              <w:adjustRightInd w:val="0"/>
              <w:spacing w:after="0" w:line="240" w:lineRule="auto"/>
              <w:ind w:right="-108" w:hanging="108"/>
              <w:contextualSpacing/>
              <w:jc w:val="both"/>
              <w:rPr>
                <w:rFonts w:ascii="Arial Narrow" w:hAnsi="Arial Narrow" w:cs="Arial"/>
                <w:b/>
                <w:color w:val="000000"/>
                <w:sz w:val="20"/>
                <w:szCs w:val="20"/>
                <w:lang w:val="en-US"/>
              </w:rPr>
            </w:pPr>
          </w:p>
        </w:tc>
        <w:tc>
          <w:tcPr>
            <w:tcW w:w="1800" w:type="dxa"/>
            <w:tcBorders>
              <w:top w:val="single" w:sz="4" w:space="0" w:color="auto"/>
              <w:bottom w:val="double" w:sz="4" w:space="0" w:color="auto"/>
            </w:tcBorders>
            <w:shd w:val="clear" w:color="auto" w:fill="auto"/>
          </w:tcPr>
          <w:p w:rsidR="00DB6918" w:rsidRPr="00961C14" w:rsidRDefault="00961C14" w:rsidP="00961C14">
            <w:pPr>
              <w:tabs>
                <w:tab w:val="left" w:pos="720"/>
              </w:tabs>
              <w:autoSpaceDE w:val="0"/>
              <w:autoSpaceDN w:val="0"/>
              <w:adjustRightInd w:val="0"/>
              <w:spacing w:after="0" w:line="240" w:lineRule="auto"/>
              <w:ind w:left="-108" w:hanging="108"/>
              <w:contextualSpacing/>
              <w:jc w:val="right"/>
              <w:rPr>
                <w:rFonts w:ascii="Arial Narrow" w:hAnsi="Arial Narrow" w:cs="Arial"/>
                <w:b/>
                <w:color w:val="000000"/>
                <w:sz w:val="20"/>
                <w:szCs w:val="20"/>
                <w:lang w:val="en-US"/>
              </w:rPr>
            </w:pPr>
            <w:r>
              <w:rPr>
                <w:rFonts w:ascii="Arial Narrow" w:hAnsi="Arial Narrow" w:cs="Arial"/>
                <w:b/>
                <w:color w:val="000000"/>
                <w:sz w:val="20"/>
                <w:szCs w:val="20"/>
                <w:lang w:val="en-US"/>
              </w:rPr>
              <w:t>P</w:t>
            </w:r>
            <w:r w:rsidR="00DB6918" w:rsidRPr="00961C14">
              <w:rPr>
                <w:rFonts w:ascii="Arial Narrow" w:hAnsi="Arial Narrow" w:cs="Arial"/>
                <w:b/>
                <w:color w:val="000000"/>
                <w:sz w:val="20"/>
                <w:szCs w:val="20"/>
                <w:lang w:val="en-US"/>
              </w:rPr>
              <w:t>1,269,797,719.29</w:t>
            </w:r>
          </w:p>
        </w:tc>
        <w:tc>
          <w:tcPr>
            <w:tcW w:w="1530" w:type="dxa"/>
            <w:tcBorders>
              <w:top w:val="single" w:sz="4" w:space="0" w:color="auto"/>
              <w:bottom w:val="double" w:sz="4" w:space="0" w:color="auto"/>
            </w:tcBorders>
            <w:shd w:val="clear" w:color="auto" w:fill="auto"/>
            <w:vAlign w:val="bottom"/>
          </w:tcPr>
          <w:p w:rsidR="00DB6918" w:rsidRPr="00961C14" w:rsidRDefault="00961C14" w:rsidP="00961C14">
            <w:pPr>
              <w:tabs>
                <w:tab w:val="left" w:pos="720"/>
              </w:tabs>
              <w:autoSpaceDE w:val="0"/>
              <w:autoSpaceDN w:val="0"/>
              <w:adjustRightInd w:val="0"/>
              <w:spacing w:after="0" w:line="240" w:lineRule="auto"/>
              <w:ind w:left="-108" w:hanging="108"/>
              <w:contextualSpacing/>
              <w:jc w:val="right"/>
              <w:rPr>
                <w:rFonts w:ascii="Arial Narrow" w:hAnsi="Arial Narrow" w:cs="Arial"/>
                <w:b/>
                <w:color w:val="000000"/>
                <w:sz w:val="20"/>
                <w:szCs w:val="20"/>
                <w:lang w:val="en-US"/>
              </w:rPr>
            </w:pPr>
            <w:r>
              <w:rPr>
                <w:rFonts w:ascii="Arial Narrow" w:hAnsi="Arial Narrow" w:cs="Arial"/>
                <w:b/>
                <w:color w:val="000000"/>
                <w:sz w:val="20"/>
                <w:szCs w:val="20"/>
                <w:lang w:val="en-US"/>
              </w:rPr>
              <w:t>P</w:t>
            </w:r>
            <w:r w:rsidR="00DB6918" w:rsidRPr="00961C14">
              <w:rPr>
                <w:rFonts w:ascii="Arial Narrow" w:hAnsi="Arial Narrow" w:cs="Arial"/>
                <w:b/>
                <w:color w:val="000000"/>
                <w:sz w:val="20"/>
                <w:szCs w:val="20"/>
                <w:lang w:val="en-US"/>
              </w:rPr>
              <w:t>811,463,087.99</w:t>
            </w:r>
          </w:p>
        </w:tc>
        <w:tc>
          <w:tcPr>
            <w:tcW w:w="1620" w:type="dxa"/>
            <w:tcBorders>
              <w:top w:val="single" w:sz="4" w:space="0" w:color="auto"/>
              <w:bottom w:val="double" w:sz="4" w:space="0" w:color="auto"/>
            </w:tcBorders>
            <w:shd w:val="clear" w:color="auto" w:fill="auto"/>
            <w:vAlign w:val="bottom"/>
          </w:tcPr>
          <w:p w:rsidR="00DB6918" w:rsidRPr="00961C14" w:rsidRDefault="00961C14" w:rsidP="00961C14">
            <w:pPr>
              <w:tabs>
                <w:tab w:val="left" w:pos="720"/>
              </w:tabs>
              <w:autoSpaceDE w:val="0"/>
              <w:autoSpaceDN w:val="0"/>
              <w:adjustRightInd w:val="0"/>
              <w:spacing w:after="0" w:line="240" w:lineRule="auto"/>
              <w:ind w:left="162" w:hanging="108"/>
              <w:contextualSpacing/>
              <w:jc w:val="right"/>
              <w:rPr>
                <w:rFonts w:ascii="Arial Narrow" w:hAnsi="Arial Narrow" w:cs="Arial"/>
                <w:b/>
                <w:color w:val="000000"/>
                <w:sz w:val="20"/>
                <w:szCs w:val="20"/>
                <w:lang w:val="en-US"/>
              </w:rPr>
            </w:pPr>
            <w:r>
              <w:rPr>
                <w:rFonts w:ascii="Arial Narrow" w:hAnsi="Arial Narrow" w:cs="Arial"/>
                <w:b/>
                <w:color w:val="000000"/>
                <w:sz w:val="20"/>
                <w:szCs w:val="20"/>
                <w:lang w:val="en-US"/>
              </w:rPr>
              <w:t xml:space="preserve">P </w:t>
            </w:r>
            <w:r w:rsidR="00DB6918" w:rsidRPr="00961C14">
              <w:rPr>
                <w:rFonts w:ascii="Arial Narrow" w:hAnsi="Arial Narrow" w:cs="Arial"/>
                <w:b/>
                <w:color w:val="000000"/>
                <w:sz w:val="20"/>
                <w:szCs w:val="20"/>
                <w:lang w:val="en-US"/>
              </w:rPr>
              <w:t>9,223,573.88</w:t>
            </w:r>
          </w:p>
        </w:tc>
        <w:tc>
          <w:tcPr>
            <w:tcW w:w="1800" w:type="dxa"/>
            <w:tcBorders>
              <w:top w:val="single" w:sz="4" w:space="0" w:color="auto"/>
              <w:bottom w:val="double" w:sz="4" w:space="0" w:color="auto"/>
            </w:tcBorders>
            <w:shd w:val="clear" w:color="auto" w:fill="auto"/>
            <w:vAlign w:val="bottom"/>
          </w:tcPr>
          <w:p w:rsidR="00DB6918" w:rsidRPr="00961C14" w:rsidRDefault="00961C14" w:rsidP="00961C14">
            <w:pPr>
              <w:autoSpaceDE w:val="0"/>
              <w:autoSpaceDN w:val="0"/>
              <w:adjustRightInd w:val="0"/>
              <w:spacing w:after="0" w:line="240" w:lineRule="auto"/>
              <w:ind w:left="-123" w:right="-108" w:hanging="108"/>
              <w:contextualSpacing/>
              <w:jc w:val="right"/>
              <w:rPr>
                <w:rFonts w:ascii="Arial Narrow" w:hAnsi="Arial Narrow" w:cs="Arial"/>
                <w:b/>
                <w:color w:val="000000"/>
                <w:sz w:val="20"/>
                <w:szCs w:val="20"/>
                <w:lang w:val="en-US"/>
              </w:rPr>
            </w:pPr>
            <w:r>
              <w:rPr>
                <w:rFonts w:ascii="Arial Narrow" w:hAnsi="Arial Narrow" w:cs="Arial"/>
                <w:b/>
                <w:color w:val="000000"/>
                <w:sz w:val="20"/>
                <w:szCs w:val="20"/>
                <w:lang w:val="en-US"/>
              </w:rPr>
              <w:t>P</w:t>
            </w:r>
            <w:r w:rsidR="00DB6918" w:rsidRPr="00961C14">
              <w:rPr>
                <w:rFonts w:ascii="Arial Narrow" w:hAnsi="Arial Narrow" w:cs="Arial"/>
                <w:b/>
                <w:color w:val="000000"/>
                <w:sz w:val="20"/>
                <w:szCs w:val="20"/>
                <w:lang w:val="en-US"/>
              </w:rPr>
              <w:t>2,072,037,233.40</w:t>
            </w:r>
          </w:p>
        </w:tc>
      </w:tr>
      <w:bookmarkEnd w:id="1"/>
    </w:tbl>
    <w:p w:rsidR="00DB6918" w:rsidRPr="001E6A2A" w:rsidRDefault="00DB6918" w:rsidP="00DB6918">
      <w:pPr>
        <w:autoSpaceDE w:val="0"/>
        <w:autoSpaceDN w:val="0"/>
        <w:adjustRightInd w:val="0"/>
        <w:spacing w:after="0" w:line="240" w:lineRule="auto"/>
        <w:contextualSpacing/>
        <w:jc w:val="both"/>
        <w:rPr>
          <w:rFonts w:ascii="Arial" w:hAnsi="Arial" w:cs="Arial"/>
          <w:color w:val="000000"/>
          <w:lang w:val="en-US"/>
        </w:rPr>
      </w:pPr>
    </w:p>
    <w:p w:rsidR="00E72BB7" w:rsidRPr="00961C14" w:rsidRDefault="00DB6918" w:rsidP="00DA78B4">
      <w:pPr>
        <w:numPr>
          <w:ilvl w:val="1"/>
          <w:numId w:val="21"/>
        </w:numPr>
        <w:spacing w:after="0" w:line="240" w:lineRule="auto"/>
        <w:ind w:left="1440"/>
        <w:jc w:val="both"/>
        <w:rPr>
          <w:rFonts w:ascii="Arial" w:hAnsi="Arial" w:cs="Arial"/>
          <w:color w:val="000000"/>
          <w:lang w:val="en-US"/>
        </w:rPr>
      </w:pPr>
      <w:r w:rsidRPr="00961C14">
        <w:rPr>
          <w:rFonts w:ascii="Arial" w:hAnsi="Arial" w:cs="Arial"/>
          <w:color w:val="000000"/>
          <w:lang w:val="en-US"/>
        </w:rPr>
        <w:t>The disallowances issued for the period amounting to P811</w:t>
      </w:r>
      <w:r w:rsidR="00961C14">
        <w:rPr>
          <w:rFonts w:ascii="Arial" w:hAnsi="Arial" w:cs="Arial"/>
          <w:color w:val="000000"/>
          <w:lang w:val="en-US"/>
        </w:rPr>
        <w:t>.</w:t>
      </w:r>
      <w:r w:rsidRPr="00961C14">
        <w:rPr>
          <w:rFonts w:ascii="Arial" w:hAnsi="Arial" w:cs="Arial"/>
          <w:color w:val="000000"/>
          <w:lang w:val="en-US"/>
        </w:rPr>
        <w:t>463</w:t>
      </w:r>
      <w:r w:rsidR="00961C14">
        <w:rPr>
          <w:rFonts w:ascii="Arial" w:hAnsi="Arial" w:cs="Arial"/>
          <w:color w:val="000000"/>
          <w:lang w:val="en-US"/>
        </w:rPr>
        <w:t xml:space="preserve"> million</w:t>
      </w:r>
      <w:r w:rsidRPr="00961C14">
        <w:rPr>
          <w:rFonts w:ascii="Arial" w:hAnsi="Arial" w:cs="Arial"/>
          <w:color w:val="000000"/>
          <w:lang w:val="en-US"/>
        </w:rPr>
        <w:t xml:space="preserve"> represent payments of unauthorized benefits, unnecessary and extravagant expenses amounting to P519</w:t>
      </w:r>
      <w:r w:rsidR="00961C14">
        <w:rPr>
          <w:rFonts w:ascii="Arial" w:hAnsi="Arial" w:cs="Arial"/>
          <w:color w:val="000000"/>
          <w:lang w:val="en-US"/>
        </w:rPr>
        <w:t>.925 million</w:t>
      </w:r>
      <w:r w:rsidRPr="00961C14">
        <w:rPr>
          <w:rFonts w:ascii="Arial" w:hAnsi="Arial" w:cs="Arial"/>
          <w:color w:val="000000"/>
          <w:lang w:val="en-US"/>
        </w:rPr>
        <w:t>, P291</w:t>
      </w:r>
      <w:r w:rsidR="00961C14">
        <w:rPr>
          <w:rFonts w:ascii="Arial" w:hAnsi="Arial" w:cs="Arial"/>
          <w:color w:val="000000"/>
          <w:lang w:val="en-US"/>
        </w:rPr>
        <w:t>.</w:t>
      </w:r>
      <w:r w:rsidRPr="00961C14">
        <w:rPr>
          <w:rFonts w:ascii="Arial" w:hAnsi="Arial" w:cs="Arial"/>
          <w:color w:val="000000"/>
          <w:lang w:val="en-US"/>
        </w:rPr>
        <w:t>48</w:t>
      </w:r>
      <w:r w:rsidR="00961C14">
        <w:rPr>
          <w:rFonts w:ascii="Arial" w:hAnsi="Arial" w:cs="Arial"/>
          <w:color w:val="000000"/>
          <w:lang w:val="en-US"/>
        </w:rPr>
        <w:t>2 million</w:t>
      </w:r>
      <w:r w:rsidRPr="00961C14">
        <w:rPr>
          <w:rFonts w:ascii="Arial" w:hAnsi="Arial" w:cs="Arial"/>
          <w:color w:val="000000"/>
          <w:lang w:val="en-US"/>
        </w:rPr>
        <w:t xml:space="preserve"> and P56,540, respectively. The cases are under appeal with the COA Commission Proper.</w:t>
      </w:r>
      <w:r w:rsidR="00961C14" w:rsidRPr="00961C14">
        <w:rPr>
          <w:rFonts w:ascii="Arial" w:hAnsi="Arial" w:cs="Arial"/>
          <w:color w:val="000000"/>
          <w:lang w:val="en-US"/>
        </w:rPr>
        <w:t xml:space="preserve"> </w:t>
      </w:r>
      <w:r w:rsidRPr="00961C14">
        <w:rPr>
          <w:rFonts w:ascii="Arial" w:hAnsi="Arial" w:cs="Arial"/>
          <w:color w:val="000000"/>
          <w:lang w:val="en-US"/>
        </w:rPr>
        <w:t xml:space="preserve">Details of </w:t>
      </w:r>
      <w:r w:rsidR="00961C14">
        <w:rPr>
          <w:rFonts w:ascii="Arial" w:hAnsi="Arial" w:cs="Arial"/>
          <w:color w:val="000000"/>
          <w:lang w:val="en-US"/>
        </w:rPr>
        <w:t xml:space="preserve">unsettled </w:t>
      </w:r>
      <w:r w:rsidRPr="00961C14">
        <w:rPr>
          <w:rFonts w:ascii="Arial" w:hAnsi="Arial" w:cs="Arial"/>
          <w:color w:val="000000"/>
          <w:lang w:val="en-US"/>
        </w:rPr>
        <w:t>suspension</w:t>
      </w:r>
      <w:r w:rsidR="00961C14">
        <w:rPr>
          <w:rFonts w:ascii="Arial" w:hAnsi="Arial" w:cs="Arial"/>
          <w:color w:val="000000"/>
          <w:lang w:val="en-US"/>
        </w:rPr>
        <w:t>s</w:t>
      </w:r>
      <w:r w:rsidRPr="00961C14">
        <w:rPr>
          <w:rFonts w:ascii="Arial" w:hAnsi="Arial" w:cs="Arial"/>
          <w:color w:val="000000"/>
          <w:lang w:val="en-US"/>
        </w:rPr>
        <w:t xml:space="preserve"> and disallowances </w:t>
      </w:r>
      <w:r w:rsidR="00961C14">
        <w:rPr>
          <w:rFonts w:ascii="Arial" w:hAnsi="Arial" w:cs="Arial"/>
          <w:color w:val="000000"/>
          <w:lang w:val="en-US"/>
        </w:rPr>
        <w:t xml:space="preserve">at year-end </w:t>
      </w:r>
      <w:r w:rsidRPr="00961C14">
        <w:rPr>
          <w:rFonts w:ascii="Arial" w:hAnsi="Arial" w:cs="Arial"/>
          <w:color w:val="000000"/>
          <w:lang w:val="en-US"/>
        </w:rPr>
        <w:t xml:space="preserve">are shown </w:t>
      </w:r>
      <w:r w:rsidR="006632F2" w:rsidRPr="00961C14">
        <w:rPr>
          <w:rFonts w:ascii="Arial" w:hAnsi="Arial" w:cs="Arial"/>
        </w:rPr>
        <w:t>in Part IV-Annex A</w:t>
      </w:r>
      <w:r w:rsidR="00961C14">
        <w:rPr>
          <w:rFonts w:ascii="Arial" w:hAnsi="Arial" w:cs="Arial"/>
        </w:rPr>
        <w:t xml:space="preserve"> of this Report</w:t>
      </w:r>
      <w:r w:rsidR="006632F2" w:rsidRPr="00961C14">
        <w:rPr>
          <w:rFonts w:ascii="Arial" w:hAnsi="Arial" w:cs="Arial"/>
        </w:rPr>
        <w:t>.</w:t>
      </w:r>
    </w:p>
    <w:sectPr w:rsidR="00E72BB7" w:rsidRPr="00961C14" w:rsidSect="006A2C40">
      <w:footerReference w:type="default" r:id="rId8"/>
      <w:pgSz w:w="12240" w:h="15840"/>
      <w:pgMar w:top="1440" w:right="1440" w:bottom="1440" w:left="1440" w:header="706" w:footer="706" w:gutter="720"/>
      <w:pgNumType w:start="9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6DB5" w:rsidRDefault="007D6DB5" w:rsidP="00B56546">
      <w:pPr>
        <w:spacing w:after="0" w:line="240" w:lineRule="auto"/>
      </w:pPr>
      <w:r>
        <w:separator/>
      </w:r>
    </w:p>
  </w:endnote>
  <w:endnote w:type="continuationSeparator" w:id="0">
    <w:p w:rsidR="007D6DB5" w:rsidRDefault="007D6DB5" w:rsidP="00B565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abic Typesetting">
    <w:charset w:val="00"/>
    <w:family w:val="script"/>
    <w:pitch w:val="variable"/>
    <w:sig w:usb0="A000206F" w:usb1="C0000000" w:usb2="00000008" w:usb3="00000000" w:csb0="000000D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9201585"/>
      <w:docPartObj>
        <w:docPartGallery w:val="Page Numbers (Bottom of Page)"/>
        <w:docPartUnique/>
      </w:docPartObj>
    </w:sdtPr>
    <w:sdtEndPr>
      <w:rPr>
        <w:rFonts w:ascii="Arial" w:hAnsi="Arial" w:cs="Arial"/>
        <w:noProof/>
        <w:sz w:val="20"/>
        <w:szCs w:val="20"/>
      </w:rPr>
    </w:sdtEndPr>
    <w:sdtContent>
      <w:p w:rsidR="005E3453" w:rsidRPr="005313E4" w:rsidRDefault="00CD62E3">
        <w:pPr>
          <w:pStyle w:val="Footer"/>
          <w:jc w:val="right"/>
          <w:rPr>
            <w:rFonts w:ascii="Arial" w:hAnsi="Arial" w:cs="Arial"/>
            <w:sz w:val="20"/>
            <w:szCs w:val="20"/>
          </w:rPr>
        </w:pPr>
        <w:r w:rsidRPr="005313E4">
          <w:rPr>
            <w:rFonts w:ascii="Arial" w:hAnsi="Arial" w:cs="Arial"/>
            <w:sz w:val="20"/>
            <w:szCs w:val="20"/>
          </w:rPr>
          <w:fldChar w:fldCharType="begin"/>
        </w:r>
        <w:r w:rsidR="005E3453" w:rsidRPr="005313E4">
          <w:rPr>
            <w:rFonts w:ascii="Arial" w:hAnsi="Arial" w:cs="Arial"/>
            <w:sz w:val="20"/>
            <w:szCs w:val="20"/>
          </w:rPr>
          <w:instrText xml:space="preserve"> PAGE   \* MERGEFORMAT </w:instrText>
        </w:r>
        <w:r w:rsidRPr="005313E4">
          <w:rPr>
            <w:rFonts w:ascii="Arial" w:hAnsi="Arial" w:cs="Arial"/>
            <w:sz w:val="20"/>
            <w:szCs w:val="20"/>
          </w:rPr>
          <w:fldChar w:fldCharType="separate"/>
        </w:r>
        <w:r w:rsidR="00BF04E1">
          <w:rPr>
            <w:rFonts w:ascii="Arial" w:hAnsi="Arial" w:cs="Arial"/>
            <w:noProof/>
            <w:sz w:val="20"/>
            <w:szCs w:val="20"/>
          </w:rPr>
          <w:t>90</w:t>
        </w:r>
        <w:r w:rsidRPr="005313E4">
          <w:rPr>
            <w:rFonts w:ascii="Arial" w:hAnsi="Arial" w:cs="Arial"/>
            <w:noProof/>
            <w:sz w:val="20"/>
            <w:szCs w:val="20"/>
          </w:rPr>
          <w:fldChar w:fldCharType="end"/>
        </w:r>
      </w:p>
    </w:sdtContent>
  </w:sdt>
  <w:p w:rsidR="005E3453" w:rsidRDefault="005E34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6DB5" w:rsidRDefault="007D6DB5" w:rsidP="00B56546">
      <w:pPr>
        <w:spacing w:after="0" w:line="240" w:lineRule="auto"/>
      </w:pPr>
      <w:r>
        <w:separator/>
      </w:r>
    </w:p>
  </w:footnote>
  <w:footnote w:type="continuationSeparator" w:id="0">
    <w:p w:rsidR="007D6DB5" w:rsidRDefault="007D6DB5" w:rsidP="00B565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07FAA"/>
    <w:multiLevelType w:val="multilevel"/>
    <w:tmpl w:val="1E04FBB8"/>
    <w:lvl w:ilvl="0">
      <w:start w:val="5"/>
      <w:numFmt w:val="decimal"/>
      <w:lvlText w:val="%1."/>
      <w:lvlJc w:val="left"/>
      <w:pPr>
        <w:ind w:left="360" w:hanging="360"/>
      </w:pPr>
      <w:rPr>
        <w:rFonts w:hint="default"/>
      </w:rPr>
    </w:lvl>
    <w:lvl w:ilvl="1">
      <w:start w:val="1"/>
      <w:numFmt w:val="decimal"/>
      <w:lvlText w:val="%1.%2"/>
      <w:lvlJc w:val="left"/>
      <w:pPr>
        <w:ind w:left="2160" w:hanging="360"/>
      </w:pPr>
      <w:rPr>
        <w:rFonts w:hint="default"/>
        <w:sz w:val="22"/>
        <w:szCs w:val="22"/>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
    <w:nsid w:val="08142329"/>
    <w:multiLevelType w:val="hybridMultilevel"/>
    <w:tmpl w:val="1CBCD78A"/>
    <w:lvl w:ilvl="0" w:tplc="102CD708">
      <w:start w:val="1"/>
      <w:numFmt w:val="lowerLetter"/>
      <w:lvlText w:val="%1."/>
      <w:lvlJc w:val="left"/>
      <w:pPr>
        <w:ind w:left="720" w:hanging="360"/>
      </w:pPr>
      <w:rPr>
        <w:rFonts w:ascii="Arial" w:eastAsia="Times New Roman" w:hAnsi="Arial" w:cs="Arial"/>
      </w:rPr>
    </w:lvl>
    <w:lvl w:ilvl="1" w:tplc="2FF08F3C">
      <w:start w:val="1"/>
      <w:numFmt w:val="lowerLetter"/>
      <w:lvlText w:val="%2."/>
      <w:lvlJc w:val="left"/>
      <w:pPr>
        <w:ind w:left="1440" w:hanging="360"/>
      </w:pPr>
      <w:rPr>
        <w:rFonts w:hint="default"/>
      </w:rPr>
    </w:lvl>
    <w:lvl w:ilvl="2" w:tplc="34090019">
      <w:start w:val="1"/>
      <w:numFmt w:val="lowerLetter"/>
      <w:lvlText w:val="%3."/>
      <w:lvlJc w:val="left"/>
      <w:pPr>
        <w:ind w:left="2160" w:hanging="180"/>
      </w:pPr>
    </w:lvl>
    <w:lvl w:ilvl="3" w:tplc="7812E0A2">
      <w:start w:val="9"/>
      <w:numFmt w:val="decimal"/>
      <w:lvlText w:val="%4."/>
      <w:lvlJc w:val="left"/>
      <w:pPr>
        <w:ind w:left="2880" w:hanging="360"/>
      </w:pPr>
      <w:rPr>
        <w:rFonts w:hint="default"/>
      </w:r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
    <w:nsid w:val="0D8274AC"/>
    <w:multiLevelType w:val="hybridMultilevel"/>
    <w:tmpl w:val="E38852E6"/>
    <w:lvl w:ilvl="0" w:tplc="12EAE22A">
      <w:start w:val="1"/>
      <w:numFmt w:val="lowerLetter"/>
      <w:lvlText w:val="%1."/>
      <w:lvlJc w:val="left"/>
      <w:pPr>
        <w:ind w:left="1440" w:hanging="360"/>
      </w:pPr>
      <w:rPr>
        <w:rFonts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3">
    <w:nsid w:val="11481D26"/>
    <w:multiLevelType w:val="hybridMultilevel"/>
    <w:tmpl w:val="EBE8EA30"/>
    <w:lvl w:ilvl="0" w:tplc="35F0A04C">
      <w:start w:val="1"/>
      <w:numFmt w:val="lowerLetter"/>
      <w:lvlText w:val="%1."/>
      <w:lvlJc w:val="left"/>
      <w:pPr>
        <w:ind w:left="1800" w:hanging="360"/>
      </w:pPr>
      <w:rPr>
        <w:rFonts w:hint="default"/>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3D57D34"/>
    <w:multiLevelType w:val="hybridMultilevel"/>
    <w:tmpl w:val="11D43710"/>
    <w:lvl w:ilvl="0" w:tplc="5C42C76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17E143E9"/>
    <w:multiLevelType w:val="hybridMultilevel"/>
    <w:tmpl w:val="7812CFB4"/>
    <w:lvl w:ilvl="0" w:tplc="C512E8B0">
      <w:start w:val="1"/>
      <w:numFmt w:val="lowerLetter"/>
      <w:lvlText w:val="%1."/>
      <w:lvlJc w:val="left"/>
      <w:pPr>
        <w:ind w:left="1440" w:hanging="360"/>
      </w:pPr>
      <w:rPr>
        <w:rFonts w:hint="default"/>
        <w:b/>
        <w:sz w:val="22"/>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6">
    <w:nsid w:val="1F0E22CE"/>
    <w:multiLevelType w:val="multilevel"/>
    <w:tmpl w:val="22BCF63C"/>
    <w:lvl w:ilvl="0">
      <w:start w:val="1"/>
      <w:numFmt w:val="decimal"/>
      <w:lvlText w:val="%1."/>
      <w:lvlJc w:val="left"/>
      <w:pPr>
        <w:ind w:left="576" w:hanging="576"/>
      </w:pPr>
      <w:rPr>
        <w:rFonts w:hint="default"/>
        <w:color w:val="auto"/>
        <w:sz w:val="22"/>
        <w:szCs w:val="22"/>
      </w:rPr>
    </w:lvl>
    <w:lvl w:ilvl="1">
      <w:start w:val="1"/>
      <w:numFmt w:val="decimal"/>
      <w:lvlText w:val="%1.%2"/>
      <w:lvlJc w:val="left"/>
      <w:pPr>
        <w:ind w:left="1530" w:hanging="720"/>
      </w:pPr>
      <w:rPr>
        <w:rFonts w:ascii="Arial" w:hAnsi="Arial" w:cs="Arial" w:hint="default"/>
        <w:b w:val="0"/>
        <w:i w:val="0"/>
        <w:color w:val="auto"/>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87F39AC"/>
    <w:multiLevelType w:val="multilevel"/>
    <w:tmpl w:val="1D3CD374"/>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b w:val="0"/>
        <w:i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nsid w:val="28E2324F"/>
    <w:multiLevelType w:val="multilevel"/>
    <w:tmpl w:val="9FF8706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color w:val="000000" w:themeColor="text1"/>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9">
    <w:nsid w:val="2AFF3D02"/>
    <w:multiLevelType w:val="hybridMultilevel"/>
    <w:tmpl w:val="CA2806E0"/>
    <w:lvl w:ilvl="0" w:tplc="F7C4C818">
      <w:start w:val="1"/>
      <w:numFmt w:val="lowerLetter"/>
      <w:lvlText w:val="%1."/>
      <w:lvlJc w:val="left"/>
      <w:pPr>
        <w:ind w:left="1440" w:hanging="360"/>
      </w:pPr>
      <w:rPr>
        <w:rFonts w:hint="default"/>
        <w:b/>
        <w:color w:val="000000" w:themeColor="text1"/>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10">
    <w:nsid w:val="340B4ECE"/>
    <w:multiLevelType w:val="hybridMultilevel"/>
    <w:tmpl w:val="1B3E5B92"/>
    <w:lvl w:ilvl="0" w:tplc="843C894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3A464D2D"/>
    <w:multiLevelType w:val="multilevel"/>
    <w:tmpl w:val="E11209DC"/>
    <w:lvl w:ilvl="0">
      <w:start w:val="7"/>
      <w:numFmt w:val="decimal"/>
      <w:lvlText w:val="%1"/>
      <w:lvlJc w:val="left"/>
      <w:pPr>
        <w:ind w:left="360" w:hanging="360"/>
      </w:pPr>
      <w:rPr>
        <w:rFonts w:hint="default"/>
      </w:rPr>
    </w:lvl>
    <w:lvl w:ilvl="1">
      <w:start w:val="1"/>
      <w:numFmt w:val="decimal"/>
      <w:lvlText w:val="%1.%2"/>
      <w:lvlJc w:val="left"/>
      <w:pPr>
        <w:ind w:left="1170" w:hanging="3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
    <w:nsid w:val="3FCE773A"/>
    <w:multiLevelType w:val="hybridMultilevel"/>
    <w:tmpl w:val="9AEA9DC0"/>
    <w:lvl w:ilvl="0" w:tplc="102CD708">
      <w:start w:val="1"/>
      <w:numFmt w:val="lowerLetter"/>
      <w:lvlText w:val="%1."/>
      <w:lvlJc w:val="left"/>
      <w:pPr>
        <w:ind w:left="1980" w:hanging="360"/>
      </w:pPr>
      <w:rPr>
        <w:rFonts w:ascii="Arial" w:eastAsia="Times New Roman" w:hAnsi="Arial" w:cs="Arial"/>
      </w:rPr>
    </w:lvl>
    <w:lvl w:ilvl="1" w:tplc="34090019">
      <w:start w:val="1"/>
      <w:numFmt w:val="lowerLetter"/>
      <w:lvlText w:val="%2."/>
      <w:lvlJc w:val="left"/>
      <w:pPr>
        <w:ind w:left="2700" w:hanging="360"/>
      </w:pPr>
    </w:lvl>
    <w:lvl w:ilvl="2" w:tplc="3409001B" w:tentative="1">
      <w:start w:val="1"/>
      <w:numFmt w:val="lowerRoman"/>
      <w:lvlText w:val="%3."/>
      <w:lvlJc w:val="right"/>
      <w:pPr>
        <w:ind w:left="3420" w:hanging="180"/>
      </w:pPr>
    </w:lvl>
    <w:lvl w:ilvl="3" w:tplc="3409000F" w:tentative="1">
      <w:start w:val="1"/>
      <w:numFmt w:val="decimal"/>
      <w:lvlText w:val="%4."/>
      <w:lvlJc w:val="left"/>
      <w:pPr>
        <w:ind w:left="4140" w:hanging="360"/>
      </w:pPr>
    </w:lvl>
    <w:lvl w:ilvl="4" w:tplc="34090019" w:tentative="1">
      <w:start w:val="1"/>
      <w:numFmt w:val="lowerLetter"/>
      <w:lvlText w:val="%5."/>
      <w:lvlJc w:val="left"/>
      <w:pPr>
        <w:ind w:left="4860" w:hanging="360"/>
      </w:pPr>
    </w:lvl>
    <w:lvl w:ilvl="5" w:tplc="3409001B" w:tentative="1">
      <w:start w:val="1"/>
      <w:numFmt w:val="lowerRoman"/>
      <w:lvlText w:val="%6."/>
      <w:lvlJc w:val="right"/>
      <w:pPr>
        <w:ind w:left="5580" w:hanging="180"/>
      </w:pPr>
    </w:lvl>
    <w:lvl w:ilvl="6" w:tplc="3409000F" w:tentative="1">
      <w:start w:val="1"/>
      <w:numFmt w:val="decimal"/>
      <w:lvlText w:val="%7."/>
      <w:lvlJc w:val="left"/>
      <w:pPr>
        <w:ind w:left="6300" w:hanging="360"/>
      </w:pPr>
    </w:lvl>
    <w:lvl w:ilvl="7" w:tplc="34090019" w:tentative="1">
      <w:start w:val="1"/>
      <w:numFmt w:val="lowerLetter"/>
      <w:lvlText w:val="%8."/>
      <w:lvlJc w:val="left"/>
      <w:pPr>
        <w:ind w:left="7020" w:hanging="360"/>
      </w:pPr>
    </w:lvl>
    <w:lvl w:ilvl="8" w:tplc="3409001B" w:tentative="1">
      <w:start w:val="1"/>
      <w:numFmt w:val="lowerRoman"/>
      <w:lvlText w:val="%9."/>
      <w:lvlJc w:val="right"/>
      <w:pPr>
        <w:ind w:left="7740" w:hanging="180"/>
      </w:pPr>
    </w:lvl>
  </w:abstractNum>
  <w:abstractNum w:abstractNumId="13">
    <w:nsid w:val="439C77CA"/>
    <w:multiLevelType w:val="multilevel"/>
    <w:tmpl w:val="8B746CD0"/>
    <w:lvl w:ilvl="0">
      <w:start w:val="10"/>
      <w:numFmt w:val="decimal"/>
      <w:lvlText w:val="%1"/>
      <w:lvlJc w:val="left"/>
      <w:pPr>
        <w:ind w:left="420" w:hanging="420"/>
      </w:pPr>
      <w:rPr>
        <w:rFonts w:hint="default"/>
      </w:rPr>
    </w:lvl>
    <w:lvl w:ilvl="1">
      <w:start w:val="1"/>
      <w:numFmt w:val="decimal"/>
      <w:lvlText w:val="%1.%2"/>
      <w:lvlJc w:val="left"/>
      <w:pPr>
        <w:ind w:left="1230" w:hanging="42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
    <w:nsid w:val="43EB4485"/>
    <w:multiLevelType w:val="multilevel"/>
    <w:tmpl w:val="44D4E308"/>
    <w:lvl w:ilvl="0">
      <w:start w:val="1"/>
      <w:numFmt w:val="decimal"/>
      <w:lvlText w:val="%1."/>
      <w:lvlJc w:val="left"/>
      <w:pPr>
        <w:ind w:left="576" w:hanging="576"/>
      </w:pPr>
      <w:rPr>
        <w:rFonts w:ascii="Arial" w:hAnsi="Arial" w:cs="Arial" w:hint="default"/>
        <w:sz w:val="22"/>
        <w:szCs w:val="22"/>
      </w:rPr>
    </w:lvl>
    <w:lvl w:ilvl="1">
      <w:start w:val="1"/>
      <w:numFmt w:val="decimal"/>
      <w:lvlText w:val="3. %2"/>
      <w:lvlJc w:val="left"/>
      <w:pPr>
        <w:ind w:left="1296" w:hanging="720"/>
      </w:pPr>
      <w:rPr>
        <w:rFonts w:hint="default"/>
        <w:b w:val="0"/>
        <w:i w:val="0"/>
        <w:color w:val="000000" w:themeColor="text1"/>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7402DAF"/>
    <w:multiLevelType w:val="hybridMultilevel"/>
    <w:tmpl w:val="534609AC"/>
    <w:lvl w:ilvl="0" w:tplc="9C82A95A">
      <w:start w:val="1"/>
      <w:numFmt w:val="lowerLetter"/>
      <w:lvlText w:val="%1."/>
      <w:lvlJc w:val="left"/>
      <w:pPr>
        <w:ind w:left="1656" w:hanging="360"/>
      </w:pPr>
      <w:rPr>
        <w:rFonts w:hint="default"/>
      </w:rPr>
    </w:lvl>
    <w:lvl w:ilvl="1" w:tplc="34090019" w:tentative="1">
      <w:start w:val="1"/>
      <w:numFmt w:val="lowerLetter"/>
      <w:lvlText w:val="%2."/>
      <w:lvlJc w:val="left"/>
      <w:pPr>
        <w:ind w:left="2376" w:hanging="360"/>
      </w:pPr>
    </w:lvl>
    <w:lvl w:ilvl="2" w:tplc="3409001B" w:tentative="1">
      <w:start w:val="1"/>
      <w:numFmt w:val="lowerRoman"/>
      <w:lvlText w:val="%3."/>
      <w:lvlJc w:val="right"/>
      <w:pPr>
        <w:ind w:left="3096" w:hanging="180"/>
      </w:pPr>
    </w:lvl>
    <w:lvl w:ilvl="3" w:tplc="3409000F">
      <w:start w:val="1"/>
      <w:numFmt w:val="decimal"/>
      <w:lvlText w:val="%4."/>
      <w:lvlJc w:val="left"/>
      <w:pPr>
        <w:ind w:left="3816" w:hanging="360"/>
      </w:pPr>
    </w:lvl>
    <w:lvl w:ilvl="4" w:tplc="34090019" w:tentative="1">
      <w:start w:val="1"/>
      <w:numFmt w:val="lowerLetter"/>
      <w:lvlText w:val="%5."/>
      <w:lvlJc w:val="left"/>
      <w:pPr>
        <w:ind w:left="4536" w:hanging="360"/>
      </w:pPr>
    </w:lvl>
    <w:lvl w:ilvl="5" w:tplc="3409001B" w:tentative="1">
      <w:start w:val="1"/>
      <w:numFmt w:val="lowerRoman"/>
      <w:lvlText w:val="%6."/>
      <w:lvlJc w:val="right"/>
      <w:pPr>
        <w:ind w:left="5256" w:hanging="180"/>
      </w:pPr>
    </w:lvl>
    <w:lvl w:ilvl="6" w:tplc="3409000F" w:tentative="1">
      <w:start w:val="1"/>
      <w:numFmt w:val="decimal"/>
      <w:lvlText w:val="%7."/>
      <w:lvlJc w:val="left"/>
      <w:pPr>
        <w:ind w:left="5976" w:hanging="360"/>
      </w:pPr>
    </w:lvl>
    <w:lvl w:ilvl="7" w:tplc="34090019" w:tentative="1">
      <w:start w:val="1"/>
      <w:numFmt w:val="lowerLetter"/>
      <w:lvlText w:val="%8."/>
      <w:lvlJc w:val="left"/>
      <w:pPr>
        <w:ind w:left="6696" w:hanging="360"/>
      </w:pPr>
    </w:lvl>
    <w:lvl w:ilvl="8" w:tplc="3409001B" w:tentative="1">
      <w:start w:val="1"/>
      <w:numFmt w:val="lowerRoman"/>
      <w:lvlText w:val="%9."/>
      <w:lvlJc w:val="right"/>
      <w:pPr>
        <w:ind w:left="7416" w:hanging="180"/>
      </w:pPr>
    </w:lvl>
  </w:abstractNum>
  <w:abstractNum w:abstractNumId="16">
    <w:nsid w:val="47C7510C"/>
    <w:multiLevelType w:val="hybridMultilevel"/>
    <w:tmpl w:val="2D6C148C"/>
    <w:lvl w:ilvl="0" w:tplc="B4AE12AA">
      <w:start w:val="1"/>
      <w:numFmt w:val="lowerLetter"/>
      <w:lvlText w:val="%1."/>
      <w:lvlJc w:val="left"/>
      <w:pPr>
        <w:ind w:left="1620" w:hanging="360"/>
      </w:pPr>
      <w:rPr>
        <w:rFonts w:hint="default"/>
        <w:b w:val="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7">
    <w:nsid w:val="4DE33E14"/>
    <w:multiLevelType w:val="hybridMultilevel"/>
    <w:tmpl w:val="0F520B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3A324B"/>
    <w:multiLevelType w:val="hybridMultilevel"/>
    <w:tmpl w:val="CBDC5F62"/>
    <w:lvl w:ilvl="0" w:tplc="C62642B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23049A1"/>
    <w:multiLevelType w:val="hybridMultilevel"/>
    <w:tmpl w:val="C0667F08"/>
    <w:lvl w:ilvl="0" w:tplc="04090001">
      <w:start w:val="1"/>
      <w:numFmt w:val="bullet"/>
      <w:lvlText w:val=""/>
      <w:lvlJc w:val="left"/>
      <w:pPr>
        <w:ind w:left="3240" w:hanging="360"/>
      </w:pPr>
      <w:rPr>
        <w:rFonts w:ascii="Symbol" w:hAnsi="Symbol"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0">
    <w:nsid w:val="533B56F8"/>
    <w:multiLevelType w:val="hybridMultilevel"/>
    <w:tmpl w:val="F9049BA2"/>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1">
    <w:nsid w:val="54B577DB"/>
    <w:multiLevelType w:val="hybridMultilevel"/>
    <w:tmpl w:val="8244104E"/>
    <w:lvl w:ilvl="0" w:tplc="34090015">
      <w:start w:val="1"/>
      <w:numFmt w:val="upperLetter"/>
      <w:lvlText w:val="%1."/>
      <w:lvlJc w:val="left"/>
      <w:pPr>
        <w:ind w:left="720" w:hanging="360"/>
      </w:pPr>
      <w:rPr>
        <w:rFonts w:hint="default"/>
      </w:rPr>
    </w:lvl>
    <w:lvl w:ilvl="1" w:tplc="C6FE7E0A">
      <w:start w:val="1"/>
      <w:numFmt w:val="lowerLetter"/>
      <w:lvlText w:val="%2."/>
      <w:lvlJc w:val="left"/>
      <w:pPr>
        <w:ind w:left="1440" w:hanging="360"/>
      </w:pPr>
      <w:rPr>
        <w:b/>
      </w:r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3196" w:hanging="360"/>
      </w:pPr>
    </w:lvl>
    <w:lvl w:ilvl="8" w:tplc="3409001B">
      <w:start w:val="1"/>
      <w:numFmt w:val="lowerRoman"/>
      <w:lvlText w:val="%9."/>
      <w:lvlJc w:val="right"/>
      <w:pPr>
        <w:ind w:left="6480" w:hanging="180"/>
      </w:pPr>
    </w:lvl>
  </w:abstractNum>
  <w:abstractNum w:abstractNumId="22">
    <w:nsid w:val="5D8E5076"/>
    <w:multiLevelType w:val="hybridMultilevel"/>
    <w:tmpl w:val="6DBA0964"/>
    <w:lvl w:ilvl="0" w:tplc="00724EB8">
      <w:start w:val="1"/>
      <w:numFmt w:val="lowerLetter"/>
      <w:lvlText w:val="%1."/>
      <w:lvlJc w:val="left"/>
      <w:pPr>
        <w:ind w:left="1440" w:hanging="360"/>
      </w:pPr>
      <w:rPr>
        <w:rFonts w:hint="default"/>
      </w:rPr>
    </w:lvl>
    <w:lvl w:ilvl="1" w:tplc="34090019">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23">
    <w:nsid w:val="619613D3"/>
    <w:multiLevelType w:val="hybridMultilevel"/>
    <w:tmpl w:val="CA2806E0"/>
    <w:lvl w:ilvl="0" w:tplc="F7C4C818">
      <w:start w:val="1"/>
      <w:numFmt w:val="lowerLetter"/>
      <w:lvlText w:val="%1."/>
      <w:lvlJc w:val="left"/>
      <w:pPr>
        <w:ind w:left="1440" w:hanging="360"/>
      </w:pPr>
      <w:rPr>
        <w:rFonts w:hint="default"/>
        <w:b/>
        <w:color w:val="000000" w:themeColor="text1"/>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24">
    <w:nsid w:val="63753E07"/>
    <w:multiLevelType w:val="hybridMultilevel"/>
    <w:tmpl w:val="0E729DBC"/>
    <w:lvl w:ilvl="0" w:tplc="A4D02892">
      <w:start w:val="1"/>
      <w:numFmt w:val="lowerLetter"/>
      <w:lvlText w:val="%1."/>
      <w:lvlJc w:val="left"/>
      <w:pPr>
        <w:ind w:left="1440" w:hanging="144"/>
      </w:pPr>
      <w:rPr>
        <w:rFonts w:hint="default"/>
      </w:rPr>
    </w:lvl>
    <w:lvl w:ilvl="1" w:tplc="21D8DD20">
      <w:start w:val="1"/>
      <w:numFmt w:val="lowerLetter"/>
      <w:lvlText w:val="%2."/>
      <w:lvlJc w:val="left"/>
      <w:pPr>
        <w:ind w:left="1872" w:hanging="360"/>
      </w:pPr>
      <w:rPr>
        <w:rFonts w:hint="default"/>
        <w:b/>
      </w:rPr>
    </w:lvl>
    <w:lvl w:ilvl="2" w:tplc="5B7C1AB8">
      <w:start w:val="6"/>
      <w:numFmt w:val="decimal"/>
      <w:lvlText w:val="%3."/>
      <w:lvlJc w:val="left"/>
      <w:pPr>
        <w:ind w:left="2772" w:hanging="360"/>
      </w:pPr>
      <w:rPr>
        <w:rFonts w:hint="default"/>
      </w:rPr>
    </w:lvl>
    <w:lvl w:ilvl="3" w:tplc="AF8C3F4E">
      <w:start w:val="8"/>
      <w:numFmt w:val="decimal"/>
      <w:lvlText w:val="%4."/>
      <w:lvlJc w:val="left"/>
      <w:pPr>
        <w:ind w:left="3312" w:hanging="360"/>
      </w:pPr>
      <w:rPr>
        <w:rFonts w:hint="default"/>
      </w:rPr>
    </w:lvl>
    <w:lvl w:ilvl="4" w:tplc="34090019" w:tentative="1">
      <w:start w:val="1"/>
      <w:numFmt w:val="lowerLetter"/>
      <w:lvlText w:val="%5."/>
      <w:lvlJc w:val="left"/>
      <w:pPr>
        <w:ind w:left="4032" w:hanging="360"/>
      </w:pPr>
    </w:lvl>
    <w:lvl w:ilvl="5" w:tplc="3409001B" w:tentative="1">
      <w:start w:val="1"/>
      <w:numFmt w:val="lowerRoman"/>
      <w:lvlText w:val="%6."/>
      <w:lvlJc w:val="right"/>
      <w:pPr>
        <w:ind w:left="4752" w:hanging="180"/>
      </w:pPr>
    </w:lvl>
    <w:lvl w:ilvl="6" w:tplc="3409000F" w:tentative="1">
      <w:start w:val="1"/>
      <w:numFmt w:val="decimal"/>
      <w:lvlText w:val="%7."/>
      <w:lvlJc w:val="left"/>
      <w:pPr>
        <w:ind w:left="5472" w:hanging="360"/>
      </w:pPr>
    </w:lvl>
    <w:lvl w:ilvl="7" w:tplc="34090019" w:tentative="1">
      <w:start w:val="1"/>
      <w:numFmt w:val="lowerLetter"/>
      <w:lvlText w:val="%8."/>
      <w:lvlJc w:val="left"/>
      <w:pPr>
        <w:ind w:left="6192" w:hanging="360"/>
      </w:pPr>
    </w:lvl>
    <w:lvl w:ilvl="8" w:tplc="3409001B" w:tentative="1">
      <w:start w:val="1"/>
      <w:numFmt w:val="lowerRoman"/>
      <w:lvlText w:val="%9."/>
      <w:lvlJc w:val="right"/>
      <w:pPr>
        <w:ind w:left="6912" w:hanging="180"/>
      </w:pPr>
    </w:lvl>
  </w:abstractNum>
  <w:abstractNum w:abstractNumId="25">
    <w:nsid w:val="641D66A3"/>
    <w:multiLevelType w:val="multilevel"/>
    <w:tmpl w:val="5CB4FDB6"/>
    <w:lvl w:ilvl="0">
      <w:start w:val="11"/>
      <w:numFmt w:val="decimal"/>
      <w:lvlText w:val="%1."/>
      <w:lvlJc w:val="left"/>
      <w:pPr>
        <w:ind w:left="576" w:hanging="576"/>
      </w:pPr>
      <w:rPr>
        <w:rFonts w:hint="default"/>
        <w:b/>
        <w:sz w:val="22"/>
        <w:szCs w:val="22"/>
      </w:rPr>
    </w:lvl>
    <w:lvl w:ilvl="1">
      <w:start w:val="1"/>
      <w:numFmt w:val="decimal"/>
      <w:lvlText w:val="%1.%2"/>
      <w:lvlJc w:val="left"/>
      <w:pPr>
        <w:ind w:left="2790" w:hanging="720"/>
      </w:pPr>
      <w:rPr>
        <w:rFonts w:ascii="Arial" w:hAnsi="Arial" w:cs="Arial" w:hint="default"/>
        <w:b w:val="0"/>
        <w:i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6D5E039B"/>
    <w:multiLevelType w:val="hybridMultilevel"/>
    <w:tmpl w:val="8EE2F026"/>
    <w:lvl w:ilvl="0" w:tplc="9CA61A76">
      <w:start w:val="1"/>
      <w:numFmt w:val="lowerLetter"/>
      <w:lvlText w:val="%1."/>
      <w:lvlJc w:val="left"/>
      <w:pPr>
        <w:ind w:left="936" w:hanging="360"/>
      </w:pPr>
      <w:rPr>
        <w:rFonts w:hint="default"/>
      </w:rPr>
    </w:lvl>
    <w:lvl w:ilvl="1" w:tplc="34090019" w:tentative="1">
      <w:start w:val="1"/>
      <w:numFmt w:val="lowerLetter"/>
      <w:lvlText w:val="%2."/>
      <w:lvlJc w:val="left"/>
      <w:pPr>
        <w:ind w:left="1656" w:hanging="360"/>
      </w:pPr>
    </w:lvl>
    <w:lvl w:ilvl="2" w:tplc="3409001B" w:tentative="1">
      <w:start w:val="1"/>
      <w:numFmt w:val="lowerRoman"/>
      <w:lvlText w:val="%3."/>
      <w:lvlJc w:val="right"/>
      <w:pPr>
        <w:ind w:left="2376" w:hanging="180"/>
      </w:pPr>
    </w:lvl>
    <w:lvl w:ilvl="3" w:tplc="3409000F" w:tentative="1">
      <w:start w:val="1"/>
      <w:numFmt w:val="decimal"/>
      <w:lvlText w:val="%4."/>
      <w:lvlJc w:val="left"/>
      <w:pPr>
        <w:ind w:left="3096" w:hanging="360"/>
      </w:pPr>
    </w:lvl>
    <w:lvl w:ilvl="4" w:tplc="34090019" w:tentative="1">
      <w:start w:val="1"/>
      <w:numFmt w:val="lowerLetter"/>
      <w:lvlText w:val="%5."/>
      <w:lvlJc w:val="left"/>
      <w:pPr>
        <w:ind w:left="3816" w:hanging="360"/>
      </w:pPr>
    </w:lvl>
    <w:lvl w:ilvl="5" w:tplc="3409001B" w:tentative="1">
      <w:start w:val="1"/>
      <w:numFmt w:val="lowerRoman"/>
      <w:lvlText w:val="%6."/>
      <w:lvlJc w:val="right"/>
      <w:pPr>
        <w:ind w:left="4536" w:hanging="180"/>
      </w:pPr>
    </w:lvl>
    <w:lvl w:ilvl="6" w:tplc="3409000F" w:tentative="1">
      <w:start w:val="1"/>
      <w:numFmt w:val="decimal"/>
      <w:lvlText w:val="%7."/>
      <w:lvlJc w:val="left"/>
      <w:pPr>
        <w:ind w:left="5256" w:hanging="360"/>
      </w:pPr>
    </w:lvl>
    <w:lvl w:ilvl="7" w:tplc="34090019" w:tentative="1">
      <w:start w:val="1"/>
      <w:numFmt w:val="lowerLetter"/>
      <w:lvlText w:val="%8."/>
      <w:lvlJc w:val="left"/>
      <w:pPr>
        <w:ind w:left="5976" w:hanging="360"/>
      </w:pPr>
    </w:lvl>
    <w:lvl w:ilvl="8" w:tplc="3409001B" w:tentative="1">
      <w:start w:val="1"/>
      <w:numFmt w:val="lowerRoman"/>
      <w:lvlText w:val="%9."/>
      <w:lvlJc w:val="right"/>
      <w:pPr>
        <w:ind w:left="6696" w:hanging="180"/>
      </w:pPr>
    </w:lvl>
  </w:abstractNum>
  <w:abstractNum w:abstractNumId="27">
    <w:nsid w:val="7C3C57F2"/>
    <w:multiLevelType w:val="hybridMultilevel"/>
    <w:tmpl w:val="421C910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7F7173AB"/>
    <w:multiLevelType w:val="multilevel"/>
    <w:tmpl w:val="F3DC033C"/>
    <w:lvl w:ilvl="0">
      <w:start w:val="9"/>
      <w:numFmt w:val="decimal"/>
      <w:lvlText w:val="%1"/>
      <w:lvlJc w:val="left"/>
      <w:pPr>
        <w:ind w:left="360" w:hanging="360"/>
      </w:pPr>
      <w:rPr>
        <w:rFonts w:hint="default"/>
      </w:rPr>
    </w:lvl>
    <w:lvl w:ilvl="1">
      <w:start w:val="1"/>
      <w:numFmt w:val="decimal"/>
      <w:lvlText w:val="%1.%2"/>
      <w:lvlJc w:val="left"/>
      <w:pPr>
        <w:ind w:left="1170" w:hanging="360"/>
      </w:pPr>
      <w:rPr>
        <w:rFonts w:hint="default"/>
        <w:i w:val="0"/>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num w:numId="1">
    <w:abstractNumId w:val="6"/>
  </w:num>
  <w:num w:numId="2">
    <w:abstractNumId w:val="17"/>
  </w:num>
  <w:num w:numId="3">
    <w:abstractNumId w:val="24"/>
  </w:num>
  <w:num w:numId="4">
    <w:abstractNumId w:val="21"/>
  </w:num>
  <w:num w:numId="5">
    <w:abstractNumId w:val="7"/>
  </w:num>
  <w:num w:numId="6">
    <w:abstractNumId w:val="8"/>
  </w:num>
  <w:num w:numId="7">
    <w:abstractNumId w:val="2"/>
  </w:num>
  <w:num w:numId="8">
    <w:abstractNumId w:val="22"/>
  </w:num>
  <w:num w:numId="9">
    <w:abstractNumId w:val="27"/>
  </w:num>
  <w:num w:numId="10">
    <w:abstractNumId w:val="14"/>
  </w:num>
  <w:num w:numId="11">
    <w:abstractNumId w:val="23"/>
  </w:num>
  <w:num w:numId="12">
    <w:abstractNumId w:val="9"/>
  </w:num>
  <w:num w:numId="13">
    <w:abstractNumId w:val="20"/>
  </w:num>
  <w:num w:numId="14">
    <w:abstractNumId w:val="15"/>
  </w:num>
  <w:num w:numId="15">
    <w:abstractNumId w:val="5"/>
  </w:num>
  <w:num w:numId="16">
    <w:abstractNumId w:val="26"/>
  </w:num>
  <w:num w:numId="17">
    <w:abstractNumId w:val="12"/>
  </w:num>
  <w:num w:numId="18">
    <w:abstractNumId w:val="1"/>
  </w:num>
  <w:num w:numId="19">
    <w:abstractNumId w:val="10"/>
  </w:num>
  <w:num w:numId="20">
    <w:abstractNumId w:val="16"/>
  </w:num>
  <w:num w:numId="21">
    <w:abstractNumId w:val="25"/>
  </w:num>
  <w:num w:numId="22">
    <w:abstractNumId w:val="0"/>
  </w:num>
  <w:num w:numId="23">
    <w:abstractNumId w:val="11"/>
  </w:num>
  <w:num w:numId="24">
    <w:abstractNumId w:val="28"/>
  </w:num>
  <w:num w:numId="25">
    <w:abstractNumId w:val="13"/>
  </w:num>
  <w:num w:numId="26">
    <w:abstractNumId w:val="18"/>
  </w:num>
  <w:num w:numId="27">
    <w:abstractNumId w:val="19"/>
  </w:num>
  <w:num w:numId="28">
    <w:abstractNumId w:val="4"/>
  </w:num>
  <w:num w:numId="29">
    <w:abstractNumId w:val="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cryptProviderType="rsaAES" w:cryptAlgorithmClass="hash" w:cryptAlgorithmType="typeAny" w:cryptAlgorithmSid="14" w:cryptSpinCount="100000" w:hash="8r/C1j8hZL59o9GLO+1MAHICmWjg9kRVgrMLi1Pm44o8Vs4RoxMkY8AUhiGe5ac5hI4f3p0SfhbMNcGO3MeLrg==" w:salt="Z36DIlCNGmA6cqhHnMx7PQ=="/>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CF14BE"/>
    <w:rsid w:val="0000038E"/>
    <w:rsid w:val="000016E1"/>
    <w:rsid w:val="0000752C"/>
    <w:rsid w:val="000078EC"/>
    <w:rsid w:val="00010D1C"/>
    <w:rsid w:val="00012B0A"/>
    <w:rsid w:val="000139EA"/>
    <w:rsid w:val="0001415E"/>
    <w:rsid w:val="00016975"/>
    <w:rsid w:val="000171E9"/>
    <w:rsid w:val="00017CD4"/>
    <w:rsid w:val="00021CA9"/>
    <w:rsid w:val="00023BDF"/>
    <w:rsid w:val="000241A2"/>
    <w:rsid w:val="00024213"/>
    <w:rsid w:val="00024411"/>
    <w:rsid w:val="00024FA8"/>
    <w:rsid w:val="00026E50"/>
    <w:rsid w:val="000277EE"/>
    <w:rsid w:val="000303DC"/>
    <w:rsid w:val="00030819"/>
    <w:rsid w:val="00032B1E"/>
    <w:rsid w:val="00036043"/>
    <w:rsid w:val="0003654A"/>
    <w:rsid w:val="00040E56"/>
    <w:rsid w:val="00042CA5"/>
    <w:rsid w:val="00043BF8"/>
    <w:rsid w:val="0004408F"/>
    <w:rsid w:val="000447C2"/>
    <w:rsid w:val="0004543E"/>
    <w:rsid w:val="0004683A"/>
    <w:rsid w:val="00052E7B"/>
    <w:rsid w:val="000556EE"/>
    <w:rsid w:val="00057D5E"/>
    <w:rsid w:val="00061A2E"/>
    <w:rsid w:val="00061DD0"/>
    <w:rsid w:val="0006514C"/>
    <w:rsid w:val="00072DC5"/>
    <w:rsid w:val="000753A2"/>
    <w:rsid w:val="00076F22"/>
    <w:rsid w:val="00077619"/>
    <w:rsid w:val="000777BC"/>
    <w:rsid w:val="00077959"/>
    <w:rsid w:val="0008068A"/>
    <w:rsid w:val="00091963"/>
    <w:rsid w:val="00092AEA"/>
    <w:rsid w:val="00093BA8"/>
    <w:rsid w:val="00094650"/>
    <w:rsid w:val="000957DD"/>
    <w:rsid w:val="00095BBD"/>
    <w:rsid w:val="00096475"/>
    <w:rsid w:val="00097755"/>
    <w:rsid w:val="000A2C57"/>
    <w:rsid w:val="000A3027"/>
    <w:rsid w:val="000A40AF"/>
    <w:rsid w:val="000A418C"/>
    <w:rsid w:val="000A643E"/>
    <w:rsid w:val="000A6FB0"/>
    <w:rsid w:val="000A78E4"/>
    <w:rsid w:val="000A7BD8"/>
    <w:rsid w:val="000B3DC2"/>
    <w:rsid w:val="000B4562"/>
    <w:rsid w:val="000B72BD"/>
    <w:rsid w:val="000C39E5"/>
    <w:rsid w:val="000C3B54"/>
    <w:rsid w:val="000C44D9"/>
    <w:rsid w:val="000C6B69"/>
    <w:rsid w:val="000D304D"/>
    <w:rsid w:val="000D47A2"/>
    <w:rsid w:val="000D4C9D"/>
    <w:rsid w:val="000D4ED6"/>
    <w:rsid w:val="000D77EA"/>
    <w:rsid w:val="000E1968"/>
    <w:rsid w:val="000E380E"/>
    <w:rsid w:val="000E44DB"/>
    <w:rsid w:val="000E5869"/>
    <w:rsid w:val="000E60A8"/>
    <w:rsid w:val="000E7311"/>
    <w:rsid w:val="000E7AE5"/>
    <w:rsid w:val="000E7E80"/>
    <w:rsid w:val="000F0628"/>
    <w:rsid w:val="000F128D"/>
    <w:rsid w:val="000F1D77"/>
    <w:rsid w:val="000F33E5"/>
    <w:rsid w:val="000F3CE8"/>
    <w:rsid w:val="000F3E23"/>
    <w:rsid w:val="000F60B4"/>
    <w:rsid w:val="000F7E7C"/>
    <w:rsid w:val="00101E76"/>
    <w:rsid w:val="00102549"/>
    <w:rsid w:val="00103FF1"/>
    <w:rsid w:val="0011607B"/>
    <w:rsid w:val="00117B8C"/>
    <w:rsid w:val="00124346"/>
    <w:rsid w:val="00126158"/>
    <w:rsid w:val="001263A8"/>
    <w:rsid w:val="00132592"/>
    <w:rsid w:val="00133212"/>
    <w:rsid w:val="001337A7"/>
    <w:rsid w:val="00135FEF"/>
    <w:rsid w:val="001364AC"/>
    <w:rsid w:val="001369CA"/>
    <w:rsid w:val="00142562"/>
    <w:rsid w:val="00143FA0"/>
    <w:rsid w:val="001443AD"/>
    <w:rsid w:val="00145B4F"/>
    <w:rsid w:val="00146D39"/>
    <w:rsid w:val="00147EFD"/>
    <w:rsid w:val="0015264F"/>
    <w:rsid w:val="00152E9D"/>
    <w:rsid w:val="00154063"/>
    <w:rsid w:val="00155F91"/>
    <w:rsid w:val="00160BB9"/>
    <w:rsid w:val="001613F9"/>
    <w:rsid w:val="001635A3"/>
    <w:rsid w:val="00164A51"/>
    <w:rsid w:val="001653DA"/>
    <w:rsid w:val="001662AC"/>
    <w:rsid w:val="0016675D"/>
    <w:rsid w:val="00166B4C"/>
    <w:rsid w:val="0016707D"/>
    <w:rsid w:val="001709F7"/>
    <w:rsid w:val="00171A32"/>
    <w:rsid w:val="00174A9D"/>
    <w:rsid w:val="00175DED"/>
    <w:rsid w:val="001766F7"/>
    <w:rsid w:val="00176FB9"/>
    <w:rsid w:val="00177209"/>
    <w:rsid w:val="00177C84"/>
    <w:rsid w:val="00180611"/>
    <w:rsid w:val="001821A5"/>
    <w:rsid w:val="00184201"/>
    <w:rsid w:val="001901F8"/>
    <w:rsid w:val="0019310E"/>
    <w:rsid w:val="001961E6"/>
    <w:rsid w:val="001A0235"/>
    <w:rsid w:val="001A1B41"/>
    <w:rsid w:val="001A6348"/>
    <w:rsid w:val="001A6EA1"/>
    <w:rsid w:val="001A7C49"/>
    <w:rsid w:val="001A7D89"/>
    <w:rsid w:val="001B2F52"/>
    <w:rsid w:val="001B4DE1"/>
    <w:rsid w:val="001B55A8"/>
    <w:rsid w:val="001B5C73"/>
    <w:rsid w:val="001B5E5F"/>
    <w:rsid w:val="001B6A0F"/>
    <w:rsid w:val="001B6AB1"/>
    <w:rsid w:val="001B795A"/>
    <w:rsid w:val="001C2E43"/>
    <w:rsid w:val="001C3091"/>
    <w:rsid w:val="001C3A9D"/>
    <w:rsid w:val="001C461F"/>
    <w:rsid w:val="001C4F10"/>
    <w:rsid w:val="001D3560"/>
    <w:rsid w:val="001D37BE"/>
    <w:rsid w:val="001D442C"/>
    <w:rsid w:val="001D5272"/>
    <w:rsid w:val="001D575B"/>
    <w:rsid w:val="001D5A20"/>
    <w:rsid w:val="001D6088"/>
    <w:rsid w:val="001E2004"/>
    <w:rsid w:val="001E20E2"/>
    <w:rsid w:val="001E2456"/>
    <w:rsid w:val="001F0121"/>
    <w:rsid w:val="00202148"/>
    <w:rsid w:val="00202BF9"/>
    <w:rsid w:val="00206134"/>
    <w:rsid w:val="002063A2"/>
    <w:rsid w:val="00206F1D"/>
    <w:rsid w:val="00207B6E"/>
    <w:rsid w:val="00211396"/>
    <w:rsid w:val="00212D6D"/>
    <w:rsid w:val="0022045B"/>
    <w:rsid w:val="00223A75"/>
    <w:rsid w:val="002241BA"/>
    <w:rsid w:val="00224745"/>
    <w:rsid w:val="00224CB0"/>
    <w:rsid w:val="00225E72"/>
    <w:rsid w:val="0022683C"/>
    <w:rsid w:val="002276DE"/>
    <w:rsid w:val="002278E9"/>
    <w:rsid w:val="002322A7"/>
    <w:rsid w:val="00232634"/>
    <w:rsid w:val="00234B95"/>
    <w:rsid w:val="00234BAC"/>
    <w:rsid w:val="00234C73"/>
    <w:rsid w:val="002351F8"/>
    <w:rsid w:val="00236912"/>
    <w:rsid w:val="0024011E"/>
    <w:rsid w:val="00240E12"/>
    <w:rsid w:val="00245214"/>
    <w:rsid w:val="00245595"/>
    <w:rsid w:val="002455D1"/>
    <w:rsid w:val="00246BCC"/>
    <w:rsid w:val="0025052F"/>
    <w:rsid w:val="0025235E"/>
    <w:rsid w:val="00254AAB"/>
    <w:rsid w:val="00255B0D"/>
    <w:rsid w:val="00257906"/>
    <w:rsid w:val="0026344E"/>
    <w:rsid w:val="00265262"/>
    <w:rsid w:val="00267409"/>
    <w:rsid w:val="00270B89"/>
    <w:rsid w:val="00275650"/>
    <w:rsid w:val="002756DF"/>
    <w:rsid w:val="002776EC"/>
    <w:rsid w:val="00280696"/>
    <w:rsid w:val="002837A0"/>
    <w:rsid w:val="0028487A"/>
    <w:rsid w:val="002849EF"/>
    <w:rsid w:val="00284C30"/>
    <w:rsid w:val="002858EB"/>
    <w:rsid w:val="002936BA"/>
    <w:rsid w:val="00294944"/>
    <w:rsid w:val="00297A1B"/>
    <w:rsid w:val="002A07F0"/>
    <w:rsid w:val="002A34F1"/>
    <w:rsid w:val="002A539F"/>
    <w:rsid w:val="002B0818"/>
    <w:rsid w:val="002B5775"/>
    <w:rsid w:val="002B6852"/>
    <w:rsid w:val="002B7160"/>
    <w:rsid w:val="002C0088"/>
    <w:rsid w:val="002C07BE"/>
    <w:rsid w:val="002C2150"/>
    <w:rsid w:val="002C289B"/>
    <w:rsid w:val="002C4481"/>
    <w:rsid w:val="002C4666"/>
    <w:rsid w:val="002C6472"/>
    <w:rsid w:val="002C66DC"/>
    <w:rsid w:val="002C7DBD"/>
    <w:rsid w:val="002D1B47"/>
    <w:rsid w:val="002D2A6F"/>
    <w:rsid w:val="002D52C7"/>
    <w:rsid w:val="002D5CE2"/>
    <w:rsid w:val="002D758A"/>
    <w:rsid w:val="002E0EFE"/>
    <w:rsid w:val="002E18D5"/>
    <w:rsid w:val="002E1A51"/>
    <w:rsid w:val="002E2293"/>
    <w:rsid w:val="002E2B3F"/>
    <w:rsid w:val="002E46F5"/>
    <w:rsid w:val="002E6B4C"/>
    <w:rsid w:val="002E708D"/>
    <w:rsid w:val="002F007D"/>
    <w:rsid w:val="002F50CB"/>
    <w:rsid w:val="00300BCA"/>
    <w:rsid w:val="00303E42"/>
    <w:rsid w:val="0030470E"/>
    <w:rsid w:val="00304EBB"/>
    <w:rsid w:val="00306AEA"/>
    <w:rsid w:val="003077B5"/>
    <w:rsid w:val="00310689"/>
    <w:rsid w:val="00312964"/>
    <w:rsid w:val="00316909"/>
    <w:rsid w:val="00320EFC"/>
    <w:rsid w:val="00323775"/>
    <w:rsid w:val="003239F2"/>
    <w:rsid w:val="00323C4B"/>
    <w:rsid w:val="00324121"/>
    <w:rsid w:val="00325359"/>
    <w:rsid w:val="003277BA"/>
    <w:rsid w:val="00327940"/>
    <w:rsid w:val="00327F8A"/>
    <w:rsid w:val="0033193B"/>
    <w:rsid w:val="003324F2"/>
    <w:rsid w:val="00332B5A"/>
    <w:rsid w:val="00334379"/>
    <w:rsid w:val="00335176"/>
    <w:rsid w:val="003354F0"/>
    <w:rsid w:val="00336C30"/>
    <w:rsid w:val="00340C14"/>
    <w:rsid w:val="003434BE"/>
    <w:rsid w:val="00345C01"/>
    <w:rsid w:val="00351261"/>
    <w:rsid w:val="00351CC5"/>
    <w:rsid w:val="00356139"/>
    <w:rsid w:val="00361653"/>
    <w:rsid w:val="00361F64"/>
    <w:rsid w:val="0036280D"/>
    <w:rsid w:val="00362BC2"/>
    <w:rsid w:val="003725A6"/>
    <w:rsid w:val="003736FC"/>
    <w:rsid w:val="00377E89"/>
    <w:rsid w:val="003803B2"/>
    <w:rsid w:val="0038796F"/>
    <w:rsid w:val="00387A5E"/>
    <w:rsid w:val="0039208A"/>
    <w:rsid w:val="00396680"/>
    <w:rsid w:val="00397FBF"/>
    <w:rsid w:val="003B0209"/>
    <w:rsid w:val="003B4374"/>
    <w:rsid w:val="003B7B91"/>
    <w:rsid w:val="003C0E6D"/>
    <w:rsid w:val="003C30E3"/>
    <w:rsid w:val="003C51A9"/>
    <w:rsid w:val="003C6B35"/>
    <w:rsid w:val="003D0EF2"/>
    <w:rsid w:val="003D1905"/>
    <w:rsid w:val="003D56C0"/>
    <w:rsid w:val="003D687A"/>
    <w:rsid w:val="003D6993"/>
    <w:rsid w:val="003D6E93"/>
    <w:rsid w:val="003E1049"/>
    <w:rsid w:val="003E692D"/>
    <w:rsid w:val="003E6F8E"/>
    <w:rsid w:val="003E708C"/>
    <w:rsid w:val="003F2A57"/>
    <w:rsid w:val="003F3FC4"/>
    <w:rsid w:val="003F4D26"/>
    <w:rsid w:val="003F7CFA"/>
    <w:rsid w:val="0040097B"/>
    <w:rsid w:val="00400983"/>
    <w:rsid w:val="00400BB2"/>
    <w:rsid w:val="00400C27"/>
    <w:rsid w:val="00400EE7"/>
    <w:rsid w:val="004011AC"/>
    <w:rsid w:val="00404FF9"/>
    <w:rsid w:val="00405B12"/>
    <w:rsid w:val="0040643C"/>
    <w:rsid w:val="00406AC1"/>
    <w:rsid w:val="00406C62"/>
    <w:rsid w:val="004072DD"/>
    <w:rsid w:val="00407572"/>
    <w:rsid w:val="004123E5"/>
    <w:rsid w:val="00413E5A"/>
    <w:rsid w:val="0041531C"/>
    <w:rsid w:val="00417380"/>
    <w:rsid w:val="00417845"/>
    <w:rsid w:val="00417D1E"/>
    <w:rsid w:val="00417DC7"/>
    <w:rsid w:val="00420B30"/>
    <w:rsid w:val="00422BF8"/>
    <w:rsid w:val="00424846"/>
    <w:rsid w:val="00426DB2"/>
    <w:rsid w:val="00430F66"/>
    <w:rsid w:val="00431016"/>
    <w:rsid w:val="004321F1"/>
    <w:rsid w:val="004323D2"/>
    <w:rsid w:val="00432DA9"/>
    <w:rsid w:val="00433EA5"/>
    <w:rsid w:val="00435D5F"/>
    <w:rsid w:val="00435FC5"/>
    <w:rsid w:val="00440E73"/>
    <w:rsid w:val="00443D5B"/>
    <w:rsid w:val="00444386"/>
    <w:rsid w:val="00445704"/>
    <w:rsid w:val="004501D5"/>
    <w:rsid w:val="00450360"/>
    <w:rsid w:val="004573F8"/>
    <w:rsid w:val="004578DC"/>
    <w:rsid w:val="004607BB"/>
    <w:rsid w:val="00460A1B"/>
    <w:rsid w:val="00462DD4"/>
    <w:rsid w:val="00464406"/>
    <w:rsid w:val="004650A2"/>
    <w:rsid w:val="00465115"/>
    <w:rsid w:val="00466593"/>
    <w:rsid w:val="0046720F"/>
    <w:rsid w:val="00470428"/>
    <w:rsid w:val="00471415"/>
    <w:rsid w:val="00473C7F"/>
    <w:rsid w:val="0048038F"/>
    <w:rsid w:val="004808C1"/>
    <w:rsid w:val="004823D8"/>
    <w:rsid w:val="004826A2"/>
    <w:rsid w:val="00485CCD"/>
    <w:rsid w:val="00492B00"/>
    <w:rsid w:val="00493FAE"/>
    <w:rsid w:val="004A04DF"/>
    <w:rsid w:val="004A0D16"/>
    <w:rsid w:val="004A2D69"/>
    <w:rsid w:val="004C055D"/>
    <w:rsid w:val="004C0D35"/>
    <w:rsid w:val="004C2BB7"/>
    <w:rsid w:val="004C3078"/>
    <w:rsid w:val="004C39E3"/>
    <w:rsid w:val="004C4BBF"/>
    <w:rsid w:val="004C5B51"/>
    <w:rsid w:val="004C6D56"/>
    <w:rsid w:val="004D1E5F"/>
    <w:rsid w:val="004D3266"/>
    <w:rsid w:val="004D5468"/>
    <w:rsid w:val="004D57EE"/>
    <w:rsid w:val="004D76D0"/>
    <w:rsid w:val="004D7A1F"/>
    <w:rsid w:val="004E2443"/>
    <w:rsid w:val="004E2E31"/>
    <w:rsid w:val="004E5D5F"/>
    <w:rsid w:val="004E5F5A"/>
    <w:rsid w:val="004F23B1"/>
    <w:rsid w:val="004F2578"/>
    <w:rsid w:val="004F367C"/>
    <w:rsid w:val="004F3F00"/>
    <w:rsid w:val="004F42F7"/>
    <w:rsid w:val="004F6C55"/>
    <w:rsid w:val="004F70A3"/>
    <w:rsid w:val="005029AA"/>
    <w:rsid w:val="005043B9"/>
    <w:rsid w:val="00505BD1"/>
    <w:rsid w:val="00506BD3"/>
    <w:rsid w:val="00513646"/>
    <w:rsid w:val="0051494B"/>
    <w:rsid w:val="00515404"/>
    <w:rsid w:val="0051793A"/>
    <w:rsid w:val="00517962"/>
    <w:rsid w:val="00517B77"/>
    <w:rsid w:val="005214C1"/>
    <w:rsid w:val="00522526"/>
    <w:rsid w:val="005248EE"/>
    <w:rsid w:val="005249DE"/>
    <w:rsid w:val="00527A95"/>
    <w:rsid w:val="00530857"/>
    <w:rsid w:val="005313E4"/>
    <w:rsid w:val="0053287D"/>
    <w:rsid w:val="00534319"/>
    <w:rsid w:val="00534722"/>
    <w:rsid w:val="005365B5"/>
    <w:rsid w:val="005376B2"/>
    <w:rsid w:val="00541184"/>
    <w:rsid w:val="00542609"/>
    <w:rsid w:val="00542B0B"/>
    <w:rsid w:val="005445D2"/>
    <w:rsid w:val="00544763"/>
    <w:rsid w:val="00544C57"/>
    <w:rsid w:val="00547A87"/>
    <w:rsid w:val="00551A22"/>
    <w:rsid w:val="00553CAF"/>
    <w:rsid w:val="00554B8A"/>
    <w:rsid w:val="00557BC6"/>
    <w:rsid w:val="00561AF9"/>
    <w:rsid w:val="005641D9"/>
    <w:rsid w:val="005653BE"/>
    <w:rsid w:val="00565BF7"/>
    <w:rsid w:val="005708E6"/>
    <w:rsid w:val="00571FDB"/>
    <w:rsid w:val="00572003"/>
    <w:rsid w:val="005723A8"/>
    <w:rsid w:val="00581CD0"/>
    <w:rsid w:val="0058577B"/>
    <w:rsid w:val="00585D27"/>
    <w:rsid w:val="00587952"/>
    <w:rsid w:val="0059080C"/>
    <w:rsid w:val="00592556"/>
    <w:rsid w:val="005943AE"/>
    <w:rsid w:val="005948D6"/>
    <w:rsid w:val="00597807"/>
    <w:rsid w:val="005978E5"/>
    <w:rsid w:val="005A1166"/>
    <w:rsid w:val="005A4B18"/>
    <w:rsid w:val="005A7E01"/>
    <w:rsid w:val="005B2ECA"/>
    <w:rsid w:val="005B34EA"/>
    <w:rsid w:val="005B3FBD"/>
    <w:rsid w:val="005B4354"/>
    <w:rsid w:val="005B60DC"/>
    <w:rsid w:val="005C20D6"/>
    <w:rsid w:val="005C222C"/>
    <w:rsid w:val="005C32D0"/>
    <w:rsid w:val="005C4EF1"/>
    <w:rsid w:val="005C5587"/>
    <w:rsid w:val="005C6EC6"/>
    <w:rsid w:val="005D198F"/>
    <w:rsid w:val="005D38A9"/>
    <w:rsid w:val="005D3EB6"/>
    <w:rsid w:val="005D4029"/>
    <w:rsid w:val="005D432D"/>
    <w:rsid w:val="005D5FD0"/>
    <w:rsid w:val="005D70E6"/>
    <w:rsid w:val="005D774F"/>
    <w:rsid w:val="005E0CC0"/>
    <w:rsid w:val="005E10B5"/>
    <w:rsid w:val="005E1DAA"/>
    <w:rsid w:val="005E3453"/>
    <w:rsid w:val="005E5E0A"/>
    <w:rsid w:val="005F05E4"/>
    <w:rsid w:val="005F1624"/>
    <w:rsid w:val="005F4D49"/>
    <w:rsid w:val="005F5B2B"/>
    <w:rsid w:val="005F7D6A"/>
    <w:rsid w:val="00600990"/>
    <w:rsid w:val="006012FE"/>
    <w:rsid w:val="00607C80"/>
    <w:rsid w:val="00610424"/>
    <w:rsid w:val="00611926"/>
    <w:rsid w:val="006124CD"/>
    <w:rsid w:val="00613934"/>
    <w:rsid w:val="006163C6"/>
    <w:rsid w:val="00616601"/>
    <w:rsid w:val="0061719F"/>
    <w:rsid w:val="00617C0C"/>
    <w:rsid w:val="00617DD8"/>
    <w:rsid w:val="0062083F"/>
    <w:rsid w:val="0062097C"/>
    <w:rsid w:val="00621A23"/>
    <w:rsid w:val="0062212A"/>
    <w:rsid w:val="00622ACA"/>
    <w:rsid w:val="006236E1"/>
    <w:rsid w:val="006237D4"/>
    <w:rsid w:val="006244AD"/>
    <w:rsid w:val="0062622E"/>
    <w:rsid w:val="00626658"/>
    <w:rsid w:val="006270A8"/>
    <w:rsid w:val="0062775B"/>
    <w:rsid w:val="0062797D"/>
    <w:rsid w:val="00631EB9"/>
    <w:rsid w:val="00633DA4"/>
    <w:rsid w:val="0063423D"/>
    <w:rsid w:val="0063637D"/>
    <w:rsid w:val="00640910"/>
    <w:rsid w:val="00641866"/>
    <w:rsid w:val="00646ED2"/>
    <w:rsid w:val="0065111A"/>
    <w:rsid w:val="00651F30"/>
    <w:rsid w:val="00653C06"/>
    <w:rsid w:val="00653F48"/>
    <w:rsid w:val="00657CB7"/>
    <w:rsid w:val="00662480"/>
    <w:rsid w:val="0066326C"/>
    <w:rsid w:val="006632F2"/>
    <w:rsid w:val="00664683"/>
    <w:rsid w:val="00664F20"/>
    <w:rsid w:val="0066513E"/>
    <w:rsid w:val="006655DA"/>
    <w:rsid w:val="00666E32"/>
    <w:rsid w:val="0067116F"/>
    <w:rsid w:val="0067148D"/>
    <w:rsid w:val="00671F1B"/>
    <w:rsid w:val="00673313"/>
    <w:rsid w:val="00674269"/>
    <w:rsid w:val="00676C1D"/>
    <w:rsid w:val="00676CAE"/>
    <w:rsid w:val="00680A31"/>
    <w:rsid w:val="00683461"/>
    <w:rsid w:val="00684FA3"/>
    <w:rsid w:val="006857ED"/>
    <w:rsid w:val="00686847"/>
    <w:rsid w:val="00687CF7"/>
    <w:rsid w:val="0069020B"/>
    <w:rsid w:val="00693ABA"/>
    <w:rsid w:val="0069453E"/>
    <w:rsid w:val="00694B67"/>
    <w:rsid w:val="006953CE"/>
    <w:rsid w:val="0069624E"/>
    <w:rsid w:val="006968A6"/>
    <w:rsid w:val="006A13F2"/>
    <w:rsid w:val="006A1FCE"/>
    <w:rsid w:val="006A2C40"/>
    <w:rsid w:val="006A47FE"/>
    <w:rsid w:val="006B018F"/>
    <w:rsid w:val="006B2F78"/>
    <w:rsid w:val="006B5C5D"/>
    <w:rsid w:val="006C0553"/>
    <w:rsid w:val="006C0E59"/>
    <w:rsid w:val="006C1045"/>
    <w:rsid w:val="006C345B"/>
    <w:rsid w:val="006C3B11"/>
    <w:rsid w:val="006C5860"/>
    <w:rsid w:val="006C656E"/>
    <w:rsid w:val="006D275A"/>
    <w:rsid w:val="006D2B80"/>
    <w:rsid w:val="006D3210"/>
    <w:rsid w:val="006D4017"/>
    <w:rsid w:val="006D52F5"/>
    <w:rsid w:val="006D7859"/>
    <w:rsid w:val="006E022A"/>
    <w:rsid w:val="006E1456"/>
    <w:rsid w:val="006E32F4"/>
    <w:rsid w:val="006F0F99"/>
    <w:rsid w:val="006F213F"/>
    <w:rsid w:val="006F28C2"/>
    <w:rsid w:val="006F494A"/>
    <w:rsid w:val="00700077"/>
    <w:rsid w:val="00701F6C"/>
    <w:rsid w:val="00702B77"/>
    <w:rsid w:val="0070378D"/>
    <w:rsid w:val="00704E7C"/>
    <w:rsid w:val="0070704C"/>
    <w:rsid w:val="00710228"/>
    <w:rsid w:val="0071229F"/>
    <w:rsid w:val="00712ABD"/>
    <w:rsid w:val="007139B1"/>
    <w:rsid w:val="007146B1"/>
    <w:rsid w:val="00717451"/>
    <w:rsid w:val="00720E74"/>
    <w:rsid w:val="00721D91"/>
    <w:rsid w:val="00722017"/>
    <w:rsid w:val="007224AD"/>
    <w:rsid w:val="0072271F"/>
    <w:rsid w:val="00724EE7"/>
    <w:rsid w:val="0072591F"/>
    <w:rsid w:val="007262D7"/>
    <w:rsid w:val="007267B4"/>
    <w:rsid w:val="00730D61"/>
    <w:rsid w:val="0073603A"/>
    <w:rsid w:val="00740650"/>
    <w:rsid w:val="007427AA"/>
    <w:rsid w:val="0074392A"/>
    <w:rsid w:val="007447D5"/>
    <w:rsid w:val="00745EA1"/>
    <w:rsid w:val="00746C9D"/>
    <w:rsid w:val="0075211C"/>
    <w:rsid w:val="00753E6F"/>
    <w:rsid w:val="007558FF"/>
    <w:rsid w:val="00757333"/>
    <w:rsid w:val="007574A6"/>
    <w:rsid w:val="007634A0"/>
    <w:rsid w:val="00765638"/>
    <w:rsid w:val="00765711"/>
    <w:rsid w:val="00766B26"/>
    <w:rsid w:val="00772A70"/>
    <w:rsid w:val="00775949"/>
    <w:rsid w:val="00775AA0"/>
    <w:rsid w:val="00776E1F"/>
    <w:rsid w:val="0077795E"/>
    <w:rsid w:val="007828FC"/>
    <w:rsid w:val="00783E9C"/>
    <w:rsid w:val="00785B30"/>
    <w:rsid w:val="00786673"/>
    <w:rsid w:val="007866AA"/>
    <w:rsid w:val="00792256"/>
    <w:rsid w:val="00792AF6"/>
    <w:rsid w:val="00793262"/>
    <w:rsid w:val="00793DF9"/>
    <w:rsid w:val="00793E7B"/>
    <w:rsid w:val="0079404B"/>
    <w:rsid w:val="007965F4"/>
    <w:rsid w:val="007A1A9B"/>
    <w:rsid w:val="007A4BCE"/>
    <w:rsid w:val="007A5224"/>
    <w:rsid w:val="007A6CBE"/>
    <w:rsid w:val="007A706A"/>
    <w:rsid w:val="007B11F5"/>
    <w:rsid w:val="007B13FB"/>
    <w:rsid w:val="007B1B59"/>
    <w:rsid w:val="007B4E8E"/>
    <w:rsid w:val="007B6562"/>
    <w:rsid w:val="007C0E4F"/>
    <w:rsid w:val="007C1A1B"/>
    <w:rsid w:val="007C1FA8"/>
    <w:rsid w:val="007C22EC"/>
    <w:rsid w:val="007C3682"/>
    <w:rsid w:val="007C3A3A"/>
    <w:rsid w:val="007C5973"/>
    <w:rsid w:val="007C5EC5"/>
    <w:rsid w:val="007C6716"/>
    <w:rsid w:val="007D3AA1"/>
    <w:rsid w:val="007D6DB5"/>
    <w:rsid w:val="007E46EC"/>
    <w:rsid w:val="007E4B9F"/>
    <w:rsid w:val="007E4E7E"/>
    <w:rsid w:val="007E7778"/>
    <w:rsid w:val="007F131F"/>
    <w:rsid w:val="007F14C0"/>
    <w:rsid w:val="007F4BBF"/>
    <w:rsid w:val="007F4E63"/>
    <w:rsid w:val="007F4F7E"/>
    <w:rsid w:val="007F657B"/>
    <w:rsid w:val="00800B79"/>
    <w:rsid w:val="0080485A"/>
    <w:rsid w:val="00804964"/>
    <w:rsid w:val="00806D17"/>
    <w:rsid w:val="00807865"/>
    <w:rsid w:val="00810D1F"/>
    <w:rsid w:val="00810E53"/>
    <w:rsid w:val="008141A5"/>
    <w:rsid w:val="008166F9"/>
    <w:rsid w:val="00823448"/>
    <w:rsid w:val="0082355E"/>
    <w:rsid w:val="00823ACD"/>
    <w:rsid w:val="00824757"/>
    <w:rsid w:val="00826544"/>
    <w:rsid w:val="00827670"/>
    <w:rsid w:val="00827F32"/>
    <w:rsid w:val="00830119"/>
    <w:rsid w:val="0083036A"/>
    <w:rsid w:val="0083210E"/>
    <w:rsid w:val="00832AEE"/>
    <w:rsid w:val="00832B6B"/>
    <w:rsid w:val="00834FC3"/>
    <w:rsid w:val="00836DB4"/>
    <w:rsid w:val="00837509"/>
    <w:rsid w:val="00844197"/>
    <w:rsid w:val="00844870"/>
    <w:rsid w:val="00845751"/>
    <w:rsid w:val="00845840"/>
    <w:rsid w:val="00847758"/>
    <w:rsid w:val="008500B8"/>
    <w:rsid w:val="008501B7"/>
    <w:rsid w:val="00854C01"/>
    <w:rsid w:val="008572EF"/>
    <w:rsid w:val="00860BEA"/>
    <w:rsid w:val="00865455"/>
    <w:rsid w:val="00867479"/>
    <w:rsid w:val="00872C79"/>
    <w:rsid w:val="00872EAE"/>
    <w:rsid w:val="008735B4"/>
    <w:rsid w:val="0088087C"/>
    <w:rsid w:val="00881B32"/>
    <w:rsid w:val="00882A3B"/>
    <w:rsid w:val="008844EA"/>
    <w:rsid w:val="00884513"/>
    <w:rsid w:val="008865EB"/>
    <w:rsid w:val="008905FC"/>
    <w:rsid w:val="00894792"/>
    <w:rsid w:val="00894CAC"/>
    <w:rsid w:val="00894DF3"/>
    <w:rsid w:val="008A0405"/>
    <w:rsid w:val="008A230C"/>
    <w:rsid w:val="008A49F4"/>
    <w:rsid w:val="008A5D91"/>
    <w:rsid w:val="008A6F2B"/>
    <w:rsid w:val="008B1011"/>
    <w:rsid w:val="008B3306"/>
    <w:rsid w:val="008B6074"/>
    <w:rsid w:val="008B74FA"/>
    <w:rsid w:val="008B793C"/>
    <w:rsid w:val="008C0168"/>
    <w:rsid w:val="008C17F6"/>
    <w:rsid w:val="008C2327"/>
    <w:rsid w:val="008D0CA4"/>
    <w:rsid w:val="008D2A15"/>
    <w:rsid w:val="008D2DA1"/>
    <w:rsid w:val="008D658F"/>
    <w:rsid w:val="008D7334"/>
    <w:rsid w:val="008D7C81"/>
    <w:rsid w:val="008D7E1D"/>
    <w:rsid w:val="008E211C"/>
    <w:rsid w:val="008E5653"/>
    <w:rsid w:val="008E5A1B"/>
    <w:rsid w:val="008E5B78"/>
    <w:rsid w:val="008E6289"/>
    <w:rsid w:val="008E78E6"/>
    <w:rsid w:val="008F0E5A"/>
    <w:rsid w:val="008F47EC"/>
    <w:rsid w:val="008F6D73"/>
    <w:rsid w:val="008F6E47"/>
    <w:rsid w:val="008F7E0B"/>
    <w:rsid w:val="0090052A"/>
    <w:rsid w:val="00902B13"/>
    <w:rsid w:val="00905822"/>
    <w:rsid w:val="0091255D"/>
    <w:rsid w:val="009151BC"/>
    <w:rsid w:val="00916B55"/>
    <w:rsid w:val="00917EE5"/>
    <w:rsid w:val="00922D20"/>
    <w:rsid w:val="00924869"/>
    <w:rsid w:val="00924B86"/>
    <w:rsid w:val="00925E8B"/>
    <w:rsid w:val="009321CB"/>
    <w:rsid w:val="00932D78"/>
    <w:rsid w:val="00933132"/>
    <w:rsid w:val="0093322F"/>
    <w:rsid w:val="0094007D"/>
    <w:rsid w:val="00940726"/>
    <w:rsid w:val="00940DC3"/>
    <w:rsid w:val="009416BB"/>
    <w:rsid w:val="00943886"/>
    <w:rsid w:val="00944D68"/>
    <w:rsid w:val="009450B0"/>
    <w:rsid w:val="009468C3"/>
    <w:rsid w:val="009535A6"/>
    <w:rsid w:val="009554D5"/>
    <w:rsid w:val="00957EF4"/>
    <w:rsid w:val="00960E5C"/>
    <w:rsid w:val="00961C14"/>
    <w:rsid w:val="00962806"/>
    <w:rsid w:val="00962ED3"/>
    <w:rsid w:val="009645B6"/>
    <w:rsid w:val="00965365"/>
    <w:rsid w:val="009669B4"/>
    <w:rsid w:val="00967F1F"/>
    <w:rsid w:val="00970998"/>
    <w:rsid w:val="009709B0"/>
    <w:rsid w:val="00970F8B"/>
    <w:rsid w:val="00971BF7"/>
    <w:rsid w:val="00972BD6"/>
    <w:rsid w:val="00972DD8"/>
    <w:rsid w:val="009757B8"/>
    <w:rsid w:val="0097661A"/>
    <w:rsid w:val="00982FC7"/>
    <w:rsid w:val="00984470"/>
    <w:rsid w:val="009877B3"/>
    <w:rsid w:val="00991017"/>
    <w:rsid w:val="009912F7"/>
    <w:rsid w:val="00991E7D"/>
    <w:rsid w:val="00997013"/>
    <w:rsid w:val="009A2682"/>
    <w:rsid w:val="009A2996"/>
    <w:rsid w:val="009A3634"/>
    <w:rsid w:val="009A5697"/>
    <w:rsid w:val="009A6382"/>
    <w:rsid w:val="009B0325"/>
    <w:rsid w:val="009B1474"/>
    <w:rsid w:val="009B42A3"/>
    <w:rsid w:val="009B4CA8"/>
    <w:rsid w:val="009B69ED"/>
    <w:rsid w:val="009B6A3F"/>
    <w:rsid w:val="009B6B75"/>
    <w:rsid w:val="009B6F95"/>
    <w:rsid w:val="009C06E8"/>
    <w:rsid w:val="009C1BE6"/>
    <w:rsid w:val="009C38F2"/>
    <w:rsid w:val="009C4397"/>
    <w:rsid w:val="009C4933"/>
    <w:rsid w:val="009C7A32"/>
    <w:rsid w:val="009D2F9F"/>
    <w:rsid w:val="009D3911"/>
    <w:rsid w:val="009D6CA1"/>
    <w:rsid w:val="009E2837"/>
    <w:rsid w:val="009E2900"/>
    <w:rsid w:val="009E3EC1"/>
    <w:rsid w:val="009E486F"/>
    <w:rsid w:val="009E6251"/>
    <w:rsid w:val="009E6CF7"/>
    <w:rsid w:val="009F04FE"/>
    <w:rsid w:val="009F0F2E"/>
    <w:rsid w:val="009F24A8"/>
    <w:rsid w:val="009F4736"/>
    <w:rsid w:val="009F4F9C"/>
    <w:rsid w:val="009F68DB"/>
    <w:rsid w:val="009F7AA7"/>
    <w:rsid w:val="00A0040D"/>
    <w:rsid w:val="00A062EA"/>
    <w:rsid w:val="00A07138"/>
    <w:rsid w:val="00A10CE6"/>
    <w:rsid w:val="00A123CD"/>
    <w:rsid w:val="00A12651"/>
    <w:rsid w:val="00A13ED8"/>
    <w:rsid w:val="00A14917"/>
    <w:rsid w:val="00A16365"/>
    <w:rsid w:val="00A22D05"/>
    <w:rsid w:val="00A258C3"/>
    <w:rsid w:val="00A272CD"/>
    <w:rsid w:val="00A27467"/>
    <w:rsid w:val="00A30081"/>
    <w:rsid w:val="00A3068C"/>
    <w:rsid w:val="00A31860"/>
    <w:rsid w:val="00A32E80"/>
    <w:rsid w:val="00A34956"/>
    <w:rsid w:val="00A36B28"/>
    <w:rsid w:val="00A36EC7"/>
    <w:rsid w:val="00A40872"/>
    <w:rsid w:val="00A408E9"/>
    <w:rsid w:val="00A47259"/>
    <w:rsid w:val="00A47E65"/>
    <w:rsid w:val="00A47E99"/>
    <w:rsid w:val="00A51FF1"/>
    <w:rsid w:val="00A558C4"/>
    <w:rsid w:val="00A56354"/>
    <w:rsid w:val="00A60137"/>
    <w:rsid w:val="00A605B0"/>
    <w:rsid w:val="00A62EB1"/>
    <w:rsid w:val="00A6434E"/>
    <w:rsid w:val="00A65BC4"/>
    <w:rsid w:val="00A705FF"/>
    <w:rsid w:val="00A74909"/>
    <w:rsid w:val="00A76958"/>
    <w:rsid w:val="00A76F2C"/>
    <w:rsid w:val="00A80739"/>
    <w:rsid w:val="00A80A6A"/>
    <w:rsid w:val="00A84DDE"/>
    <w:rsid w:val="00A874F9"/>
    <w:rsid w:val="00A92BEF"/>
    <w:rsid w:val="00A938A6"/>
    <w:rsid w:val="00A94D01"/>
    <w:rsid w:val="00A950C3"/>
    <w:rsid w:val="00A966E7"/>
    <w:rsid w:val="00A971E6"/>
    <w:rsid w:val="00A97701"/>
    <w:rsid w:val="00A97B68"/>
    <w:rsid w:val="00AA0ABC"/>
    <w:rsid w:val="00AA3EA6"/>
    <w:rsid w:val="00AA6A56"/>
    <w:rsid w:val="00AA74EC"/>
    <w:rsid w:val="00AB0B4B"/>
    <w:rsid w:val="00AB2FD1"/>
    <w:rsid w:val="00AB418B"/>
    <w:rsid w:val="00AB7772"/>
    <w:rsid w:val="00AC1546"/>
    <w:rsid w:val="00AC15F8"/>
    <w:rsid w:val="00AC1FE9"/>
    <w:rsid w:val="00AC2553"/>
    <w:rsid w:val="00AC4C80"/>
    <w:rsid w:val="00AC57E5"/>
    <w:rsid w:val="00AD091C"/>
    <w:rsid w:val="00AD19E5"/>
    <w:rsid w:val="00AD2224"/>
    <w:rsid w:val="00AD2733"/>
    <w:rsid w:val="00AD37E7"/>
    <w:rsid w:val="00AD40BD"/>
    <w:rsid w:val="00AD4768"/>
    <w:rsid w:val="00AD4A7A"/>
    <w:rsid w:val="00AD6636"/>
    <w:rsid w:val="00AD6DD2"/>
    <w:rsid w:val="00AE1BB1"/>
    <w:rsid w:val="00AE2073"/>
    <w:rsid w:val="00AE304C"/>
    <w:rsid w:val="00AE632A"/>
    <w:rsid w:val="00AF119C"/>
    <w:rsid w:val="00AF3E65"/>
    <w:rsid w:val="00AF4096"/>
    <w:rsid w:val="00AF4485"/>
    <w:rsid w:val="00AF7E6C"/>
    <w:rsid w:val="00B04106"/>
    <w:rsid w:val="00B046D7"/>
    <w:rsid w:val="00B07B86"/>
    <w:rsid w:val="00B10610"/>
    <w:rsid w:val="00B1117E"/>
    <w:rsid w:val="00B11198"/>
    <w:rsid w:val="00B11251"/>
    <w:rsid w:val="00B12BFF"/>
    <w:rsid w:val="00B1323D"/>
    <w:rsid w:val="00B153FA"/>
    <w:rsid w:val="00B1590E"/>
    <w:rsid w:val="00B15F6B"/>
    <w:rsid w:val="00B16532"/>
    <w:rsid w:val="00B167BC"/>
    <w:rsid w:val="00B175C2"/>
    <w:rsid w:val="00B179E9"/>
    <w:rsid w:val="00B209D2"/>
    <w:rsid w:val="00B21F12"/>
    <w:rsid w:val="00B2276C"/>
    <w:rsid w:val="00B2345F"/>
    <w:rsid w:val="00B247C0"/>
    <w:rsid w:val="00B24A94"/>
    <w:rsid w:val="00B313C4"/>
    <w:rsid w:val="00B33142"/>
    <w:rsid w:val="00B367AB"/>
    <w:rsid w:val="00B37387"/>
    <w:rsid w:val="00B40E1B"/>
    <w:rsid w:val="00B45E5E"/>
    <w:rsid w:val="00B4616B"/>
    <w:rsid w:val="00B46D9D"/>
    <w:rsid w:val="00B4717A"/>
    <w:rsid w:val="00B47CD1"/>
    <w:rsid w:val="00B50656"/>
    <w:rsid w:val="00B51385"/>
    <w:rsid w:val="00B51BEE"/>
    <w:rsid w:val="00B528FF"/>
    <w:rsid w:val="00B56546"/>
    <w:rsid w:val="00B568FD"/>
    <w:rsid w:val="00B56F49"/>
    <w:rsid w:val="00B574AF"/>
    <w:rsid w:val="00B6095B"/>
    <w:rsid w:val="00B615B3"/>
    <w:rsid w:val="00B61B9A"/>
    <w:rsid w:val="00B64B09"/>
    <w:rsid w:val="00B711EE"/>
    <w:rsid w:val="00B73B32"/>
    <w:rsid w:val="00B75301"/>
    <w:rsid w:val="00B80DEC"/>
    <w:rsid w:val="00B8100B"/>
    <w:rsid w:val="00B828C0"/>
    <w:rsid w:val="00B83E92"/>
    <w:rsid w:val="00B84B5B"/>
    <w:rsid w:val="00B869E6"/>
    <w:rsid w:val="00B87BCC"/>
    <w:rsid w:val="00B90D7C"/>
    <w:rsid w:val="00B91BC5"/>
    <w:rsid w:val="00B93286"/>
    <w:rsid w:val="00B94D5F"/>
    <w:rsid w:val="00B97E5D"/>
    <w:rsid w:val="00BA04F0"/>
    <w:rsid w:val="00BA0BF1"/>
    <w:rsid w:val="00BA1644"/>
    <w:rsid w:val="00BA3D2A"/>
    <w:rsid w:val="00BA6698"/>
    <w:rsid w:val="00BA6CED"/>
    <w:rsid w:val="00BB4039"/>
    <w:rsid w:val="00BB7557"/>
    <w:rsid w:val="00BB7D3E"/>
    <w:rsid w:val="00BC00CA"/>
    <w:rsid w:val="00BC3841"/>
    <w:rsid w:val="00BC6468"/>
    <w:rsid w:val="00BC6970"/>
    <w:rsid w:val="00BC6AB0"/>
    <w:rsid w:val="00BD0531"/>
    <w:rsid w:val="00BD35EA"/>
    <w:rsid w:val="00BD543E"/>
    <w:rsid w:val="00BD70AF"/>
    <w:rsid w:val="00BD7DC7"/>
    <w:rsid w:val="00BD7E99"/>
    <w:rsid w:val="00BE0169"/>
    <w:rsid w:val="00BE0FC9"/>
    <w:rsid w:val="00BE11D4"/>
    <w:rsid w:val="00BE126E"/>
    <w:rsid w:val="00BE25E8"/>
    <w:rsid w:val="00BE4D46"/>
    <w:rsid w:val="00BE50E9"/>
    <w:rsid w:val="00BE6CE3"/>
    <w:rsid w:val="00BE75BA"/>
    <w:rsid w:val="00BF04E1"/>
    <w:rsid w:val="00BF1241"/>
    <w:rsid w:val="00BF24AE"/>
    <w:rsid w:val="00BF25C2"/>
    <w:rsid w:val="00BF3F68"/>
    <w:rsid w:val="00BF4E08"/>
    <w:rsid w:val="00BF4F9B"/>
    <w:rsid w:val="00BF7821"/>
    <w:rsid w:val="00C064CC"/>
    <w:rsid w:val="00C06984"/>
    <w:rsid w:val="00C07D07"/>
    <w:rsid w:val="00C10C70"/>
    <w:rsid w:val="00C11A46"/>
    <w:rsid w:val="00C11D59"/>
    <w:rsid w:val="00C1447E"/>
    <w:rsid w:val="00C146BE"/>
    <w:rsid w:val="00C15143"/>
    <w:rsid w:val="00C2320F"/>
    <w:rsid w:val="00C234F5"/>
    <w:rsid w:val="00C23733"/>
    <w:rsid w:val="00C30822"/>
    <w:rsid w:val="00C334A3"/>
    <w:rsid w:val="00C36193"/>
    <w:rsid w:val="00C37432"/>
    <w:rsid w:val="00C37CE9"/>
    <w:rsid w:val="00C40836"/>
    <w:rsid w:val="00C420C4"/>
    <w:rsid w:val="00C42898"/>
    <w:rsid w:val="00C44EBF"/>
    <w:rsid w:val="00C44FBB"/>
    <w:rsid w:val="00C45BD0"/>
    <w:rsid w:val="00C46F93"/>
    <w:rsid w:val="00C5607E"/>
    <w:rsid w:val="00C57A85"/>
    <w:rsid w:val="00C57FBB"/>
    <w:rsid w:val="00C61B6B"/>
    <w:rsid w:val="00C62E43"/>
    <w:rsid w:val="00C6382C"/>
    <w:rsid w:val="00C64957"/>
    <w:rsid w:val="00C65D8F"/>
    <w:rsid w:val="00C81A22"/>
    <w:rsid w:val="00C81DA1"/>
    <w:rsid w:val="00C872B5"/>
    <w:rsid w:val="00C92487"/>
    <w:rsid w:val="00C92697"/>
    <w:rsid w:val="00C94700"/>
    <w:rsid w:val="00C955BF"/>
    <w:rsid w:val="00C979C0"/>
    <w:rsid w:val="00CA00F2"/>
    <w:rsid w:val="00CA5044"/>
    <w:rsid w:val="00CA5484"/>
    <w:rsid w:val="00CA7F83"/>
    <w:rsid w:val="00CB13B0"/>
    <w:rsid w:val="00CB2792"/>
    <w:rsid w:val="00CB34AC"/>
    <w:rsid w:val="00CB3677"/>
    <w:rsid w:val="00CB3FB3"/>
    <w:rsid w:val="00CB6FE8"/>
    <w:rsid w:val="00CC2EFF"/>
    <w:rsid w:val="00CD5FA2"/>
    <w:rsid w:val="00CD62E3"/>
    <w:rsid w:val="00CE0CB4"/>
    <w:rsid w:val="00CE1519"/>
    <w:rsid w:val="00CE255D"/>
    <w:rsid w:val="00CE270D"/>
    <w:rsid w:val="00CE48A8"/>
    <w:rsid w:val="00CE65ED"/>
    <w:rsid w:val="00CE66B2"/>
    <w:rsid w:val="00CF0574"/>
    <w:rsid w:val="00CF0A5D"/>
    <w:rsid w:val="00CF14BE"/>
    <w:rsid w:val="00CF4F2B"/>
    <w:rsid w:val="00CF5CA9"/>
    <w:rsid w:val="00CF7127"/>
    <w:rsid w:val="00CF78D2"/>
    <w:rsid w:val="00D013FA"/>
    <w:rsid w:val="00D019CA"/>
    <w:rsid w:val="00D03282"/>
    <w:rsid w:val="00D0522A"/>
    <w:rsid w:val="00D058D7"/>
    <w:rsid w:val="00D069F1"/>
    <w:rsid w:val="00D07502"/>
    <w:rsid w:val="00D07848"/>
    <w:rsid w:val="00D1287D"/>
    <w:rsid w:val="00D15013"/>
    <w:rsid w:val="00D161FE"/>
    <w:rsid w:val="00D173D8"/>
    <w:rsid w:val="00D17720"/>
    <w:rsid w:val="00D17F48"/>
    <w:rsid w:val="00D208BF"/>
    <w:rsid w:val="00D20AC9"/>
    <w:rsid w:val="00D24093"/>
    <w:rsid w:val="00D2506C"/>
    <w:rsid w:val="00D2628A"/>
    <w:rsid w:val="00D31262"/>
    <w:rsid w:val="00D326F4"/>
    <w:rsid w:val="00D33619"/>
    <w:rsid w:val="00D34E51"/>
    <w:rsid w:val="00D35885"/>
    <w:rsid w:val="00D41419"/>
    <w:rsid w:val="00D42B81"/>
    <w:rsid w:val="00D44CDD"/>
    <w:rsid w:val="00D505D3"/>
    <w:rsid w:val="00D51E15"/>
    <w:rsid w:val="00D51F8C"/>
    <w:rsid w:val="00D53214"/>
    <w:rsid w:val="00D53219"/>
    <w:rsid w:val="00D54D00"/>
    <w:rsid w:val="00D558A3"/>
    <w:rsid w:val="00D55D92"/>
    <w:rsid w:val="00D5668D"/>
    <w:rsid w:val="00D56986"/>
    <w:rsid w:val="00D6074F"/>
    <w:rsid w:val="00D62A89"/>
    <w:rsid w:val="00D64562"/>
    <w:rsid w:val="00D67EE9"/>
    <w:rsid w:val="00D73CBA"/>
    <w:rsid w:val="00D75032"/>
    <w:rsid w:val="00D76A40"/>
    <w:rsid w:val="00D80DB7"/>
    <w:rsid w:val="00D81EAF"/>
    <w:rsid w:val="00D81F0E"/>
    <w:rsid w:val="00D82874"/>
    <w:rsid w:val="00D872E3"/>
    <w:rsid w:val="00D91460"/>
    <w:rsid w:val="00D953D9"/>
    <w:rsid w:val="00D9627A"/>
    <w:rsid w:val="00D964C5"/>
    <w:rsid w:val="00D97472"/>
    <w:rsid w:val="00DA3A0A"/>
    <w:rsid w:val="00DA5D0E"/>
    <w:rsid w:val="00DA78B4"/>
    <w:rsid w:val="00DB4365"/>
    <w:rsid w:val="00DB4E0B"/>
    <w:rsid w:val="00DB54C7"/>
    <w:rsid w:val="00DB5E80"/>
    <w:rsid w:val="00DB6918"/>
    <w:rsid w:val="00DC0333"/>
    <w:rsid w:val="00DC1C83"/>
    <w:rsid w:val="00DC37B8"/>
    <w:rsid w:val="00DC3FA2"/>
    <w:rsid w:val="00DC447D"/>
    <w:rsid w:val="00DC44A2"/>
    <w:rsid w:val="00DC55A3"/>
    <w:rsid w:val="00DC640E"/>
    <w:rsid w:val="00DC6EED"/>
    <w:rsid w:val="00DD1217"/>
    <w:rsid w:val="00DD35AB"/>
    <w:rsid w:val="00DD48BE"/>
    <w:rsid w:val="00DD5255"/>
    <w:rsid w:val="00DD5ABF"/>
    <w:rsid w:val="00DD622E"/>
    <w:rsid w:val="00DE0C26"/>
    <w:rsid w:val="00DE2BD4"/>
    <w:rsid w:val="00DE3412"/>
    <w:rsid w:val="00DE62A5"/>
    <w:rsid w:val="00DE7131"/>
    <w:rsid w:val="00DF3A59"/>
    <w:rsid w:val="00DF7170"/>
    <w:rsid w:val="00E008CF"/>
    <w:rsid w:val="00E0505E"/>
    <w:rsid w:val="00E05A07"/>
    <w:rsid w:val="00E0604C"/>
    <w:rsid w:val="00E066B8"/>
    <w:rsid w:val="00E0699C"/>
    <w:rsid w:val="00E1069A"/>
    <w:rsid w:val="00E1092F"/>
    <w:rsid w:val="00E15417"/>
    <w:rsid w:val="00E16817"/>
    <w:rsid w:val="00E21491"/>
    <w:rsid w:val="00E23E95"/>
    <w:rsid w:val="00E24137"/>
    <w:rsid w:val="00E25B25"/>
    <w:rsid w:val="00E26FFC"/>
    <w:rsid w:val="00E271EA"/>
    <w:rsid w:val="00E2755E"/>
    <w:rsid w:val="00E27A0F"/>
    <w:rsid w:val="00E27CD4"/>
    <w:rsid w:val="00E3035B"/>
    <w:rsid w:val="00E30CDB"/>
    <w:rsid w:val="00E31010"/>
    <w:rsid w:val="00E34B27"/>
    <w:rsid w:val="00E34E22"/>
    <w:rsid w:val="00E35240"/>
    <w:rsid w:val="00E367E0"/>
    <w:rsid w:val="00E455BB"/>
    <w:rsid w:val="00E50F7E"/>
    <w:rsid w:val="00E55415"/>
    <w:rsid w:val="00E56521"/>
    <w:rsid w:val="00E565C6"/>
    <w:rsid w:val="00E571FE"/>
    <w:rsid w:val="00E60A97"/>
    <w:rsid w:val="00E60D11"/>
    <w:rsid w:val="00E61B54"/>
    <w:rsid w:val="00E64669"/>
    <w:rsid w:val="00E70008"/>
    <w:rsid w:val="00E729B0"/>
    <w:rsid w:val="00E72BB7"/>
    <w:rsid w:val="00E7432F"/>
    <w:rsid w:val="00E750E7"/>
    <w:rsid w:val="00E7544E"/>
    <w:rsid w:val="00E75A5C"/>
    <w:rsid w:val="00E76177"/>
    <w:rsid w:val="00E81197"/>
    <w:rsid w:val="00E81D4B"/>
    <w:rsid w:val="00E82D8E"/>
    <w:rsid w:val="00E83A41"/>
    <w:rsid w:val="00E85129"/>
    <w:rsid w:val="00E87901"/>
    <w:rsid w:val="00E95881"/>
    <w:rsid w:val="00E96602"/>
    <w:rsid w:val="00E96CC2"/>
    <w:rsid w:val="00E97B3E"/>
    <w:rsid w:val="00E97C2B"/>
    <w:rsid w:val="00EA2241"/>
    <w:rsid w:val="00EA35C2"/>
    <w:rsid w:val="00EA59C6"/>
    <w:rsid w:val="00EA7A8A"/>
    <w:rsid w:val="00EB2DF6"/>
    <w:rsid w:val="00EB515D"/>
    <w:rsid w:val="00EB7EB0"/>
    <w:rsid w:val="00EC16F6"/>
    <w:rsid w:val="00EC1AF6"/>
    <w:rsid w:val="00EC2A03"/>
    <w:rsid w:val="00EC3453"/>
    <w:rsid w:val="00EC3764"/>
    <w:rsid w:val="00EC4043"/>
    <w:rsid w:val="00EC5155"/>
    <w:rsid w:val="00EC52DF"/>
    <w:rsid w:val="00EC68C7"/>
    <w:rsid w:val="00EC68C9"/>
    <w:rsid w:val="00EC705B"/>
    <w:rsid w:val="00EC786D"/>
    <w:rsid w:val="00ED0C9C"/>
    <w:rsid w:val="00ED1017"/>
    <w:rsid w:val="00ED277D"/>
    <w:rsid w:val="00ED5DE3"/>
    <w:rsid w:val="00ED73F4"/>
    <w:rsid w:val="00EE0597"/>
    <w:rsid w:val="00EE405B"/>
    <w:rsid w:val="00EE7909"/>
    <w:rsid w:val="00EF0EF9"/>
    <w:rsid w:val="00EF3FCC"/>
    <w:rsid w:val="00EF4855"/>
    <w:rsid w:val="00EF5151"/>
    <w:rsid w:val="00EF6238"/>
    <w:rsid w:val="00F00D5E"/>
    <w:rsid w:val="00F027F1"/>
    <w:rsid w:val="00F0316B"/>
    <w:rsid w:val="00F04481"/>
    <w:rsid w:val="00F05CF4"/>
    <w:rsid w:val="00F073BE"/>
    <w:rsid w:val="00F10A8E"/>
    <w:rsid w:val="00F12FCA"/>
    <w:rsid w:val="00F15121"/>
    <w:rsid w:val="00F2227B"/>
    <w:rsid w:val="00F2489E"/>
    <w:rsid w:val="00F262EA"/>
    <w:rsid w:val="00F26C5F"/>
    <w:rsid w:val="00F278CD"/>
    <w:rsid w:val="00F279B8"/>
    <w:rsid w:val="00F30448"/>
    <w:rsid w:val="00F3107F"/>
    <w:rsid w:val="00F32B38"/>
    <w:rsid w:val="00F33AFC"/>
    <w:rsid w:val="00F34E6F"/>
    <w:rsid w:val="00F367F2"/>
    <w:rsid w:val="00F36B0A"/>
    <w:rsid w:val="00F3736A"/>
    <w:rsid w:val="00F37F83"/>
    <w:rsid w:val="00F407D7"/>
    <w:rsid w:val="00F40CAF"/>
    <w:rsid w:val="00F428EC"/>
    <w:rsid w:val="00F42BF6"/>
    <w:rsid w:val="00F43119"/>
    <w:rsid w:val="00F44769"/>
    <w:rsid w:val="00F44E32"/>
    <w:rsid w:val="00F50009"/>
    <w:rsid w:val="00F50929"/>
    <w:rsid w:val="00F5484C"/>
    <w:rsid w:val="00F5678F"/>
    <w:rsid w:val="00F57301"/>
    <w:rsid w:val="00F578DA"/>
    <w:rsid w:val="00F60175"/>
    <w:rsid w:val="00F602B1"/>
    <w:rsid w:val="00F6071F"/>
    <w:rsid w:val="00F61C88"/>
    <w:rsid w:val="00F62A5D"/>
    <w:rsid w:val="00F636BF"/>
    <w:rsid w:val="00F63D9F"/>
    <w:rsid w:val="00F6465D"/>
    <w:rsid w:val="00F66EB3"/>
    <w:rsid w:val="00F7002B"/>
    <w:rsid w:val="00F7031E"/>
    <w:rsid w:val="00F71690"/>
    <w:rsid w:val="00F71EC2"/>
    <w:rsid w:val="00F721FF"/>
    <w:rsid w:val="00F74B7D"/>
    <w:rsid w:val="00F76B28"/>
    <w:rsid w:val="00F80A66"/>
    <w:rsid w:val="00F81AA1"/>
    <w:rsid w:val="00F8618E"/>
    <w:rsid w:val="00F9070B"/>
    <w:rsid w:val="00F92557"/>
    <w:rsid w:val="00F97D5E"/>
    <w:rsid w:val="00FA1A8F"/>
    <w:rsid w:val="00FA4129"/>
    <w:rsid w:val="00FA5A35"/>
    <w:rsid w:val="00FA67A4"/>
    <w:rsid w:val="00FB0B29"/>
    <w:rsid w:val="00FB22E1"/>
    <w:rsid w:val="00FB4C4F"/>
    <w:rsid w:val="00FB6077"/>
    <w:rsid w:val="00FB62D8"/>
    <w:rsid w:val="00FC041B"/>
    <w:rsid w:val="00FC295A"/>
    <w:rsid w:val="00FC3FD3"/>
    <w:rsid w:val="00FC7D63"/>
    <w:rsid w:val="00FD02DF"/>
    <w:rsid w:val="00FD39B8"/>
    <w:rsid w:val="00FD49F8"/>
    <w:rsid w:val="00FD4CC1"/>
    <w:rsid w:val="00FD5076"/>
    <w:rsid w:val="00FD53C5"/>
    <w:rsid w:val="00FD5402"/>
    <w:rsid w:val="00FD6CEE"/>
    <w:rsid w:val="00FD7CED"/>
    <w:rsid w:val="00FE00B0"/>
    <w:rsid w:val="00FE1062"/>
    <w:rsid w:val="00FE3190"/>
    <w:rsid w:val="00FE4A37"/>
    <w:rsid w:val="00FF3949"/>
    <w:rsid w:val="00FF4934"/>
    <w:rsid w:val="00FF78DF"/>
  </w:rsids>
  <m:mathPr>
    <m:mathFont m:val="Cambria Math"/>
    <m:brkBin m:val="before"/>
    <m:brkBinSub m:val="--"/>
    <m:smallFrac/>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5104121-4B96-4DF7-B949-1667D3608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7C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sume Title,List Paragraph1"/>
    <w:basedOn w:val="Normal"/>
    <w:link w:val="ListParagraphChar"/>
    <w:uiPriority w:val="34"/>
    <w:qFormat/>
    <w:rsid w:val="0063423D"/>
    <w:pPr>
      <w:spacing w:after="0" w:line="240" w:lineRule="auto"/>
      <w:ind w:left="720"/>
    </w:pPr>
    <w:rPr>
      <w:rFonts w:ascii="Times New Roman" w:eastAsia="Times New Roman" w:hAnsi="Times New Roman" w:cs="Times New Roman"/>
      <w:sz w:val="24"/>
      <w:szCs w:val="24"/>
      <w:lang w:val="en-US"/>
    </w:rPr>
  </w:style>
  <w:style w:type="table" w:styleId="TableGrid">
    <w:name w:val="Table Grid"/>
    <w:basedOn w:val="TableNormal"/>
    <w:uiPriority w:val="39"/>
    <w:rsid w:val="0063423D"/>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link w:val="SubtitleChar"/>
    <w:qFormat/>
    <w:rsid w:val="0051494B"/>
    <w:pPr>
      <w:spacing w:after="0" w:line="240" w:lineRule="auto"/>
      <w:jc w:val="center"/>
    </w:pPr>
    <w:rPr>
      <w:rFonts w:ascii="Times New Roman" w:eastAsia="Times New Roman" w:hAnsi="Times New Roman" w:cs="Times New Roman"/>
      <w:b/>
      <w:sz w:val="24"/>
      <w:szCs w:val="20"/>
      <w:lang w:val="en-US" w:eastAsia="ar-SA"/>
    </w:rPr>
  </w:style>
  <w:style w:type="character" w:customStyle="1" w:styleId="SubtitleChar">
    <w:name w:val="Subtitle Char"/>
    <w:basedOn w:val="DefaultParagraphFont"/>
    <w:link w:val="Subtitle"/>
    <w:rsid w:val="0051494B"/>
    <w:rPr>
      <w:rFonts w:ascii="Times New Roman" w:eastAsia="Times New Roman" w:hAnsi="Times New Roman" w:cs="Times New Roman"/>
      <w:b/>
      <w:sz w:val="24"/>
      <w:szCs w:val="20"/>
      <w:lang w:val="en-US" w:eastAsia="ar-SA"/>
    </w:rPr>
  </w:style>
  <w:style w:type="character" w:customStyle="1" w:styleId="ListParagraphChar">
    <w:name w:val="List Paragraph Char"/>
    <w:aliases w:val="Resume Title Char,List Paragraph1 Char"/>
    <w:link w:val="ListParagraph"/>
    <w:uiPriority w:val="34"/>
    <w:qFormat/>
    <w:rsid w:val="0051494B"/>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8A230C"/>
    <w:pPr>
      <w:suppressAutoHyphens/>
      <w:spacing w:after="0" w:line="240" w:lineRule="auto"/>
      <w:ind w:firstLine="720"/>
      <w:jc w:val="both"/>
    </w:pPr>
    <w:rPr>
      <w:rFonts w:ascii="Arial" w:eastAsia="Times New Roman" w:hAnsi="Arial" w:cs="Times New Roman"/>
      <w:sz w:val="20"/>
      <w:szCs w:val="20"/>
      <w:lang w:val="en-US" w:eastAsia="ar-SA"/>
    </w:rPr>
  </w:style>
  <w:style w:type="character" w:customStyle="1" w:styleId="HeaderChar">
    <w:name w:val="Header Char"/>
    <w:basedOn w:val="DefaultParagraphFont"/>
    <w:link w:val="Header"/>
    <w:uiPriority w:val="99"/>
    <w:rsid w:val="008A230C"/>
    <w:rPr>
      <w:rFonts w:ascii="Arial" w:eastAsia="Times New Roman" w:hAnsi="Arial" w:cs="Times New Roman"/>
      <w:sz w:val="20"/>
      <w:szCs w:val="20"/>
      <w:lang w:val="en-US" w:eastAsia="ar-SA"/>
    </w:rPr>
  </w:style>
  <w:style w:type="paragraph" w:styleId="NoSpacing">
    <w:name w:val="No Spacing"/>
    <w:link w:val="NoSpacingChar"/>
    <w:uiPriority w:val="1"/>
    <w:qFormat/>
    <w:rsid w:val="008A230C"/>
    <w:pPr>
      <w:spacing w:after="0" w:line="240" w:lineRule="auto"/>
    </w:pPr>
    <w:rPr>
      <w:rFonts w:ascii="Calibri" w:eastAsia="Calibri" w:hAnsi="Calibri" w:cs="Times New Roman"/>
    </w:rPr>
  </w:style>
  <w:style w:type="character" w:styleId="CommentReference">
    <w:name w:val="annotation reference"/>
    <w:basedOn w:val="DefaultParagraphFont"/>
    <w:uiPriority w:val="99"/>
    <w:semiHidden/>
    <w:unhideWhenUsed/>
    <w:rsid w:val="00A062EA"/>
    <w:rPr>
      <w:sz w:val="16"/>
      <w:szCs w:val="16"/>
    </w:rPr>
  </w:style>
  <w:style w:type="paragraph" w:styleId="CommentText">
    <w:name w:val="annotation text"/>
    <w:basedOn w:val="Normal"/>
    <w:link w:val="CommentTextChar"/>
    <w:uiPriority w:val="99"/>
    <w:semiHidden/>
    <w:unhideWhenUsed/>
    <w:rsid w:val="00A062EA"/>
    <w:pPr>
      <w:spacing w:line="240" w:lineRule="auto"/>
    </w:pPr>
    <w:rPr>
      <w:sz w:val="20"/>
      <w:szCs w:val="20"/>
    </w:rPr>
  </w:style>
  <w:style w:type="character" w:customStyle="1" w:styleId="CommentTextChar">
    <w:name w:val="Comment Text Char"/>
    <w:basedOn w:val="DefaultParagraphFont"/>
    <w:link w:val="CommentText"/>
    <w:uiPriority w:val="99"/>
    <w:semiHidden/>
    <w:rsid w:val="00A062EA"/>
    <w:rPr>
      <w:sz w:val="20"/>
      <w:szCs w:val="20"/>
    </w:rPr>
  </w:style>
  <w:style w:type="paragraph" w:styleId="BalloonText">
    <w:name w:val="Balloon Text"/>
    <w:basedOn w:val="Normal"/>
    <w:link w:val="BalloonTextChar"/>
    <w:uiPriority w:val="99"/>
    <w:semiHidden/>
    <w:unhideWhenUsed/>
    <w:rsid w:val="00A062E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62EA"/>
    <w:rPr>
      <w:rFonts w:ascii="Segoe UI" w:hAnsi="Segoe UI" w:cs="Segoe UI"/>
      <w:sz w:val="18"/>
      <w:szCs w:val="18"/>
    </w:rPr>
  </w:style>
  <w:style w:type="paragraph" w:styleId="Footer">
    <w:name w:val="footer"/>
    <w:basedOn w:val="Normal"/>
    <w:link w:val="FooterChar"/>
    <w:uiPriority w:val="99"/>
    <w:unhideWhenUsed/>
    <w:rsid w:val="00B565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6546"/>
  </w:style>
  <w:style w:type="character" w:styleId="Strong">
    <w:name w:val="Strong"/>
    <w:basedOn w:val="DefaultParagraphFont"/>
    <w:uiPriority w:val="22"/>
    <w:qFormat/>
    <w:rsid w:val="00785B30"/>
    <w:rPr>
      <w:b/>
      <w:bCs/>
    </w:rPr>
  </w:style>
  <w:style w:type="paragraph" w:styleId="NormalWeb">
    <w:name w:val="Normal (Web)"/>
    <w:basedOn w:val="Normal"/>
    <w:uiPriority w:val="99"/>
    <w:unhideWhenUsed/>
    <w:rsid w:val="00785B3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SpacingChar">
    <w:name w:val="No Spacing Char"/>
    <w:link w:val="NoSpacing"/>
    <w:uiPriority w:val="1"/>
    <w:locked/>
    <w:rsid w:val="00DC44A2"/>
    <w:rPr>
      <w:rFonts w:ascii="Calibri" w:eastAsia="Calibri" w:hAnsi="Calibri" w:cs="Times New Roman"/>
    </w:rPr>
  </w:style>
  <w:style w:type="paragraph" w:styleId="BodyTextIndent">
    <w:name w:val="Body Text Indent"/>
    <w:basedOn w:val="Normal"/>
    <w:link w:val="BodyTextIndentChar"/>
    <w:uiPriority w:val="99"/>
    <w:semiHidden/>
    <w:unhideWhenUsed/>
    <w:rsid w:val="00492B00"/>
    <w:pPr>
      <w:spacing w:after="120" w:line="276" w:lineRule="auto"/>
      <w:ind w:left="360"/>
    </w:pPr>
    <w:rPr>
      <w:rFonts w:ascii="Calibri" w:eastAsia="Calibri" w:hAnsi="Calibri" w:cs="Times New Roman"/>
      <w:lang w:val="en-US"/>
    </w:rPr>
  </w:style>
  <w:style w:type="character" w:customStyle="1" w:styleId="BodyTextIndentChar">
    <w:name w:val="Body Text Indent Char"/>
    <w:basedOn w:val="DefaultParagraphFont"/>
    <w:link w:val="BodyTextIndent"/>
    <w:uiPriority w:val="99"/>
    <w:semiHidden/>
    <w:rsid w:val="00492B00"/>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41F47D-5B68-42CD-9C74-D1A0A5187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1752</TotalTime>
  <Pages>48</Pages>
  <Words>17749</Words>
  <Characters>101172</Characters>
  <Application>Microsoft Office Word</Application>
  <DocSecurity>0</DocSecurity>
  <Lines>843</Lines>
  <Paragraphs>237</Paragraphs>
  <ScaleCrop>false</ScaleCrop>
  <HeadingPairs>
    <vt:vector size="2" baseType="variant">
      <vt:variant>
        <vt:lpstr>Title</vt:lpstr>
      </vt:variant>
      <vt:variant>
        <vt:i4>1</vt:i4>
      </vt:variant>
    </vt:vector>
  </HeadingPairs>
  <TitlesOfParts>
    <vt:vector size="1" baseType="lpstr">
      <vt:lpstr>Observations and Recommendations</vt:lpstr>
    </vt:vector>
  </TitlesOfParts>
  <Company/>
  <LinksUpToDate>false</LinksUpToDate>
  <CharactersWithSpaces>118684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Observations and Recommendations</dc:title>
  <dc:subject/>
  <dc:creator>COA - Philippine Charity Sweepstakes Office</dc:creator>
  <cp:keywords/>
  <dc:description/>
  <cp:lastModifiedBy>Evy Rose L. Lacanlale</cp:lastModifiedBy>
  <cp:revision>152</cp:revision>
  <cp:lastPrinted>2019-06-28T12:31:00Z</cp:lastPrinted>
  <dcterms:created xsi:type="dcterms:W3CDTF">2019-06-21T03:54:00Z</dcterms:created>
  <dcterms:modified xsi:type="dcterms:W3CDTF">2019-07-08T06:33:00Z</dcterms:modified>
</cp:coreProperties>
</file>