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1B2" w:rsidRPr="004F79DB" w:rsidRDefault="000723E2" w:rsidP="00E2721B">
      <w:pPr>
        <w:spacing w:after="0" w:line="240" w:lineRule="auto"/>
        <w:jc w:val="center"/>
        <w:rPr>
          <w:rFonts w:ascii="Arial" w:hAnsi="Arial" w:cs="Arial"/>
          <w:b/>
        </w:rPr>
      </w:pPr>
      <w:bookmarkStart w:id="0" w:name="_GoBack"/>
      <w:bookmarkEnd w:id="0"/>
      <w:r w:rsidRPr="004F79DB">
        <w:rPr>
          <w:rFonts w:ascii="Arial" w:hAnsi="Arial" w:cs="Arial"/>
          <w:b/>
        </w:rPr>
        <w:t>EXECUTIVE SUMMARY</w:t>
      </w:r>
    </w:p>
    <w:p w:rsidR="00C85872" w:rsidRPr="004F79DB" w:rsidRDefault="00C85872" w:rsidP="00F65E6B">
      <w:pPr>
        <w:spacing w:after="0" w:line="240" w:lineRule="auto"/>
        <w:rPr>
          <w:rFonts w:ascii="Arial" w:hAnsi="Arial" w:cs="Arial"/>
          <w:b/>
        </w:rPr>
      </w:pPr>
    </w:p>
    <w:p w:rsidR="00264EDB" w:rsidRPr="004F79DB" w:rsidRDefault="00264EDB" w:rsidP="00F65E6B">
      <w:pPr>
        <w:spacing w:after="0" w:line="240" w:lineRule="auto"/>
        <w:rPr>
          <w:rFonts w:ascii="Arial" w:hAnsi="Arial" w:cs="Arial"/>
          <w:b/>
        </w:rPr>
      </w:pPr>
    </w:p>
    <w:p w:rsidR="000723E2" w:rsidRPr="004F79DB" w:rsidRDefault="00264EDB" w:rsidP="00093DD1">
      <w:pPr>
        <w:spacing w:after="0" w:line="240" w:lineRule="auto"/>
        <w:rPr>
          <w:rFonts w:ascii="Arial" w:hAnsi="Arial" w:cs="Arial"/>
          <w:b/>
        </w:rPr>
      </w:pPr>
      <w:r w:rsidRPr="004F79DB">
        <w:rPr>
          <w:rFonts w:ascii="Arial" w:hAnsi="Arial" w:cs="Arial"/>
          <w:b/>
        </w:rPr>
        <w:t>INTRODUCTION</w:t>
      </w:r>
    </w:p>
    <w:p w:rsidR="004C3D9B" w:rsidRPr="004F79DB" w:rsidRDefault="004C3D9B" w:rsidP="00F65E6B">
      <w:pPr>
        <w:pStyle w:val="ListParagraph"/>
        <w:ind w:left="0" w:firstLine="720"/>
        <w:jc w:val="both"/>
        <w:rPr>
          <w:rFonts w:ascii="Arial" w:eastAsia="Calibri" w:hAnsi="Arial" w:cs="Arial"/>
          <w:sz w:val="22"/>
          <w:szCs w:val="22"/>
          <w:lang w:val="en-PH"/>
        </w:rPr>
      </w:pPr>
    </w:p>
    <w:p w:rsidR="00A33BB3" w:rsidRPr="004F79DB" w:rsidRDefault="00A33BB3" w:rsidP="00A33BB3">
      <w:pPr>
        <w:spacing w:after="0" w:line="240" w:lineRule="auto"/>
        <w:jc w:val="both"/>
        <w:rPr>
          <w:rFonts w:ascii="Arial" w:hAnsi="Arial" w:cs="Arial"/>
        </w:rPr>
      </w:pPr>
      <w:r w:rsidRPr="004F79DB">
        <w:rPr>
          <w:rFonts w:ascii="Arial" w:hAnsi="Arial" w:cs="Arial"/>
        </w:rPr>
        <w:t xml:space="preserve">The Philippine Charity Sweepstakes Office (PCSO) was created under Philippine Legislature Act No. 4130 on October 30, 1934 and later amended by Republic Act (RA) No. 1169 in 1954 and Batas Pambansa Blg. 42 on September 24, 1979. It is the principal government agency for raising and providing funds for health programs, medical assistance and services, and charities of national character.  </w:t>
      </w:r>
    </w:p>
    <w:p w:rsidR="00A33BB3" w:rsidRPr="004F79DB" w:rsidRDefault="00A33BB3" w:rsidP="00A33BB3">
      <w:pPr>
        <w:spacing w:after="0" w:line="240" w:lineRule="auto"/>
        <w:rPr>
          <w:rFonts w:ascii="Arial" w:hAnsi="Arial" w:cs="Arial"/>
        </w:rPr>
      </w:pPr>
    </w:p>
    <w:p w:rsidR="00A33BB3" w:rsidRPr="004F79DB" w:rsidRDefault="00A33BB3" w:rsidP="00A33BB3">
      <w:pPr>
        <w:spacing w:after="0" w:line="240" w:lineRule="auto"/>
        <w:jc w:val="both"/>
        <w:rPr>
          <w:rFonts w:ascii="Arial" w:hAnsi="Arial" w:cs="Arial"/>
        </w:rPr>
      </w:pPr>
      <w:r w:rsidRPr="004F79DB">
        <w:rPr>
          <w:rFonts w:ascii="Arial" w:hAnsi="Arial" w:cs="Arial"/>
        </w:rPr>
        <w:t>The PCSO’s main programs consist of endowment fund/quality health care, individual medical assistance, community outreach, ambulance donation, national calamity and disaster</w:t>
      </w:r>
      <w:r w:rsidR="00316651">
        <w:rPr>
          <w:rFonts w:ascii="Arial" w:hAnsi="Arial" w:cs="Arial"/>
        </w:rPr>
        <w:t xml:space="preserve"> program</w:t>
      </w:r>
      <w:r w:rsidRPr="004F79DB">
        <w:rPr>
          <w:rFonts w:ascii="Arial" w:hAnsi="Arial" w:cs="Arial"/>
        </w:rPr>
        <w:t>, and hospital renovation and improvement of health care facilities. It also gives mandatory contributions to various agencies and institutions.</w:t>
      </w:r>
    </w:p>
    <w:p w:rsidR="00A33BB3" w:rsidRPr="004F79DB" w:rsidRDefault="00A33BB3" w:rsidP="00A33BB3">
      <w:pPr>
        <w:spacing w:after="0" w:line="240" w:lineRule="auto"/>
        <w:rPr>
          <w:rFonts w:ascii="Arial" w:hAnsi="Arial" w:cs="Arial"/>
        </w:rPr>
      </w:pPr>
    </w:p>
    <w:p w:rsidR="00A33BB3" w:rsidRPr="004F79DB" w:rsidRDefault="001B7F51" w:rsidP="00A33BB3">
      <w:pPr>
        <w:spacing w:after="0" w:line="240" w:lineRule="auto"/>
        <w:jc w:val="both"/>
        <w:rPr>
          <w:rFonts w:ascii="Arial" w:hAnsi="Arial" w:cs="Arial"/>
        </w:rPr>
      </w:pPr>
      <w:r w:rsidRPr="004F79DB">
        <w:rPr>
          <w:rFonts w:ascii="Arial" w:hAnsi="Arial" w:cs="Arial"/>
        </w:rPr>
        <w:t>T</w:t>
      </w:r>
      <w:r w:rsidR="00A33BB3" w:rsidRPr="004F79DB">
        <w:rPr>
          <w:rFonts w:ascii="Arial" w:hAnsi="Arial" w:cs="Arial"/>
        </w:rPr>
        <w:t>he PCSO</w:t>
      </w:r>
      <w:r w:rsidRPr="004F79DB">
        <w:rPr>
          <w:rFonts w:ascii="Arial" w:hAnsi="Arial" w:cs="Arial"/>
        </w:rPr>
        <w:t xml:space="preserve"> also</w:t>
      </w:r>
      <w:r w:rsidR="00A33BB3" w:rsidRPr="004F79DB">
        <w:rPr>
          <w:rFonts w:ascii="Arial" w:hAnsi="Arial" w:cs="Arial"/>
        </w:rPr>
        <w:t xml:space="preserve"> extends regular contributions to charitable institutions engaged in giving welfare services to the children and youth who are either abandoned or exploited, the elderly, and the physically and mentally handicapped, among others. It holds and conducts charity sweepstakes, races, and lotteries and engages in health and welfare-related investments, projects, and activities to provide for permanent and continuing sources of funds for it</w:t>
      </w:r>
      <w:r w:rsidRPr="004F79DB">
        <w:rPr>
          <w:rFonts w:ascii="Arial" w:hAnsi="Arial" w:cs="Arial"/>
        </w:rPr>
        <w:t>s programs. O</w:t>
      </w:r>
      <w:r w:rsidR="00A33BB3" w:rsidRPr="004F79DB">
        <w:rPr>
          <w:rFonts w:ascii="Arial" w:hAnsi="Arial" w:cs="Arial"/>
        </w:rPr>
        <w:t>ther activities to enhance and expand such fund-generating operations as well as strengthen the agency</w:t>
      </w:r>
      <w:r w:rsidRPr="004F79DB">
        <w:rPr>
          <w:rFonts w:ascii="Arial" w:hAnsi="Arial" w:cs="Arial"/>
        </w:rPr>
        <w:t>’s fund-management capabilities are also being undertaken by the agency.</w:t>
      </w:r>
    </w:p>
    <w:p w:rsidR="00A33BB3" w:rsidRPr="004F79DB" w:rsidRDefault="00A33BB3" w:rsidP="00A33BB3">
      <w:pPr>
        <w:spacing w:after="0" w:line="240" w:lineRule="auto"/>
        <w:rPr>
          <w:rFonts w:ascii="Arial" w:hAnsi="Arial" w:cs="Arial"/>
        </w:rPr>
      </w:pPr>
    </w:p>
    <w:p w:rsidR="001B7F51" w:rsidRPr="004F79DB" w:rsidRDefault="00A33BB3" w:rsidP="00A33BB3">
      <w:pPr>
        <w:spacing w:after="0" w:line="240" w:lineRule="auto"/>
        <w:jc w:val="both"/>
        <w:rPr>
          <w:rFonts w:ascii="Arial" w:hAnsi="Arial" w:cs="Arial"/>
        </w:rPr>
      </w:pPr>
      <w:r w:rsidRPr="004F79DB">
        <w:rPr>
          <w:rFonts w:ascii="Arial" w:hAnsi="Arial" w:cs="Arial"/>
        </w:rPr>
        <w:t xml:space="preserve">PCSO is </w:t>
      </w:r>
      <w:r w:rsidR="001B7F51" w:rsidRPr="004F79DB">
        <w:rPr>
          <w:rFonts w:ascii="Arial" w:hAnsi="Arial" w:cs="Arial"/>
        </w:rPr>
        <w:t xml:space="preserve">being </w:t>
      </w:r>
      <w:r w:rsidRPr="004F79DB">
        <w:rPr>
          <w:rFonts w:ascii="Arial" w:hAnsi="Arial" w:cs="Arial"/>
        </w:rPr>
        <w:t xml:space="preserve">managed by a Board of Directors, composed of the following members as of December 31, 2018: </w:t>
      </w:r>
    </w:p>
    <w:p w:rsidR="001B7F51" w:rsidRPr="004F79DB" w:rsidRDefault="001B7F51" w:rsidP="00A33BB3">
      <w:pPr>
        <w:spacing w:after="0" w:line="240" w:lineRule="auto"/>
        <w:jc w:val="both"/>
        <w:rPr>
          <w:rFonts w:ascii="Arial" w:hAnsi="Arial" w:cs="Arial"/>
        </w:rPr>
      </w:pPr>
    </w:p>
    <w:p w:rsidR="001B7F51" w:rsidRPr="004F79DB" w:rsidRDefault="00A33BB3" w:rsidP="001B7F51">
      <w:pPr>
        <w:spacing w:after="0" w:line="240" w:lineRule="auto"/>
        <w:ind w:firstLine="720"/>
        <w:jc w:val="both"/>
        <w:rPr>
          <w:rFonts w:ascii="Arial" w:hAnsi="Arial" w:cs="Arial"/>
        </w:rPr>
      </w:pPr>
      <w:r w:rsidRPr="004F79DB">
        <w:rPr>
          <w:rFonts w:ascii="Arial" w:hAnsi="Arial" w:cs="Arial"/>
        </w:rPr>
        <w:t xml:space="preserve">Anselmo Simeon P. Pinili </w:t>
      </w:r>
      <w:r w:rsidR="001B7F51" w:rsidRPr="004F79DB">
        <w:rPr>
          <w:rFonts w:ascii="Arial" w:hAnsi="Arial" w:cs="Arial"/>
        </w:rPr>
        <w:tab/>
        <w:t xml:space="preserve">- </w:t>
      </w:r>
      <w:r w:rsidR="001B7F51" w:rsidRPr="004F79DB">
        <w:rPr>
          <w:rFonts w:ascii="Arial" w:hAnsi="Arial" w:cs="Arial"/>
        </w:rPr>
        <w:tab/>
        <w:t>Chairman</w:t>
      </w:r>
    </w:p>
    <w:p w:rsidR="00F02111" w:rsidRPr="004F79DB" w:rsidRDefault="001B7F51" w:rsidP="001B7F51">
      <w:pPr>
        <w:spacing w:after="0" w:line="240" w:lineRule="auto"/>
        <w:ind w:left="720"/>
        <w:jc w:val="both"/>
        <w:rPr>
          <w:rFonts w:ascii="Arial" w:hAnsi="Arial" w:cs="Arial"/>
        </w:rPr>
      </w:pPr>
      <w:r w:rsidRPr="004F79DB">
        <w:rPr>
          <w:rFonts w:ascii="Arial" w:hAnsi="Arial" w:cs="Arial"/>
        </w:rPr>
        <w:t>Alexander F. Balutan</w:t>
      </w:r>
      <w:r w:rsidRPr="004F79DB">
        <w:rPr>
          <w:rFonts w:ascii="Arial" w:hAnsi="Arial" w:cs="Arial"/>
        </w:rPr>
        <w:tab/>
      </w:r>
      <w:r w:rsidR="001470DA" w:rsidRPr="004F79DB">
        <w:rPr>
          <w:rFonts w:ascii="Arial" w:hAnsi="Arial" w:cs="Arial"/>
        </w:rPr>
        <w:tab/>
      </w:r>
      <w:r w:rsidRPr="004F79DB">
        <w:rPr>
          <w:rFonts w:ascii="Arial" w:hAnsi="Arial" w:cs="Arial"/>
        </w:rPr>
        <w:t>-</w:t>
      </w:r>
      <w:r w:rsidRPr="004F79DB">
        <w:rPr>
          <w:rFonts w:ascii="Arial" w:hAnsi="Arial" w:cs="Arial"/>
        </w:rPr>
        <w:tab/>
      </w:r>
      <w:r w:rsidR="00A33BB3" w:rsidRPr="004F79DB">
        <w:rPr>
          <w:rFonts w:ascii="Arial" w:hAnsi="Arial" w:cs="Arial"/>
        </w:rPr>
        <w:t>Vic</w:t>
      </w:r>
      <w:r w:rsidRPr="004F79DB">
        <w:rPr>
          <w:rFonts w:ascii="Arial" w:hAnsi="Arial" w:cs="Arial"/>
        </w:rPr>
        <w:t>e-Chairman and General Manager</w:t>
      </w:r>
      <w:r w:rsidR="00A33BB3" w:rsidRPr="004F79DB">
        <w:rPr>
          <w:rFonts w:ascii="Arial" w:hAnsi="Arial" w:cs="Arial"/>
        </w:rPr>
        <w:t xml:space="preserve"> </w:t>
      </w:r>
    </w:p>
    <w:p w:rsidR="001B7F51" w:rsidRPr="004F79DB" w:rsidRDefault="00A33BB3" w:rsidP="001B7F51">
      <w:pPr>
        <w:spacing w:after="0" w:line="240" w:lineRule="auto"/>
        <w:ind w:left="720"/>
        <w:jc w:val="both"/>
        <w:rPr>
          <w:rFonts w:ascii="Arial" w:hAnsi="Arial" w:cs="Arial"/>
        </w:rPr>
      </w:pPr>
      <w:r w:rsidRPr="004F79DB">
        <w:rPr>
          <w:rFonts w:ascii="Arial" w:hAnsi="Arial" w:cs="Arial"/>
        </w:rPr>
        <w:t xml:space="preserve">Marlon U. Balite </w:t>
      </w:r>
      <w:r w:rsidR="001B7F51" w:rsidRPr="004F79DB">
        <w:rPr>
          <w:rFonts w:ascii="Arial" w:hAnsi="Arial" w:cs="Arial"/>
        </w:rPr>
        <w:tab/>
      </w:r>
      <w:r w:rsidR="001B7F51" w:rsidRPr="004F79DB">
        <w:rPr>
          <w:rFonts w:ascii="Arial" w:hAnsi="Arial" w:cs="Arial"/>
        </w:rPr>
        <w:tab/>
        <w:t xml:space="preserve">- </w:t>
      </w:r>
      <w:r w:rsidR="001B7F51" w:rsidRPr="004F79DB">
        <w:rPr>
          <w:rFonts w:ascii="Arial" w:hAnsi="Arial" w:cs="Arial"/>
        </w:rPr>
        <w:tab/>
        <w:t>Member</w:t>
      </w:r>
    </w:p>
    <w:p w:rsidR="001B7F51" w:rsidRPr="004F79DB" w:rsidRDefault="00A33BB3" w:rsidP="001B7F51">
      <w:pPr>
        <w:spacing w:after="0" w:line="240" w:lineRule="auto"/>
        <w:ind w:left="720"/>
        <w:jc w:val="both"/>
        <w:rPr>
          <w:rFonts w:ascii="Arial" w:hAnsi="Arial" w:cs="Arial"/>
        </w:rPr>
      </w:pPr>
      <w:r w:rsidRPr="004F79DB">
        <w:rPr>
          <w:rFonts w:ascii="Arial" w:hAnsi="Arial" w:cs="Arial"/>
        </w:rPr>
        <w:t xml:space="preserve">Sandra M. Cam </w:t>
      </w:r>
      <w:r w:rsidR="001B7F51" w:rsidRPr="004F79DB">
        <w:rPr>
          <w:rFonts w:ascii="Arial" w:hAnsi="Arial" w:cs="Arial"/>
        </w:rPr>
        <w:tab/>
      </w:r>
      <w:r w:rsidR="001B7F51" w:rsidRPr="004F79DB">
        <w:rPr>
          <w:rFonts w:ascii="Arial" w:hAnsi="Arial" w:cs="Arial"/>
        </w:rPr>
        <w:tab/>
        <w:t>-</w:t>
      </w:r>
      <w:r w:rsidR="001B7F51" w:rsidRPr="004F79DB">
        <w:rPr>
          <w:rFonts w:ascii="Arial" w:hAnsi="Arial" w:cs="Arial"/>
        </w:rPr>
        <w:tab/>
        <w:t>Member</w:t>
      </w:r>
      <w:r w:rsidRPr="004F79DB">
        <w:rPr>
          <w:rFonts w:ascii="Arial" w:hAnsi="Arial" w:cs="Arial"/>
        </w:rPr>
        <w:t xml:space="preserve"> </w:t>
      </w:r>
    </w:p>
    <w:p w:rsidR="00A33BB3" w:rsidRPr="004F79DB" w:rsidRDefault="00A33BB3" w:rsidP="001B7F51">
      <w:pPr>
        <w:spacing w:after="0" w:line="240" w:lineRule="auto"/>
        <w:ind w:left="720"/>
        <w:jc w:val="both"/>
        <w:rPr>
          <w:rFonts w:ascii="Arial" w:hAnsi="Arial" w:cs="Arial"/>
        </w:rPr>
      </w:pPr>
      <w:r w:rsidRPr="004F79DB">
        <w:rPr>
          <w:rFonts w:ascii="Arial" w:hAnsi="Arial" w:cs="Arial"/>
        </w:rPr>
        <w:t>Atty. Wesley A. Barayuga</w:t>
      </w:r>
      <w:r w:rsidR="001B7F51" w:rsidRPr="004F79DB">
        <w:rPr>
          <w:rFonts w:ascii="Arial" w:hAnsi="Arial" w:cs="Arial"/>
        </w:rPr>
        <w:tab/>
        <w:t xml:space="preserve">-   </w:t>
      </w:r>
      <w:r w:rsidR="001B7F51" w:rsidRPr="004F79DB">
        <w:rPr>
          <w:rFonts w:ascii="Arial" w:hAnsi="Arial" w:cs="Arial"/>
        </w:rPr>
        <w:tab/>
        <w:t>Board Secretary</w:t>
      </w:r>
    </w:p>
    <w:p w:rsidR="001470DA" w:rsidRPr="004F79DB" w:rsidRDefault="001470DA" w:rsidP="001B7F51">
      <w:pPr>
        <w:spacing w:after="0" w:line="240" w:lineRule="auto"/>
        <w:ind w:left="720"/>
        <w:jc w:val="both"/>
        <w:rPr>
          <w:rFonts w:ascii="Arial" w:hAnsi="Arial" w:cs="Arial"/>
        </w:rPr>
      </w:pPr>
    </w:p>
    <w:p w:rsidR="001470DA" w:rsidRPr="004F79DB" w:rsidRDefault="001470DA" w:rsidP="001470DA">
      <w:pPr>
        <w:spacing w:after="0" w:line="240" w:lineRule="auto"/>
        <w:jc w:val="both"/>
        <w:rPr>
          <w:rFonts w:ascii="Arial" w:hAnsi="Arial" w:cs="Arial"/>
        </w:rPr>
      </w:pPr>
      <w:r w:rsidRPr="004F79DB">
        <w:rPr>
          <w:rFonts w:ascii="Arial" w:hAnsi="Arial" w:cs="Arial"/>
        </w:rPr>
        <w:t xml:space="preserve">Former board member Atty. Jesus Manuel C. Suntay resigned </w:t>
      </w:r>
      <w:r w:rsidR="00B307F7">
        <w:rPr>
          <w:rFonts w:ascii="Arial" w:hAnsi="Arial" w:cs="Arial"/>
        </w:rPr>
        <w:t>i</w:t>
      </w:r>
      <w:r w:rsidRPr="004F79DB">
        <w:rPr>
          <w:rFonts w:ascii="Arial" w:hAnsi="Arial" w:cs="Arial"/>
        </w:rPr>
        <w:t>n</w:t>
      </w:r>
      <w:r w:rsidR="0005182B" w:rsidRPr="004F79DB">
        <w:rPr>
          <w:rFonts w:ascii="Arial" w:hAnsi="Arial" w:cs="Arial"/>
        </w:rPr>
        <w:t xml:space="preserve"> October 2018 </w:t>
      </w:r>
      <w:r w:rsidRPr="004F79DB">
        <w:rPr>
          <w:rFonts w:ascii="Arial" w:hAnsi="Arial" w:cs="Arial"/>
        </w:rPr>
        <w:t xml:space="preserve">when </w:t>
      </w:r>
      <w:r w:rsidR="0005182B" w:rsidRPr="004F79DB">
        <w:rPr>
          <w:rFonts w:ascii="Arial" w:hAnsi="Arial" w:cs="Arial"/>
        </w:rPr>
        <w:t>he filed for candidacy in the 2019 national elections</w:t>
      </w:r>
      <w:r w:rsidR="00F02111" w:rsidRPr="004F79DB">
        <w:rPr>
          <w:rFonts w:ascii="Arial" w:hAnsi="Arial" w:cs="Arial"/>
        </w:rPr>
        <w:t xml:space="preserve">.  On the other hand, former </w:t>
      </w:r>
      <w:r w:rsidR="0005182B" w:rsidRPr="004F79DB">
        <w:rPr>
          <w:rFonts w:ascii="Arial" w:hAnsi="Arial" w:cs="Arial"/>
        </w:rPr>
        <w:t>G</w:t>
      </w:r>
      <w:r w:rsidR="007B4A3E">
        <w:rPr>
          <w:rFonts w:ascii="Arial" w:hAnsi="Arial" w:cs="Arial"/>
        </w:rPr>
        <w:t xml:space="preserve">eneral </w:t>
      </w:r>
      <w:r w:rsidR="0005182B" w:rsidRPr="004F79DB">
        <w:rPr>
          <w:rFonts w:ascii="Arial" w:hAnsi="Arial" w:cs="Arial"/>
        </w:rPr>
        <w:t>M</w:t>
      </w:r>
      <w:r w:rsidR="007B4A3E">
        <w:rPr>
          <w:rFonts w:ascii="Arial" w:hAnsi="Arial" w:cs="Arial"/>
        </w:rPr>
        <w:t>anager</w:t>
      </w:r>
      <w:r w:rsidR="0005182B" w:rsidRPr="004F79DB">
        <w:rPr>
          <w:rFonts w:ascii="Arial" w:hAnsi="Arial" w:cs="Arial"/>
        </w:rPr>
        <w:t xml:space="preserve"> Alexander F. Balutan resigned effective March 2019.</w:t>
      </w:r>
    </w:p>
    <w:p w:rsidR="001B7F51" w:rsidRPr="004F79DB" w:rsidRDefault="001B7F51" w:rsidP="001B7F51">
      <w:pPr>
        <w:spacing w:after="0" w:line="240" w:lineRule="auto"/>
        <w:ind w:left="720"/>
        <w:jc w:val="both"/>
        <w:rPr>
          <w:rFonts w:ascii="Arial" w:hAnsi="Arial" w:cs="Arial"/>
        </w:rPr>
      </w:pPr>
    </w:p>
    <w:p w:rsidR="00A33BB3" w:rsidRPr="004F79DB" w:rsidRDefault="00A33BB3" w:rsidP="00A33BB3">
      <w:pPr>
        <w:spacing w:after="0" w:line="240" w:lineRule="auto"/>
        <w:jc w:val="both"/>
        <w:rPr>
          <w:rFonts w:ascii="Arial" w:hAnsi="Arial" w:cs="Arial"/>
          <w:b/>
        </w:rPr>
      </w:pPr>
      <w:r w:rsidRPr="004F79DB">
        <w:rPr>
          <w:rFonts w:ascii="Arial" w:hAnsi="Arial" w:cs="Arial"/>
        </w:rPr>
        <w:t>As of December 31, 201</w:t>
      </w:r>
      <w:r w:rsidR="00AB4C3D">
        <w:rPr>
          <w:rFonts w:ascii="Arial" w:hAnsi="Arial" w:cs="Arial"/>
        </w:rPr>
        <w:t>8,</w:t>
      </w:r>
      <w:r w:rsidRPr="004F79DB">
        <w:rPr>
          <w:rFonts w:ascii="Arial" w:hAnsi="Arial" w:cs="Arial"/>
        </w:rPr>
        <w:t xml:space="preserve"> PCSO has a total manpower</w:t>
      </w:r>
      <w:r w:rsidR="001470DA" w:rsidRPr="004F79DB">
        <w:rPr>
          <w:rFonts w:ascii="Arial" w:hAnsi="Arial" w:cs="Arial"/>
        </w:rPr>
        <w:t xml:space="preserve"> complement</w:t>
      </w:r>
      <w:r w:rsidRPr="004F79DB">
        <w:rPr>
          <w:rFonts w:ascii="Arial" w:hAnsi="Arial" w:cs="Arial"/>
        </w:rPr>
        <w:t xml:space="preserve"> of 1</w:t>
      </w:r>
      <w:r w:rsidR="007B4A3E">
        <w:rPr>
          <w:rFonts w:ascii="Arial" w:hAnsi="Arial" w:cs="Arial"/>
        </w:rPr>
        <w:t>,</w:t>
      </w:r>
      <w:r w:rsidRPr="004F79DB">
        <w:rPr>
          <w:rFonts w:ascii="Arial" w:hAnsi="Arial" w:cs="Arial"/>
        </w:rPr>
        <w:t xml:space="preserve">750, </w:t>
      </w:r>
      <w:r w:rsidR="001470DA" w:rsidRPr="004F79DB">
        <w:rPr>
          <w:rFonts w:ascii="Arial" w:hAnsi="Arial" w:cs="Arial"/>
        </w:rPr>
        <w:t xml:space="preserve">broken down as follows: </w:t>
      </w:r>
      <w:r w:rsidRPr="004F79DB">
        <w:rPr>
          <w:rFonts w:ascii="Arial" w:hAnsi="Arial" w:cs="Arial"/>
        </w:rPr>
        <w:t xml:space="preserve"> </w:t>
      </w:r>
    </w:p>
    <w:p w:rsidR="00A33BB3" w:rsidRPr="004F79DB" w:rsidRDefault="00A33BB3" w:rsidP="00A33BB3">
      <w:pPr>
        <w:spacing w:after="0" w:line="240" w:lineRule="auto"/>
        <w:ind w:firstLine="720"/>
        <w:jc w:val="both"/>
        <w:rPr>
          <w:rFonts w:ascii="Arial" w:hAnsi="Arial" w:cs="Arial"/>
        </w:rPr>
      </w:pPr>
    </w:p>
    <w:tbl>
      <w:tblPr>
        <w:tblW w:w="8640" w:type="dxa"/>
        <w:tblInd w:w="108" w:type="dxa"/>
        <w:tblLayout w:type="fixed"/>
        <w:tblLook w:val="04A0" w:firstRow="1" w:lastRow="0" w:firstColumn="1" w:lastColumn="0" w:noHBand="0" w:noVBand="1"/>
      </w:tblPr>
      <w:tblGrid>
        <w:gridCol w:w="3600"/>
        <w:gridCol w:w="1620"/>
        <w:gridCol w:w="1620"/>
        <w:gridCol w:w="1800"/>
      </w:tblGrid>
      <w:tr w:rsidR="00A33BB3" w:rsidRPr="004F79DB" w:rsidTr="007B4A3E">
        <w:trPr>
          <w:trHeight w:val="241"/>
        </w:trPr>
        <w:tc>
          <w:tcPr>
            <w:tcW w:w="3600" w:type="dxa"/>
            <w:tcBorders>
              <w:top w:val="single" w:sz="4" w:space="0" w:color="auto"/>
              <w:bottom w:val="single" w:sz="4" w:space="0" w:color="auto"/>
            </w:tcBorders>
            <w:vAlign w:val="center"/>
            <w:hideMark/>
          </w:tcPr>
          <w:p w:rsidR="00A33BB3" w:rsidRPr="003268E9" w:rsidRDefault="00A33BB3" w:rsidP="00B74C9A">
            <w:pPr>
              <w:suppressAutoHyphens/>
              <w:snapToGrid w:val="0"/>
              <w:spacing w:after="0" w:line="240" w:lineRule="auto"/>
              <w:jc w:val="center"/>
              <w:rPr>
                <w:rFonts w:ascii="Arial" w:eastAsia="Times New Roman" w:hAnsi="Arial" w:cs="Arial"/>
                <w:b/>
                <w:sz w:val="20"/>
                <w:szCs w:val="20"/>
                <w:lang w:eastAsia="ar-SA"/>
              </w:rPr>
            </w:pPr>
          </w:p>
        </w:tc>
        <w:tc>
          <w:tcPr>
            <w:tcW w:w="1620" w:type="dxa"/>
            <w:tcBorders>
              <w:top w:val="single" w:sz="4" w:space="0" w:color="auto"/>
              <w:bottom w:val="single" w:sz="4" w:space="0" w:color="auto"/>
            </w:tcBorders>
            <w:vAlign w:val="center"/>
          </w:tcPr>
          <w:p w:rsidR="00A33BB3" w:rsidRPr="003268E9" w:rsidRDefault="00A33BB3" w:rsidP="007B4A3E">
            <w:pPr>
              <w:suppressAutoHyphens/>
              <w:snapToGrid w:val="0"/>
              <w:spacing w:after="0" w:line="240" w:lineRule="auto"/>
              <w:ind w:left="-108" w:right="-108"/>
              <w:jc w:val="right"/>
              <w:rPr>
                <w:rFonts w:ascii="Arial" w:eastAsia="Times New Roman" w:hAnsi="Arial" w:cs="Arial"/>
                <w:b/>
                <w:sz w:val="20"/>
                <w:szCs w:val="20"/>
                <w:lang w:eastAsia="ar-SA"/>
              </w:rPr>
            </w:pPr>
            <w:r w:rsidRPr="003268E9">
              <w:rPr>
                <w:rFonts w:ascii="Arial" w:eastAsia="Times New Roman" w:hAnsi="Arial" w:cs="Arial"/>
                <w:b/>
                <w:sz w:val="20"/>
                <w:szCs w:val="20"/>
                <w:lang w:eastAsia="ar-SA"/>
              </w:rPr>
              <w:t>Head Office</w:t>
            </w:r>
          </w:p>
        </w:tc>
        <w:tc>
          <w:tcPr>
            <w:tcW w:w="1620" w:type="dxa"/>
            <w:tcBorders>
              <w:top w:val="single" w:sz="4" w:space="0" w:color="auto"/>
              <w:bottom w:val="single" w:sz="4" w:space="0" w:color="auto"/>
            </w:tcBorders>
            <w:vAlign w:val="center"/>
          </w:tcPr>
          <w:p w:rsidR="00A33BB3" w:rsidRPr="003268E9" w:rsidRDefault="00A33BB3" w:rsidP="007B4A3E">
            <w:pPr>
              <w:suppressAutoHyphens/>
              <w:snapToGrid w:val="0"/>
              <w:spacing w:after="0" w:line="240" w:lineRule="auto"/>
              <w:ind w:left="-108" w:right="-18"/>
              <w:jc w:val="right"/>
              <w:rPr>
                <w:rFonts w:ascii="Arial" w:eastAsia="Times New Roman" w:hAnsi="Arial" w:cs="Arial"/>
                <w:b/>
                <w:sz w:val="20"/>
                <w:szCs w:val="20"/>
                <w:lang w:eastAsia="ar-SA"/>
              </w:rPr>
            </w:pPr>
            <w:r w:rsidRPr="003268E9">
              <w:rPr>
                <w:rFonts w:ascii="Arial" w:eastAsia="Times New Roman" w:hAnsi="Arial" w:cs="Arial"/>
                <w:b/>
                <w:sz w:val="20"/>
                <w:szCs w:val="20"/>
                <w:lang w:eastAsia="ar-SA"/>
              </w:rPr>
              <w:t>Branch Office</w:t>
            </w:r>
          </w:p>
        </w:tc>
        <w:tc>
          <w:tcPr>
            <w:tcW w:w="1800" w:type="dxa"/>
            <w:tcBorders>
              <w:top w:val="single" w:sz="4" w:space="0" w:color="auto"/>
              <w:bottom w:val="single" w:sz="4" w:space="0" w:color="auto"/>
            </w:tcBorders>
            <w:vAlign w:val="center"/>
            <w:hideMark/>
          </w:tcPr>
          <w:p w:rsidR="00A33BB3" w:rsidRPr="003268E9" w:rsidRDefault="00AB4C3D" w:rsidP="007B4A3E">
            <w:pPr>
              <w:suppressAutoHyphens/>
              <w:snapToGrid w:val="0"/>
              <w:spacing w:after="0" w:line="240" w:lineRule="auto"/>
              <w:ind w:right="-108"/>
              <w:jc w:val="right"/>
              <w:rPr>
                <w:rFonts w:ascii="Arial" w:eastAsia="Times New Roman" w:hAnsi="Arial" w:cs="Arial"/>
                <w:b/>
                <w:sz w:val="20"/>
                <w:szCs w:val="20"/>
                <w:lang w:eastAsia="ar-SA"/>
              </w:rPr>
            </w:pPr>
            <w:r>
              <w:rPr>
                <w:rFonts w:ascii="Arial" w:eastAsia="Times New Roman" w:hAnsi="Arial" w:cs="Arial"/>
                <w:b/>
                <w:sz w:val="20"/>
                <w:szCs w:val="20"/>
                <w:lang w:eastAsia="ar-SA"/>
              </w:rPr>
              <w:t>Total</w:t>
            </w:r>
          </w:p>
        </w:tc>
      </w:tr>
      <w:tr w:rsidR="00A33BB3" w:rsidRPr="004F79DB" w:rsidTr="007B4A3E">
        <w:trPr>
          <w:trHeight w:val="211"/>
        </w:trPr>
        <w:tc>
          <w:tcPr>
            <w:tcW w:w="3600" w:type="dxa"/>
            <w:tcBorders>
              <w:top w:val="single" w:sz="4" w:space="0" w:color="auto"/>
            </w:tcBorders>
            <w:vAlign w:val="bottom"/>
          </w:tcPr>
          <w:p w:rsidR="00A33BB3" w:rsidRPr="003268E9" w:rsidRDefault="00A33BB3" w:rsidP="007B4A3E">
            <w:pPr>
              <w:suppressAutoHyphens/>
              <w:snapToGrid w:val="0"/>
              <w:spacing w:after="0" w:line="240" w:lineRule="auto"/>
              <w:ind w:hanging="108"/>
              <w:rPr>
                <w:rFonts w:ascii="Arial" w:eastAsia="Times New Roman" w:hAnsi="Arial" w:cs="Arial"/>
                <w:bCs/>
                <w:sz w:val="20"/>
                <w:szCs w:val="20"/>
                <w:lang w:eastAsia="ar-SA"/>
              </w:rPr>
            </w:pPr>
            <w:r w:rsidRPr="003268E9">
              <w:rPr>
                <w:rFonts w:ascii="Arial" w:eastAsia="Times New Roman" w:hAnsi="Arial" w:cs="Arial"/>
                <w:bCs/>
                <w:sz w:val="20"/>
                <w:szCs w:val="20"/>
                <w:lang w:eastAsia="ar-SA"/>
              </w:rPr>
              <w:t>Permanent employees</w:t>
            </w:r>
          </w:p>
        </w:tc>
        <w:tc>
          <w:tcPr>
            <w:tcW w:w="1620" w:type="dxa"/>
            <w:tcBorders>
              <w:top w:val="single" w:sz="4" w:space="0" w:color="auto"/>
            </w:tcBorders>
            <w:vAlign w:val="bottom"/>
          </w:tcPr>
          <w:p w:rsidR="00A33BB3" w:rsidRPr="003268E9" w:rsidRDefault="00A33BB3" w:rsidP="007B4A3E">
            <w:pPr>
              <w:suppressAutoHyphens/>
              <w:snapToGrid w:val="0"/>
              <w:spacing w:after="0" w:line="240" w:lineRule="auto"/>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595</w:t>
            </w:r>
          </w:p>
        </w:tc>
        <w:tc>
          <w:tcPr>
            <w:tcW w:w="1620" w:type="dxa"/>
            <w:tcBorders>
              <w:top w:val="single" w:sz="4" w:space="0" w:color="auto"/>
            </w:tcBorders>
            <w:vAlign w:val="bottom"/>
          </w:tcPr>
          <w:p w:rsidR="00A33BB3" w:rsidRPr="003268E9" w:rsidRDefault="00A33BB3" w:rsidP="007B4A3E">
            <w:pPr>
              <w:suppressAutoHyphens/>
              <w:snapToGrid w:val="0"/>
              <w:spacing w:after="0" w:line="240" w:lineRule="auto"/>
              <w:ind w:right="-18"/>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444</w:t>
            </w:r>
          </w:p>
        </w:tc>
        <w:tc>
          <w:tcPr>
            <w:tcW w:w="1800" w:type="dxa"/>
            <w:tcBorders>
              <w:top w:val="single" w:sz="4" w:space="0" w:color="auto"/>
            </w:tcBorders>
            <w:vAlign w:val="bottom"/>
          </w:tcPr>
          <w:p w:rsidR="00A33BB3" w:rsidRPr="003268E9" w:rsidRDefault="00A33BB3" w:rsidP="007B4A3E">
            <w:pPr>
              <w:suppressAutoHyphens/>
              <w:snapToGrid w:val="0"/>
              <w:spacing w:after="0" w:line="240" w:lineRule="auto"/>
              <w:ind w:right="-108"/>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1,039</w:t>
            </w:r>
          </w:p>
        </w:tc>
      </w:tr>
      <w:tr w:rsidR="00A33BB3" w:rsidRPr="004F79DB" w:rsidTr="007B4A3E">
        <w:trPr>
          <w:trHeight w:val="227"/>
        </w:trPr>
        <w:tc>
          <w:tcPr>
            <w:tcW w:w="3600" w:type="dxa"/>
            <w:vAlign w:val="bottom"/>
          </w:tcPr>
          <w:p w:rsidR="00A33BB3" w:rsidRPr="003268E9" w:rsidRDefault="00A33BB3" w:rsidP="007B4A3E">
            <w:pPr>
              <w:suppressAutoHyphens/>
              <w:snapToGrid w:val="0"/>
              <w:spacing w:after="0" w:line="240" w:lineRule="auto"/>
              <w:ind w:hanging="108"/>
              <w:rPr>
                <w:rFonts w:ascii="Arial" w:eastAsia="Times New Roman" w:hAnsi="Arial" w:cs="Arial"/>
                <w:bCs/>
                <w:sz w:val="20"/>
                <w:szCs w:val="20"/>
                <w:lang w:eastAsia="ar-SA"/>
              </w:rPr>
            </w:pPr>
            <w:r w:rsidRPr="003268E9">
              <w:rPr>
                <w:rFonts w:ascii="Arial" w:eastAsia="Times New Roman" w:hAnsi="Arial" w:cs="Arial"/>
                <w:bCs/>
                <w:sz w:val="20"/>
                <w:szCs w:val="20"/>
                <w:lang w:eastAsia="ar-SA"/>
              </w:rPr>
              <w:t>Co-Terminus</w:t>
            </w:r>
          </w:p>
        </w:tc>
        <w:tc>
          <w:tcPr>
            <w:tcW w:w="1620" w:type="dxa"/>
            <w:vAlign w:val="bottom"/>
          </w:tcPr>
          <w:p w:rsidR="00A33BB3" w:rsidRPr="003268E9" w:rsidRDefault="00A33BB3" w:rsidP="007B4A3E">
            <w:pPr>
              <w:suppressAutoHyphens/>
              <w:snapToGrid w:val="0"/>
              <w:spacing w:after="0" w:line="240" w:lineRule="auto"/>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54</w:t>
            </w:r>
          </w:p>
        </w:tc>
        <w:tc>
          <w:tcPr>
            <w:tcW w:w="1620" w:type="dxa"/>
            <w:vAlign w:val="bottom"/>
          </w:tcPr>
          <w:p w:rsidR="00A33BB3" w:rsidRPr="003268E9" w:rsidRDefault="00A33BB3" w:rsidP="007B4A3E">
            <w:pPr>
              <w:suppressAutoHyphens/>
              <w:snapToGrid w:val="0"/>
              <w:spacing w:after="0" w:line="240" w:lineRule="auto"/>
              <w:ind w:right="-18"/>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4</w:t>
            </w:r>
          </w:p>
        </w:tc>
        <w:tc>
          <w:tcPr>
            <w:tcW w:w="1800" w:type="dxa"/>
            <w:vAlign w:val="bottom"/>
          </w:tcPr>
          <w:p w:rsidR="00A33BB3" w:rsidRPr="003268E9" w:rsidRDefault="00A33BB3" w:rsidP="007B4A3E">
            <w:pPr>
              <w:suppressAutoHyphens/>
              <w:snapToGrid w:val="0"/>
              <w:spacing w:after="0" w:line="240" w:lineRule="auto"/>
              <w:ind w:right="-108"/>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58</w:t>
            </w:r>
          </w:p>
        </w:tc>
      </w:tr>
      <w:tr w:rsidR="00A33BB3" w:rsidRPr="004F79DB" w:rsidTr="007B4A3E">
        <w:trPr>
          <w:trHeight w:val="227"/>
        </w:trPr>
        <w:tc>
          <w:tcPr>
            <w:tcW w:w="3600" w:type="dxa"/>
            <w:vAlign w:val="bottom"/>
          </w:tcPr>
          <w:p w:rsidR="00A33BB3" w:rsidRPr="003268E9" w:rsidRDefault="00A33BB3" w:rsidP="007B4A3E">
            <w:pPr>
              <w:suppressAutoHyphens/>
              <w:snapToGrid w:val="0"/>
              <w:spacing w:after="0" w:line="240" w:lineRule="auto"/>
              <w:ind w:hanging="108"/>
              <w:rPr>
                <w:rFonts w:ascii="Arial" w:eastAsia="Times New Roman" w:hAnsi="Arial" w:cs="Arial"/>
                <w:bCs/>
                <w:sz w:val="20"/>
                <w:szCs w:val="20"/>
                <w:lang w:eastAsia="ar-SA"/>
              </w:rPr>
            </w:pPr>
            <w:r w:rsidRPr="003268E9">
              <w:rPr>
                <w:rFonts w:ascii="Arial" w:eastAsia="Times New Roman" w:hAnsi="Arial" w:cs="Arial"/>
                <w:bCs/>
                <w:sz w:val="20"/>
                <w:szCs w:val="20"/>
                <w:lang w:eastAsia="ar-SA"/>
              </w:rPr>
              <w:t>Confidential Agents</w:t>
            </w:r>
          </w:p>
        </w:tc>
        <w:tc>
          <w:tcPr>
            <w:tcW w:w="1620" w:type="dxa"/>
            <w:vAlign w:val="bottom"/>
          </w:tcPr>
          <w:p w:rsidR="00A33BB3" w:rsidRPr="003268E9" w:rsidRDefault="00A33BB3" w:rsidP="007B4A3E">
            <w:pPr>
              <w:suppressAutoHyphens/>
              <w:snapToGrid w:val="0"/>
              <w:spacing w:after="0" w:line="240" w:lineRule="auto"/>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264</w:t>
            </w:r>
          </w:p>
        </w:tc>
        <w:tc>
          <w:tcPr>
            <w:tcW w:w="1620" w:type="dxa"/>
            <w:vAlign w:val="bottom"/>
          </w:tcPr>
          <w:p w:rsidR="00A33BB3" w:rsidRPr="003268E9" w:rsidRDefault="00A33BB3" w:rsidP="007B4A3E">
            <w:pPr>
              <w:suppressAutoHyphens/>
              <w:snapToGrid w:val="0"/>
              <w:spacing w:after="0" w:line="240" w:lineRule="auto"/>
              <w:ind w:right="-18"/>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241</w:t>
            </w:r>
          </w:p>
        </w:tc>
        <w:tc>
          <w:tcPr>
            <w:tcW w:w="1800" w:type="dxa"/>
            <w:vAlign w:val="bottom"/>
          </w:tcPr>
          <w:p w:rsidR="00A33BB3" w:rsidRPr="003268E9" w:rsidRDefault="00A33BB3" w:rsidP="007B4A3E">
            <w:pPr>
              <w:suppressAutoHyphens/>
              <w:snapToGrid w:val="0"/>
              <w:spacing w:after="0" w:line="240" w:lineRule="auto"/>
              <w:ind w:right="-108"/>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505</w:t>
            </w:r>
          </w:p>
        </w:tc>
      </w:tr>
      <w:tr w:rsidR="00A33BB3" w:rsidRPr="004F79DB" w:rsidTr="007B4A3E">
        <w:trPr>
          <w:trHeight w:val="227"/>
        </w:trPr>
        <w:tc>
          <w:tcPr>
            <w:tcW w:w="3600" w:type="dxa"/>
            <w:vAlign w:val="bottom"/>
          </w:tcPr>
          <w:p w:rsidR="00A33BB3" w:rsidRPr="003268E9" w:rsidRDefault="00A33BB3" w:rsidP="007B4A3E">
            <w:pPr>
              <w:suppressAutoHyphens/>
              <w:snapToGrid w:val="0"/>
              <w:spacing w:after="0" w:line="240" w:lineRule="auto"/>
              <w:ind w:hanging="108"/>
              <w:rPr>
                <w:rFonts w:ascii="Arial" w:eastAsia="Times New Roman" w:hAnsi="Arial" w:cs="Arial"/>
                <w:bCs/>
                <w:sz w:val="20"/>
                <w:szCs w:val="20"/>
                <w:lang w:eastAsia="ar-SA"/>
              </w:rPr>
            </w:pPr>
            <w:r w:rsidRPr="003268E9">
              <w:rPr>
                <w:rFonts w:ascii="Arial" w:eastAsia="Times New Roman" w:hAnsi="Arial" w:cs="Arial"/>
                <w:bCs/>
                <w:sz w:val="20"/>
                <w:szCs w:val="20"/>
                <w:lang w:eastAsia="ar-SA"/>
              </w:rPr>
              <w:t>Consultants</w:t>
            </w:r>
          </w:p>
        </w:tc>
        <w:tc>
          <w:tcPr>
            <w:tcW w:w="1620" w:type="dxa"/>
            <w:vAlign w:val="bottom"/>
          </w:tcPr>
          <w:p w:rsidR="00A33BB3" w:rsidRPr="003268E9" w:rsidRDefault="00A33BB3" w:rsidP="007B4A3E">
            <w:pPr>
              <w:suppressAutoHyphens/>
              <w:snapToGrid w:val="0"/>
              <w:spacing w:after="0" w:line="240" w:lineRule="auto"/>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75</w:t>
            </w:r>
          </w:p>
        </w:tc>
        <w:tc>
          <w:tcPr>
            <w:tcW w:w="1620" w:type="dxa"/>
            <w:vAlign w:val="bottom"/>
          </w:tcPr>
          <w:p w:rsidR="00A33BB3" w:rsidRPr="003268E9" w:rsidRDefault="007B4A3E" w:rsidP="007B4A3E">
            <w:pPr>
              <w:suppressAutoHyphens/>
              <w:snapToGrid w:val="0"/>
              <w:spacing w:after="0" w:line="240" w:lineRule="auto"/>
              <w:ind w:right="-18"/>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w:t>
            </w:r>
          </w:p>
        </w:tc>
        <w:tc>
          <w:tcPr>
            <w:tcW w:w="1800" w:type="dxa"/>
            <w:vAlign w:val="bottom"/>
          </w:tcPr>
          <w:p w:rsidR="00A33BB3" w:rsidRPr="003268E9" w:rsidRDefault="00A33BB3" w:rsidP="007B4A3E">
            <w:pPr>
              <w:suppressAutoHyphens/>
              <w:snapToGrid w:val="0"/>
              <w:spacing w:after="0" w:line="240" w:lineRule="auto"/>
              <w:ind w:right="-108"/>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75</w:t>
            </w:r>
          </w:p>
        </w:tc>
      </w:tr>
      <w:tr w:rsidR="00A33BB3" w:rsidRPr="004F79DB" w:rsidTr="007B4A3E">
        <w:trPr>
          <w:trHeight w:val="211"/>
        </w:trPr>
        <w:tc>
          <w:tcPr>
            <w:tcW w:w="3600" w:type="dxa"/>
            <w:tcBorders>
              <w:bottom w:val="single" w:sz="4" w:space="0" w:color="auto"/>
            </w:tcBorders>
            <w:vAlign w:val="bottom"/>
          </w:tcPr>
          <w:p w:rsidR="00A33BB3" w:rsidRPr="003268E9" w:rsidRDefault="00A33BB3" w:rsidP="007B4A3E">
            <w:pPr>
              <w:suppressAutoHyphens/>
              <w:snapToGrid w:val="0"/>
              <w:spacing w:after="0" w:line="240" w:lineRule="auto"/>
              <w:ind w:hanging="108"/>
              <w:rPr>
                <w:rFonts w:ascii="Arial" w:eastAsia="Times New Roman" w:hAnsi="Arial" w:cs="Arial"/>
                <w:bCs/>
                <w:sz w:val="20"/>
                <w:szCs w:val="20"/>
                <w:lang w:eastAsia="ar-SA"/>
              </w:rPr>
            </w:pPr>
            <w:r w:rsidRPr="003268E9">
              <w:rPr>
                <w:rFonts w:ascii="Arial" w:eastAsia="Times New Roman" w:hAnsi="Arial" w:cs="Arial"/>
                <w:bCs/>
                <w:sz w:val="20"/>
                <w:szCs w:val="20"/>
                <w:lang w:eastAsia="ar-SA"/>
              </w:rPr>
              <w:t>Job Order</w:t>
            </w:r>
          </w:p>
        </w:tc>
        <w:tc>
          <w:tcPr>
            <w:tcW w:w="1620" w:type="dxa"/>
            <w:tcBorders>
              <w:bottom w:val="single" w:sz="4" w:space="0" w:color="auto"/>
            </w:tcBorders>
            <w:vAlign w:val="bottom"/>
          </w:tcPr>
          <w:p w:rsidR="00A33BB3" w:rsidRPr="003268E9" w:rsidRDefault="00A33BB3" w:rsidP="007B4A3E">
            <w:pPr>
              <w:suppressAutoHyphens/>
              <w:snapToGrid w:val="0"/>
              <w:spacing w:after="0" w:line="240" w:lineRule="auto"/>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48</w:t>
            </w:r>
          </w:p>
        </w:tc>
        <w:tc>
          <w:tcPr>
            <w:tcW w:w="1620" w:type="dxa"/>
            <w:tcBorders>
              <w:bottom w:val="single" w:sz="4" w:space="0" w:color="auto"/>
            </w:tcBorders>
            <w:vAlign w:val="bottom"/>
          </w:tcPr>
          <w:p w:rsidR="00A33BB3" w:rsidRPr="003268E9" w:rsidRDefault="00A33BB3" w:rsidP="007B4A3E">
            <w:pPr>
              <w:suppressAutoHyphens/>
              <w:snapToGrid w:val="0"/>
              <w:spacing w:after="0" w:line="240" w:lineRule="auto"/>
              <w:ind w:right="-18"/>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25</w:t>
            </w:r>
          </w:p>
        </w:tc>
        <w:tc>
          <w:tcPr>
            <w:tcW w:w="1800" w:type="dxa"/>
            <w:tcBorders>
              <w:bottom w:val="single" w:sz="4" w:space="0" w:color="auto"/>
            </w:tcBorders>
            <w:vAlign w:val="bottom"/>
          </w:tcPr>
          <w:p w:rsidR="00A33BB3" w:rsidRPr="003268E9" w:rsidRDefault="00A33BB3" w:rsidP="007B4A3E">
            <w:pPr>
              <w:suppressAutoHyphens/>
              <w:snapToGrid w:val="0"/>
              <w:spacing w:after="0" w:line="240" w:lineRule="auto"/>
              <w:ind w:right="-108"/>
              <w:jc w:val="right"/>
              <w:rPr>
                <w:rFonts w:ascii="Arial" w:eastAsia="Times New Roman" w:hAnsi="Arial" w:cs="Arial"/>
                <w:bCs/>
                <w:sz w:val="20"/>
                <w:szCs w:val="20"/>
                <w:lang w:eastAsia="ar-SA"/>
              </w:rPr>
            </w:pPr>
            <w:r w:rsidRPr="003268E9">
              <w:rPr>
                <w:rFonts w:ascii="Arial" w:eastAsia="Times New Roman" w:hAnsi="Arial" w:cs="Arial"/>
                <w:bCs/>
                <w:sz w:val="20"/>
                <w:szCs w:val="20"/>
                <w:lang w:eastAsia="ar-SA"/>
              </w:rPr>
              <w:t>73</w:t>
            </w:r>
          </w:p>
        </w:tc>
      </w:tr>
      <w:tr w:rsidR="00A33BB3" w:rsidRPr="004F79DB" w:rsidTr="007B4A3E">
        <w:trPr>
          <w:trHeight w:val="227"/>
        </w:trPr>
        <w:tc>
          <w:tcPr>
            <w:tcW w:w="3600" w:type="dxa"/>
            <w:tcBorders>
              <w:top w:val="single" w:sz="4" w:space="0" w:color="auto"/>
              <w:bottom w:val="double" w:sz="4" w:space="0" w:color="auto"/>
            </w:tcBorders>
            <w:vAlign w:val="bottom"/>
            <w:hideMark/>
          </w:tcPr>
          <w:p w:rsidR="00A33BB3" w:rsidRPr="003268E9" w:rsidRDefault="00A33BB3" w:rsidP="007B4A3E">
            <w:pPr>
              <w:spacing w:after="0" w:line="240" w:lineRule="auto"/>
              <w:ind w:hanging="108"/>
              <w:rPr>
                <w:rFonts w:ascii="Arial" w:hAnsi="Arial" w:cs="Arial"/>
                <w:b/>
                <w:sz w:val="20"/>
                <w:szCs w:val="20"/>
              </w:rPr>
            </w:pPr>
          </w:p>
        </w:tc>
        <w:tc>
          <w:tcPr>
            <w:tcW w:w="1620" w:type="dxa"/>
            <w:tcBorders>
              <w:top w:val="single" w:sz="4" w:space="0" w:color="auto"/>
              <w:bottom w:val="double" w:sz="4" w:space="0" w:color="auto"/>
            </w:tcBorders>
            <w:vAlign w:val="bottom"/>
          </w:tcPr>
          <w:p w:rsidR="00A33BB3" w:rsidRPr="003268E9" w:rsidRDefault="006727F8" w:rsidP="007B4A3E">
            <w:pPr>
              <w:spacing w:after="0" w:line="240" w:lineRule="auto"/>
              <w:jc w:val="right"/>
              <w:rPr>
                <w:rFonts w:ascii="Arial" w:hAnsi="Arial" w:cs="Arial"/>
                <w:b/>
                <w:sz w:val="20"/>
                <w:szCs w:val="20"/>
              </w:rPr>
            </w:pPr>
            <w:r w:rsidRPr="003268E9">
              <w:rPr>
                <w:rFonts w:ascii="Arial" w:hAnsi="Arial" w:cs="Arial"/>
                <w:b/>
                <w:sz w:val="20"/>
                <w:szCs w:val="20"/>
              </w:rPr>
              <w:fldChar w:fldCharType="begin"/>
            </w:r>
            <w:r w:rsidR="00A33BB3" w:rsidRPr="003268E9">
              <w:rPr>
                <w:rFonts w:ascii="Arial" w:hAnsi="Arial" w:cs="Arial"/>
                <w:b/>
                <w:sz w:val="20"/>
                <w:szCs w:val="20"/>
              </w:rPr>
              <w:instrText xml:space="preserve"> =SUM(ABOVE) </w:instrText>
            </w:r>
            <w:r w:rsidRPr="003268E9">
              <w:rPr>
                <w:rFonts w:ascii="Arial" w:hAnsi="Arial" w:cs="Arial"/>
                <w:b/>
                <w:sz w:val="20"/>
                <w:szCs w:val="20"/>
              </w:rPr>
              <w:fldChar w:fldCharType="separate"/>
            </w:r>
            <w:r w:rsidR="00A33BB3" w:rsidRPr="003268E9">
              <w:rPr>
                <w:rFonts w:ascii="Arial" w:hAnsi="Arial" w:cs="Arial"/>
                <w:b/>
                <w:noProof/>
                <w:sz w:val="20"/>
                <w:szCs w:val="20"/>
              </w:rPr>
              <w:t>1,036</w:t>
            </w:r>
            <w:r w:rsidRPr="003268E9">
              <w:rPr>
                <w:rFonts w:ascii="Arial" w:hAnsi="Arial" w:cs="Arial"/>
                <w:b/>
                <w:sz w:val="20"/>
                <w:szCs w:val="20"/>
              </w:rPr>
              <w:fldChar w:fldCharType="end"/>
            </w:r>
          </w:p>
        </w:tc>
        <w:tc>
          <w:tcPr>
            <w:tcW w:w="1620" w:type="dxa"/>
            <w:tcBorders>
              <w:top w:val="single" w:sz="4" w:space="0" w:color="auto"/>
              <w:bottom w:val="double" w:sz="4" w:space="0" w:color="auto"/>
            </w:tcBorders>
            <w:vAlign w:val="bottom"/>
          </w:tcPr>
          <w:p w:rsidR="00A33BB3" w:rsidRPr="003268E9" w:rsidRDefault="006727F8" w:rsidP="007B4A3E">
            <w:pPr>
              <w:spacing w:after="0" w:line="240" w:lineRule="auto"/>
              <w:ind w:right="-18"/>
              <w:jc w:val="right"/>
              <w:rPr>
                <w:rFonts w:ascii="Arial" w:hAnsi="Arial" w:cs="Arial"/>
                <w:b/>
                <w:sz w:val="20"/>
                <w:szCs w:val="20"/>
              </w:rPr>
            </w:pPr>
            <w:r w:rsidRPr="003268E9">
              <w:rPr>
                <w:rFonts w:ascii="Arial" w:hAnsi="Arial" w:cs="Arial"/>
                <w:b/>
                <w:sz w:val="20"/>
                <w:szCs w:val="20"/>
              </w:rPr>
              <w:fldChar w:fldCharType="begin"/>
            </w:r>
            <w:r w:rsidR="00A33BB3" w:rsidRPr="003268E9">
              <w:rPr>
                <w:rFonts w:ascii="Arial" w:hAnsi="Arial" w:cs="Arial"/>
                <w:b/>
                <w:sz w:val="20"/>
                <w:szCs w:val="20"/>
              </w:rPr>
              <w:instrText xml:space="preserve"> =SUM(ABOVE) </w:instrText>
            </w:r>
            <w:r w:rsidRPr="003268E9">
              <w:rPr>
                <w:rFonts w:ascii="Arial" w:hAnsi="Arial" w:cs="Arial"/>
                <w:b/>
                <w:sz w:val="20"/>
                <w:szCs w:val="20"/>
              </w:rPr>
              <w:fldChar w:fldCharType="separate"/>
            </w:r>
            <w:r w:rsidR="00A33BB3" w:rsidRPr="003268E9">
              <w:rPr>
                <w:rFonts w:ascii="Arial" w:hAnsi="Arial" w:cs="Arial"/>
                <w:b/>
                <w:noProof/>
                <w:sz w:val="20"/>
                <w:szCs w:val="20"/>
              </w:rPr>
              <w:t>714</w:t>
            </w:r>
            <w:r w:rsidRPr="003268E9">
              <w:rPr>
                <w:rFonts w:ascii="Arial" w:hAnsi="Arial" w:cs="Arial"/>
                <w:b/>
                <w:sz w:val="20"/>
                <w:szCs w:val="20"/>
              </w:rPr>
              <w:fldChar w:fldCharType="end"/>
            </w:r>
          </w:p>
        </w:tc>
        <w:tc>
          <w:tcPr>
            <w:tcW w:w="1800" w:type="dxa"/>
            <w:tcBorders>
              <w:top w:val="single" w:sz="4" w:space="0" w:color="auto"/>
              <w:bottom w:val="double" w:sz="4" w:space="0" w:color="auto"/>
            </w:tcBorders>
            <w:vAlign w:val="bottom"/>
          </w:tcPr>
          <w:p w:rsidR="00A33BB3" w:rsidRPr="003268E9" w:rsidRDefault="006727F8" w:rsidP="007B4A3E">
            <w:pPr>
              <w:spacing w:after="0" w:line="240" w:lineRule="auto"/>
              <w:ind w:right="-108"/>
              <w:jc w:val="right"/>
              <w:rPr>
                <w:rFonts w:ascii="Arial" w:hAnsi="Arial" w:cs="Arial"/>
                <w:b/>
                <w:sz w:val="20"/>
                <w:szCs w:val="20"/>
              </w:rPr>
            </w:pPr>
            <w:r w:rsidRPr="003268E9">
              <w:rPr>
                <w:rFonts w:ascii="Arial" w:hAnsi="Arial" w:cs="Arial"/>
                <w:b/>
                <w:sz w:val="20"/>
                <w:szCs w:val="20"/>
              </w:rPr>
              <w:fldChar w:fldCharType="begin"/>
            </w:r>
            <w:r w:rsidR="00A33BB3" w:rsidRPr="003268E9">
              <w:rPr>
                <w:rFonts w:ascii="Arial" w:hAnsi="Arial" w:cs="Arial"/>
                <w:b/>
                <w:sz w:val="20"/>
                <w:szCs w:val="20"/>
              </w:rPr>
              <w:instrText xml:space="preserve"> =SUM(ABOVE) </w:instrText>
            </w:r>
            <w:r w:rsidRPr="003268E9">
              <w:rPr>
                <w:rFonts w:ascii="Arial" w:hAnsi="Arial" w:cs="Arial"/>
                <w:b/>
                <w:sz w:val="20"/>
                <w:szCs w:val="20"/>
              </w:rPr>
              <w:fldChar w:fldCharType="separate"/>
            </w:r>
            <w:r w:rsidR="00A33BB3" w:rsidRPr="003268E9">
              <w:rPr>
                <w:rFonts w:ascii="Arial" w:hAnsi="Arial" w:cs="Arial"/>
                <w:b/>
                <w:noProof/>
                <w:sz w:val="20"/>
                <w:szCs w:val="20"/>
              </w:rPr>
              <w:t>1,750</w:t>
            </w:r>
            <w:r w:rsidRPr="003268E9">
              <w:rPr>
                <w:rFonts w:ascii="Arial" w:hAnsi="Arial" w:cs="Arial"/>
                <w:b/>
                <w:sz w:val="20"/>
                <w:szCs w:val="20"/>
              </w:rPr>
              <w:fldChar w:fldCharType="end"/>
            </w:r>
          </w:p>
        </w:tc>
      </w:tr>
    </w:tbl>
    <w:p w:rsidR="00A33BB3" w:rsidRPr="004F79DB" w:rsidRDefault="00A33BB3" w:rsidP="00A33BB3">
      <w:pPr>
        <w:spacing w:after="0" w:line="240" w:lineRule="auto"/>
        <w:jc w:val="both"/>
        <w:rPr>
          <w:rFonts w:ascii="Arial" w:hAnsi="Arial" w:cs="Arial"/>
        </w:rPr>
      </w:pPr>
    </w:p>
    <w:p w:rsidR="00A33BB3" w:rsidRPr="004F79DB" w:rsidRDefault="00A33BB3" w:rsidP="00A33BB3">
      <w:pPr>
        <w:spacing w:after="0" w:line="240" w:lineRule="auto"/>
        <w:jc w:val="both"/>
        <w:rPr>
          <w:rFonts w:ascii="Arial" w:hAnsi="Arial" w:cs="Arial"/>
        </w:rPr>
      </w:pPr>
      <w:r w:rsidRPr="004F79DB">
        <w:rPr>
          <w:rFonts w:ascii="Arial" w:hAnsi="Arial" w:cs="Arial"/>
        </w:rPr>
        <w:lastRenderedPageBreak/>
        <w:t>The PCSO Main Office is located at the Sun Plaza Building and Conservatory Shaw Plaz</w:t>
      </w:r>
      <w:r w:rsidR="0005182B" w:rsidRPr="004F79DB">
        <w:rPr>
          <w:rFonts w:ascii="Arial" w:hAnsi="Arial" w:cs="Arial"/>
        </w:rPr>
        <w:t xml:space="preserve">a Building in Mandaluyong City.  </w:t>
      </w:r>
      <w:r w:rsidRPr="004F79DB">
        <w:rPr>
          <w:rFonts w:ascii="Arial" w:hAnsi="Arial" w:cs="Arial"/>
        </w:rPr>
        <w:t>It has five branch operations/departments, namely: National Capital Region (NCR), Northern and Central Luzon (NCL), Southern Tagalog and Bicol Regio</w:t>
      </w:r>
      <w:r w:rsidR="0005182B" w:rsidRPr="004F79DB">
        <w:rPr>
          <w:rFonts w:ascii="Arial" w:hAnsi="Arial" w:cs="Arial"/>
        </w:rPr>
        <w:t>n (STBR),</w:t>
      </w:r>
      <w:r w:rsidR="007B4A3E">
        <w:rPr>
          <w:rFonts w:ascii="Arial" w:hAnsi="Arial" w:cs="Arial"/>
        </w:rPr>
        <w:t xml:space="preserve"> </w:t>
      </w:r>
      <w:r w:rsidR="0005182B" w:rsidRPr="004F79DB">
        <w:rPr>
          <w:rFonts w:ascii="Arial" w:hAnsi="Arial" w:cs="Arial"/>
        </w:rPr>
        <w:t>Visayas and Mindanao.  PCSO has sixty seven</w:t>
      </w:r>
      <w:r w:rsidRPr="004F79DB">
        <w:rPr>
          <w:rFonts w:ascii="Arial" w:hAnsi="Arial" w:cs="Arial"/>
        </w:rPr>
        <w:t xml:space="preserve"> (67) </w:t>
      </w:r>
      <w:r w:rsidR="0005182B" w:rsidRPr="004F79DB">
        <w:rPr>
          <w:rFonts w:ascii="Arial" w:hAnsi="Arial" w:cs="Arial"/>
        </w:rPr>
        <w:t>branches as of December 31, 2018</w:t>
      </w:r>
      <w:r w:rsidRPr="004F79DB">
        <w:rPr>
          <w:rFonts w:ascii="Arial" w:hAnsi="Arial" w:cs="Arial"/>
        </w:rPr>
        <w:t>.</w:t>
      </w:r>
    </w:p>
    <w:p w:rsidR="00A33BB3" w:rsidRPr="004F79DB" w:rsidRDefault="00A33BB3" w:rsidP="00A33BB3">
      <w:pPr>
        <w:spacing w:after="0" w:line="240" w:lineRule="auto"/>
        <w:jc w:val="both"/>
        <w:rPr>
          <w:rFonts w:ascii="Arial" w:hAnsi="Arial" w:cs="Arial"/>
        </w:rPr>
      </w:pPr>
    </w:p>
    <w:p w:rsidR="00A33BB3" w:rsidRPr="004F79DB" w:rsidRDefault="00A33BB3" w:rsidP="00A33BB3">
      <w:pPr>
        <w:spacing w:after="0" w:line="240" w:lineRule="auto"/>
        <w:jc w:val="both"/>
        <w:rPr>
          <w:rFonts w:ascii="Arial" w:hAnsi="Arial" w:cs="Arial"/>
        </w:rPr>
      </w:pPr>
      <w:r w:rsidRPr="004F79DB">
        <w:rPr>
          <w:rFonts w:ascii="Arial" w:hAnsi="Arial" w:cs="Arial"/>
        </w:rPr>
        <w:t>The main sources of funds of the PCSO are the Sweepstakes and the Lottery games. Various game types have been introduced and other game innovations are constantly being conceptualized.</w:t>
      </w:r>
    </w:p>
    <w:p w:rsidR="00A33BB3" w:rsidRPr="004F79DB" w:rsidRDefault="00A33BB3" w:rsidP="00A33BB3">
      <w:pPr>
        <w:pStyle w:val="ListParagraph"/>
        <w:ind w:left="0"/>
        <w:jc w:val="both"/>
        <w:rPr>
          <w:rFonts w:ascii="Arial" w:hAnsi="Arial" w:cs="Arial"/>
          <w:sz w:val="22"/>
          <w:szCs w:val="22"/>
        </w:rPr>
      </w:pPr>
    </w:p>
    <w:p w:rsidR="005E6433" w:rsidRPr="004F79DB" w:rsidRDefault="005E6433" w:rsidP="00955A66">
      <w:pPr>
        <w:spacing w:after="0" w:line="240" w:lineRule="auto"/>
        <w:jc w:val="both"/>
        <w:rPr>
          <w:rFonts w:ascii="Arial" w:hAnsi="Arial" w:cs="Arial"/>
          <w:b/>
        </w:rPr>
      </w:pPr>
    </w:p>
    <w:p w:rsidR="00D7617B" w:rsidRPr="004F79DB" w:rsidRDefault="009F5D8E" w:rsidP="00955A66">
      <w:pPr>
        <w:spacing w:after="0" w:line="240" w:lineRule="auto"/>
        <w:jc w:val="both"/>
        <w:rPr>
          <w:rFonts w:ascii="Arial" w:hAnsi="Arial" w:cs="Arial"/>
          <w:b/>
        </w:rPr>
      </w:pPr>
      <w:r w:rsidRPr="004F79DB">
        <w:rPr>
          <w:rFonts w:ascii="Arial" w:hAnsi="Arial" w:cs="Arial"/>
          <w:b/>
        </w:rPr>
        <w:t>FINANCIAL HIGHLIGHTS</w:t>
      </w:r>
      <w:r w:rsidR="00DB61BD" w:rsidRPr="004F79DB">
        <w:rPr>
          <w:rFonts w:ascii="Arial" w:hAnsi="Arial" w:cs="Arial"/>
          <w:b/>
        </w:rPr>
        <w:t xml:space="preserve"> (In Philippine Peso)</w:t>
      </w:r>
    </w:p>
    <w:p w:rsidR="001F30DC" w:rsidRPr="004F79DB" w:rsidRDefault="001F30DC" w:rsidP="00955A66">
      <w:pPr>
        <w:spacing w:after="0" w:line="240" w:lineRule="auto"/>
        <w:jc w:val="both"/>
        <w:rPr>
          <w:rFonts w:ascii="Arial" w:hAnsi="Arial" w:cs="Arial"/>
          <w:b/>
        </w:rPr>
      </w:pPr>
    </w:p>
    <w:p w:rsidR="009F5D8E" w:rsidRPr="004F79DB" w:rsidRDefault="009F5D8E" w:rsidP="009F5D8E">
      <w:pPr>
        <w:pStyle w:val="ListParagraph"/>
        <w:numPr>
          <w:ilvl w:val="0"/>
          <w:numId w:val="27"/>
        </w:numPr>
        <w:ind w:left="720"/>
        <w:jc w:val="both"/>
        <w:rPr>
          <w:rFonts w:ascii="Arial" w:hAnsi="Arial" w:cs="Arial"/>
          <w:b/>
          <w:sz w:val="22"/>
          <w:szCs w:val="22"/>
        </w:rPr>
      </w:pPr>
      <w:r w:rsidRPr="004F79DB">
        <w:rPr>
          <w:rFonts w:ascii="Arial" w:hAnsi="Arial" w:cs="Arial"/>
          <w:b/>
          <w:sz w:val="22"/>
          <w:szCs w:val="22"/>
        </w:rPr>
        <w:t>Financial Position</w:t>
      </w:r>
    </w:p>
    <w:p w:rsidR="009F5D8E" w:rsidRPr="00F02111" w:rsidRDefault="009F5D8E" w:rsidP="009F5D8E">
      <w:pPr>
        <w:pStyle w:val="ListParagraph"/>
        <w:jc w:val="both"/>
        <w:rPr>
          <w:rFonts w:ascii="Arial" w:hAnsi="Arial" w:cs="Arial"/>
          <w:b/>
          <w:sz w:val="20"/>
          <w:szCs w:val="20"/>
        </w:rPr>
      </w:pPr>
    </w:p>
    <w:tbl>
      <w:tblPr>
        <w:tblW w:w="8604" w:type="dxa"/>
        <w:tblInd w:w="93" w:type="dxa"/>
        <w:tblLook w:val="04A0" w:firstRow="1" w:lastRow="0" w:firstColumn="1" w:lastColumn="0" w:noHBand="0" w:noVBand="1"/>
      </w:tblPr>
      <w:tblGrid>
        <w:gridCol w:w="3777"/>
        <w:gridCol w:w="1731"/>
        <w:gridCol w:w="1541"/>
        <w:gridCol w:w="1555"/>
      </w:tblGrid>
      <w:tr w:rsidR="009F5D8E" w:rsidRPr="00F02111" w:rsidTr="003268E9">
        <w:trPr>
          <w:trHeight w:val="469"/>
        </w:trPr>
        <w:tc>
          <w:tcPr>
            <w:tcW w:w="3777" w:type="dxa"/>
            <w:tcBorders>
              <w:top w:val="single" w:sz="4" w:space="0" w:color="auto"/>
              <w:left w:val="nil"/>
              <w:bottom w:val="single" w:sz="4" w:space="0" w:color="auto"/>
              <w:right w:val="nil"/>
            </w:tcBorders>
            <w:shd w:val="clear" w:color="auto" w:fill="auto"/>
            <w:vAlign w:val="center"/>
            <w:hideMark/>
          </w:tcPr>
          <w:p w:rsidR="009F5D8E" w:rsidRPr="003268E9" w:rsidRDefault="009F5D8E" w:rsidP="009F5D8E">
            <w:pPr>
              <w:spacing w:after="0" w:line="240" w:lineRule="auto"/>
              <w:rPr>
                <w:rFonts w:ascii="Arial Narrow" w:eastAsia="Times New Roman" w:hAnsi="Arial Narrow"/>
                <w:color w:val="000000"/>
                <w:sz w:val="20"/>
                <w:szCs w:val="20"/>
                <w:lang w:val="en-US"/>
              </w:rPr>
            </w:pPr>
          </w:p>
        </w:tc>
        <w:tc>
          <w:tcPr>
            <w:tcW w:w="1731" w:type="dxa"/>
            <w:tcBorders>
              <w:top w:val="single" w:sz="4" w:space="0" w:color="auto"/>
              <w:left w:val="nil"/>
              <w:bottom w:val="single" w:sz="4" w:space="0" w:color="auto"/>
              <w:right w:val="nil"/>
            </w:tcBorders>
            <w:shd w:val="clear" w:color="auto" w:fill="auto"/>
            <w:vAlign w:val="bottom"/>
            <w:hideMark/>
          </w:tcPr>
          <w:p w:rsidR="009F5D8E" w:rsidRPr="003268E9" w:rsidRDefault="009F5D8E" w:rsidP="003268E9">
            <w:pPr>
              <w:spacing w:after="0" w:line="240" w:lineRule="auto"/>
              <w:jc w:val="right"/>
              <w:rPr>
                <w:rFonts w:ascii="Arial Narrow" w:eastAsia="Times New Roman" w:hAnsi="Arial Narrow" w:cs="Arial"/>
                <w:b/>
                <w:bCs/>
                <w:color w:val="000000"/>
                <w:sz w:val="20"/>
                <w:szCs w:val="20"/>
                <w:lang w:val="en-US"/>
              </w:rPr>
            </w:pPr>
            <w:r w:rsidRPr="003268E9">
              <w:rPr>
                <w:rFonts w:ascii="Arial Narrow" w:eastAsia="Times New Roman" w:hAnsi="Arial Narrow" w:cs="Arial"/>
                <w:b/>
                <w:bCs/>
                <w:color w:val="000000"/>
                <w:sz w:val="20"/>
                <w:szCs w:val="20"/>
                <w:lang w:val="en-US"/>
              </w:rPr>
              <w:t>2018</w:t>
            </w:r>
          </w:p>
        </w:tc>
        <w:tc>
          <w:tcPr>
            <w:tcW w:w="1541" w:type="dxa"/>
            <w:tcBorders>
              <w:top w:val="single" w:sz="4" w:space="0" w:color="auto"/>
              <w:left w:val="nil"/>
              <w:bottom w:val="single" w:sz="4" w:space="0" w:color="auto"/>
              <w:right w:val="nil"/>
            </w:tcBorders>
            <w:shd w:val="clear" w:color="auto" w:fill="auto"/>
            <w:vAlign w:val="bottom"/>
            <w:hideMark/>
          </w:tcPr>
          <w:p w:rsidR="009F5D8E" w:rsidRPr="00753902" w:rsidRDefault="009F5D8E" w:rsidP="003268E9">
            <w:pPr>
              <w:spacing w:after="0" w:line="240" w:lineRule="auto"/>
              <w:jc w:val="right"/>
              <w:rPr>
                <w:rFonts w:ascii="Arial Narrow" w:eastAsia="Times New Roman" w:hAnsi="Arial Narrow" w:cs="Arial"/>
                <w:b/>
                <w:bCs/>
                <w:sz w:val="20"/>
                <w:szCs w:val="20"/>
                <w:lang w:val="en-US"/>
              </w:rPr>
            </w:pPr>
            <w:r w:rsidRPr="00753902">
              <w:rPr>
                <w:rFonts w:ascii="Arial Narrow" w:eastAsia="Times New Roman" w:hAnsi="Arial Narrow" w:cs="Arial"/>
                <w:b/>
                <w:bCs/>
                <w:sz w:val="20"/>
                <w:szCs w:val="20"/>
                <w:lang w:val="en-US"/>
              </w:rPr>
              <w:t>2017</w:t>
            </w:r>
          </w:p>
          <w:p w:rsidR="00461AC5" w:rsidRPr="00753902" w:rsidRDefault="00461AC5" w:rsidP="003268E9">
            <w:pPr>
              <w:spacing w:after="0" w:line="240" w:lineRule="auto"/>
              <w:jc w:val="right"/>
              <w:rPr>
                <w:rFonts w:ascii="Arial Narrow" w:eastAsia="Times New Roman" w:hAnsi="Arial Narrow" w:cs="Arial"/>
                <w:b/>
                <w:bCs/>
                <w:sz w:val="20"/>
                <w:szCs w:val="20"/>
                <w:lang w:val="en-US"/>
              </w:rPr>
            </w:pPr>
            <w:r w:rsidRPr="00753902">
              <w:rPr>
                <w:rFonts w:ascii="Arial Narrow" w:eastAsia="Times New Roman" w:hAnsi="Arial Narrow" w:cs="Arial"/>
                <w:b/>
                <w:bCs/>
                <w:sz w:val="20"/>
                <w:szCs w:val="20"/>
                <w:lang w:val="en-US"/>
              </w:rPr>
              <w:t>As Restated</w:t>
            </w:r>
          </w:p>
        </w:tc>
        <w:tc>
          <w:tcPr>
            <w:tcW w:w="1555" w:type="dxa"/>
            <w:tcBorders>
              <w:top w:val="single" w:sz="4" w:space="0" w:color="auto"/>
              <w:left w:val="nil"/>
              <w:bottom w:val="single" w:sz="4" w:space="0" w:color="auto"/>
              <w:right w:val="nil"/>
            </w:tcBorders>
            <w:shd w:val="clear" w:color="auto" w:fill="auto"/>
            <w:vAlign w:val="center"/>
            <w:hideMark/>
          </w:tcPr>
          <w:p w:rsidR="009F5D8E" w:rsidRPr="003268E9" w:rsidRDefault="00666757" w:rsidP="00AB4C3D">
            <w:pPr>
              <w:spacing w:after="0" w:line="240" w:lineRule="auto"/>
              <w:ind w:right="-108"/>
              <w:jc w:val="right"/>
              <w:rPr>
                <w:rFonts w:ascii="Arial Narrow" w:eastAsia="Times New Roman" w:hAnsi="Arial Narrow" w:cs="Arial"/>
                <w:b/>
                <w:bCs/>
                <w:color w:val="000000"/>
                <w:sz w:val="20"/>
                <w:szCs w:val="20"/>
                <w:lang w:val="en-US"/>
              </w:rPr>
            </w:pPr>
            <w:r w:rsidRPr="003268E9">
              <w:rPr>
                <w:rFonts w:ascii="Arial Narrow" w:eastAsia="Times New Roman" w:hAnsi="Arial Narrow" w:cs="Arial"/>
                <w:b/>
                <w:bCs/>
                <w:color w:val="000000"/>
                <w:sz w:val="20"/>
                <w:szCs w:val="20"/>
                <w:lang w:val="en-US"/>
              </w:rPr>
              <w:t>Increase/ (D</w:t>
            </w:r>
            <w:r w:rsidR="009F5D8E" w:rsidRPr="003268E9">
              <w:rPr>
                <w:rFonts w:ascii="Arial Narrow" w:eastAsia="Times New Roman" w:hAnsi="Arial Narrow" w:cs="Arial"/>
                <w:b/>
                <w:bCs/>
                <w:color w:val="000000"/>
                <w:sz w:val="20"/>
                <w:szCs w:val="20"/>
                <w:lang w:val="en-US"/>
              </w:rPr>
              <w:t>ecrease)</w:t>
            </w:r>
          </w:p>
        </w:tc>
      </w:tr>
      <w:tr w:rsidR="009F5D8E" w:rsidRPr="00F02111" w:rsidTr="007B4A3E">
        <w:trPr>
          <w:trHeight w:val="246"/>
        </w:trPr>
        <w:tc>
          <w:tcPr>
            <w:tcW w:w="3777" w:type="dxa"/>
            <w:tcBorders>
              <w:top w:val="nil"/>
              <w:left w:val="nil"/>
              <w:right w:val="nil"/>
            </w:tcBorders>
            <w:shd w:val="clear" w:color="auto" w:fill="auto"/>
            <w:noWrap/>
            <w:vAlign w:val="center"/>
            <w:hideMark/>
          </w:tcPr>
          <w:p w:rsidR="009F5D8E" w:rsidRPr="003268E9" w:rsidRDefault="009F5D8E" w:rsidP="004E5226">
            <w:pPr>
              <w:spacing w:after="0" w:line="240" w:lineRule="auto"/>
              <w:ind w:hanging="93"/>
              <w:rPr>
                <w:rFonts w:ascii="Arial Narrow" w:eastAsia="Times New Roman" w:hAnsi="Arial Narrow" w:cs="Arial"/>
                <w:color w:val="000000"/>
                <w:sz w:val="20"/>
                <w:szCs w:val="20"/>
                <w:lang w:val="en-US"/>
              </w:rPr>
            </w:pPr>
            <w:r w:rsidRPr="003268E9">
              <w:rPr>
                <w:rFonts w:ascii="Arial Narrow" w:eastAsia="Times New Roman" w:hAnsi="Arial Narrow" w:cs="Arial"/>
                <w:color w:val="000000"/>
                <w:sz w:val="20"/>
                <w:szCs w:val="20"/>
                <w:lang w:val="en-US"/>
              </w:rPr>
              <w:t>Assets</w:t>
            </w:r>
          </w:p>
        </w:tc>
        <w:tc>
          <w:tcPr>
            <w:tcW w:w="1731" w:type="dxa"/>
            <w:tcBorders>
              <w:top w:val="nil"/>
              <w:left w:val="nil"/>
              <w:right w:val="nil"/>
            </w:tcBorders>
            <w:shd w:val="clear" w:color="auto" w:fill="auto"/>
            <w:vAlign w:val="center"/>
            <w:hideMark/>
          </w:tcPr>
          <w:p w:rsidR="009F5D8E" w:rsidRPr="003268E9" w:rsidRDefault="007B4A3E" w:rsidP="009F5D8E">
            <w:pPr>
              <w:spacing w:after="0" w:line="240" w:lineRule="auto"/>
              <w:jc w:val="right"/>
              <w:rPr>
                <w:rFonts w:ascii="Arial Narrow" w:eastAsia="Times New Roman" w:hAnsi="Arial Narrow" w:cs="Arial"/>
                <w:color w:val="000000"/>
                <w:sz w:val="20"/>
                <w:szCs w:val="20"/>
                <w:lang w:val="en-US"/>
              </w:rPr>
            </w:pPr>
            <w:r w:rsidRPr="003268E9">
              <w:rPr>
                <w:rFonts w:ascii="Arial Narrow" w:eastAsia="Times New Roman" w:hAnsi="Arial Narrow" w:cs="Arial"/>
                <w:color w:val="000000"/>
                <w:sz w:val="20"/>
                <w:szCs w:val="20"/>
                <w:lang w:val="en-US"/>
              </w:rPr>
              <w:t>22,936,407,955</w:t>
            </w:r>
          </w:p>
        </w:tc>
        <w:tc>
          <w:tcPr>
            <w:tcW w:w="1541" w:type="dxa"/>
            <w:tcBorders>
              <w:top w:val="nil"/>
              <w:left w:val="nil"/>
              <w:right w:val="nil"/>
            </w:tcBorders>
            <w:shd w:val="clear" w:color="auto" w:fill="auto"/>
            <w:vAlign w:val="center"/>
          </w:tcPr>
          <w:p w:rsidR="009F5D8E" w:rsidRPr="00753902" w:rsidRDefault="00753902" w:rsidP="009F5D8E">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22,523,277,800</w:t>
            </w:r>
          </w:p>
        </w:tc>
        <w:tc>
          <w:tcPr>
            <w:tcW w:w="1555" w:type="dxa"/>
            <w:tcBorders>
              <w:top w:val="nil"/>
              <w:left w:val="nil"/>
              <w:right w:val="nil"/>
            </w:tcBorders>
            <w:shd w:val="clear" w:color="auto" w:fill="auto"/>
            <w:vAlign w:val="center"/>
          </w:tcPr>
          <w:p w:rsidR="009F5D8E" w:rsidRPr="003268E9" w:rsidRDefault="00753902" w:rsidP="00753902">
            <w:pPr>
              <w:spacing w:after="0" w:line="240" w:lineRule="auto"/>
              <w:ind w:right="-69"/>
              <w:jc w:val="right"/>
              <w:rPr>
                <w:rFonts w:ascii="Arial Narrow" w:eastAsia="Times New Roman" w:hAnsi="Arial Narrow" w:cs="Arial"/>
                <w:color w:val="000000"/>
                <w:sz w:val="20"/>
                <w:szCs w:val="20"/>
                <w:lang w:val="en-US"/>
              </w:rPr>
            </w:pPr>
            <w:r>
              <w:rPr>
                <w:rFonts w:ascii="Arial Narrow" w:eastAsia="Times New Roman" w:hAnsi="Arial Narrow" w:cs="Arial"/>
                <w:color w:val="000000"/>
                <w:sz w:val="20"/>
                <w:szCs w:val="20"/>
                <w:lang w:val="en-US"/>
              </w:rPr>
              <w:t>413,130,155</w:t>
            </w:r>
          </w:p>
        </w:tc>
      </w:tr>
      <w:tr w:rsidR="009F5D8E" w:rsidRPr="00F02111" w:rsidTr="00AB4C3D">
        <w:trPr>
          <w:trHeight w:val="256"/>
        </w:trPr>
        <w:tc>
          <w:tcPr>
            <w:tcW w:w="3777" w:type="dxa"/>
            <w:tcBorders>
              <w:top w:val="nil"/>
              <w:left w:val="nil"/>
              <w:bottom w:val="single" w:sz="4" w:space="0" w:color="auto"/>
              <w:right w:val="nil"/>
            </w:tcBorders>
            <w:shd w:val="clear" w:color="auto" w:fill="auto"/>
            <w:noWrap/>
            <w:vAlign w:val="center"/>
            <w:hideMark/>
          </w:tcPr>
          <w:p w:rsidR="009F5D8E" w:rsidRPr="003268E9" w:rsidRDefault="009F5D8E" w:rsidP="004E5226">
            <w:pPr>
              <w:spacing w:after="0" w:line="240" w:lineRule="auto"/>
              <w:ind w:hanging="93"/>
              <w:rPr>
                <w:rFonts w:ascii="Arial Narrow" w:eastAsia="Times New Roman" w:hAnsi="Arial Narrow" w:cs="Arial"/>
                <w:color w:val="000000"/>
                <w:sz w:val="20"/>
                <w:szCs w:val="20"/>
                <w:lang w:val="en-US"/>
              </w:rPr>
            </w:pPr>
            <w:r w:rsidRPr="003268E9">
              <w:rPr>
                <w:rFonts w:ascii="Arial Narrow" w:eastAsia="Times New Roman" w:hAnsi="Arial Narrow" w:cs="Arial"/>
                <w:color w:val="000000"/>
                <w:sz w:val="20"/>
                <w:szCs w:val="20"/>
                <w:lang w:val="en-US"/>
              </w:rPr>
              <w:t>Liabilities</w:t>
            </w:r>
          </w:p>
        </w:tc>
        <w:tc>
          <w:tcPr>
            <w:tcW w:w="1731" w:type="dxa"/>
            <w:tcBorders>
              <w:top w:val="nil"/>
              <w:left w:val="nil"/>
              <w:bottom w:val="single" w:sz="4" w:space="0" w:color="auto"/>
              <w:right w:val="nil"/>
            </w:tcBorders>
            <w:shd w:val="clear" w:color="auto" w:fill="auto"/>
            <w:vAlign w:val="center"/>
          </w:tcPr>
          <w:p w:rsidR="009F5D8E" w:rsidRPr="003268E9" w:rsidRDefault="007B4A3E" w:rsidP="009F5D8E">
            <w:pPr>
              <w:spacing w:after="0" w:line="240" w:lineRule="auto"/>
              <w:jc w:val="right"/>
              <w:rPr>
                <w:rFonts w:ascii="Arial Narrow" w:eastAsia="Times New Roman" w:hAnsi="Arial Narrow" w:cs="Arial"/>
                <w:color w:val="000000"/>
                <w:sz w:val="20"/>
                <w:szCs w:val="20"/>
                <w:lang w:val="en-US"/>
              </w:rPr>
            </w:pPr>
            <w:r w:rsidRPr="003268E9">
              <w:rPr>
                <w:rFonts w:ascii="Arial Narrow" w:eastAsia="Times New Roman" w:hAnsi="Arial Narrow" w:cs="Arial"/>
                <w:color w:val="000000"/>
                <w:sz w:val="20"/>
                <w:szCs w:val="20"/>
                <w:lang w:val="en-US"/>
              </w:rPr>
              <w:t>14,703,168,205</w:t>
            </w:r>
          </w:p>
        </w:tc>
        <w:tc>
          <w:tcPr>
            <w:tcW w:w="1541" w:type="dxa"/>
            <w:tcBorders>
              <w:top w:val="nil"/>
              <w:left w:val="nil"/>
              <w:bottom w:val="single" w:sz="4" w:space="0" w:color="auto"/>
              <w:right w:val="nil"/>
            </w:tcBorders>
            <w:shd w:val="clear" w:color="auto" w:fill="auto"/>
            <w:vAlign w:val="center"/>
          </w:tcPr>
          <w:p w:rsidR="009F5D8E" w:rsidRPr="00753902" w:rsidRDefault="00753902" w:rsidP="009F5D8E">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12,447,552,355</w:t>
            </w:r>
          </w:p>
        </w:tc>
        <w:tc>
          <w:tcPr>
            <w:tcW w:w="1555" w:type="dxa"/>
            <w:tcBorders>
              <w:top w:val="nil"/>
              <w:left w:val="nil"/>
              <w:bottom w:val="single" w:sz="4" w:space="0" w:color="auto"/>
              <w:right w:val="nil"/>
            </w:tcBorders>
            <w:shd w:val="clear" w:color="auto" w:fill="auto"/>
            <w:vAlign w:val="center"/>
          </w:tcPr>
          <w:p w:rsidR="009F5D8E" w:rsidRPr="003268E9" w:rsidRDefault="00753902" w:rsidP="00AB4C3D">
            <w:pPr>
              <w:spacing w:after="0" w:line="240" w:lineRule="auto"/>
              <w:ind w:right="-69"/>
              <w:jc w:val="right"/>
              <w:rPr>
                <w:rFonts w:ascii="Arial Narrow" w:eastAsia="Times New Roman" w:hAnsi="Arial Narrow" w:cs="Arial"/>
                <w:color w:val="000000"/>
                <w:sz w:val="20"/>
                <w:szCs w:val="20"/>
                <w:lang w:val="en-US"/>
              </w:rPr>
            </w:pPr>
            <w:r>
              <w:rPr>
                <w:rFonts w:ascii="Arial Narrow" w:eastAsia="Times New Roman" w:hAnsi="Arial Narrow" w:cs="Arial"/>
                <w:color w:val="000000"/>
                <w:sz w:val="20"/>
                <w:szCs w:val="20"/>
                <w:lang w:val="en-US"/>
              </w:rPr>
              <w:t>2,255,615,850</w:t>
            </w:r>
          </w:p>
        </w:tc>
      </w:tr>
      <w:tr w:rsidR="009F5D8E" w:rsidRPr="009F5D8E" w:rsidTr="00AB4C3D">
        <w:trPr>
          <w:trHeight w:val="179"/>
        </w:trPr>
        <w:tc>
          <w:tcPr>
            <w:tcW w:w="3777" w:type="dxa"/>
            <w:tcBorders>
              <w:top w:val="single" w:sz="4" w:space="0" w:color="auto"/>
              <w:left w:val="nil"/>
              <w:bottom w:val="double" w:sz="4" w:space="0" w:color="auto"/>
              <w:right w:val="nil"/>
            </w:tcBorders>
            <w:shd w:val="clear" w:color="auto" w:fill="auto"/>
            <w:noWrap/>
            <w:vAlign w:val="center"/>
            <w:hideMark/>
          </w:tcPr>
          <w:p w:rsidR="009F5D8E" w:rsidRPr="00AB4C3D" w:rsidRDefault="009F5D8E" w:rsidP="004E5226">
            <w:pPr>
              <w:spacing w:after="0" w:line="240" w:lineRule="auto"/>
              <w:ind w:hanging="93"/>
              <w:rPr>
                <w:rFonts w:ascii="Arial Narrow" w:eastAsia="Times New Roman" w:hAnsi="Arial Narrow" w:cs="Arial"/>
                <w:b/>
                <w:color w:val="000000"/>
                <w:sz w:val="20"/>
                <w:szCs w:val="20"/>
                <w:lang w:val="en-US"/>
              </w:rPr>
            </w:pPr>
            <w:r w:rsidRPr="00AB4C3D">
              <w:rPr>
                <w:rFonts w:ascii="Arial Narrow" w:eastAsia="Times New Roman" w:hAnsi="Arial Narrow" w:cs="Arial"/>
                <w:b/>
                <w:color w:val="000000"/>
                <w:sz w:val="20"/>
                <w:szCs w:val="20"/>
                <w:lang w:val="en-US"/>
              </w:rPr>
              <w:t>Equity</w:t>
            </w:r>
          </w:p>
        </w:tc>
        <w:tc>
          <w:tcPr>
            <w:tcW w:w="1731" w:type="dxa"/>
            <w:tcBorders>
              <w:top w:val="single" w:sz="4" w:space="0" w:color="auto"/>
              <w:left w:val="nil"/>
              <w:bottom w:val="double" w:sz="4" w:space="0" w:color="auto"/>
              <w:right w:val="nil"/>
            </w:tcBorders>
            <w:shd w:val="clear" w:color="auto" w:fill="auto"/>
            <w:vAlign w:val="center"/>
          </w:tcPr>
          <w:p w:rsidR="009F5D8E" w:rsidRPr="00AB4C3D" w:rsidRDefault="007B4A3E" w:rsidP="009F5D8E">
            <w:pPr>
              <w:spacing w:after="0" w:line="240" w:lineRule="auto"/>
              <w:jc w:val="right"/>
              <w:rPr>
                <w:rFonts w:ascii="Arial Narrow" w:eastAsia="Times New Roman" w:hAnsi="Arial Narrow" w:cs="Arial"/>
                <w:b/>
                <w:color w:val="000000"/>
                <w:sz w:val="20"/>
                <w:szCs w:val="20"/>
                <w:lang w:val="en-US"/>
              </w:rPr>
            </w:pPr>
            <w:r w:rsidRPr="00AB4C3D">
              <w:rPr>
                <w:rFonts w:ascii="Arial Narrow" w:eastAsia="Times New Roman" w:hAnsi="Arial Narrow" w:cs="Arial"/>
                <w:b/>
                <w:color w:val="000000"/>
                <w:sz w:val="20"/>
                <w:szCs w:val="20"/>
                <w:lang w:val="en-US"/>
              </w:rPr>
              <w:t>8,233,239,750</w:t>
            </w:r>
          </w:p>
        </w:tc>
        <w:tc>
          <w:tcPr>
            <w:tcW w:w="1541" w:type="dxa"/>
            <w:tcBorders>
              <w:top w:val="single" w:sz="4" w:space="0" w:color="auto"/>
              <w:left w:val="nil"/>
              <w:bottom w:val="double" w:sz="4" w:space="0" w:color="auto"/>
              <w:right w:val="nil"/>
            </w:tcBorders>
            <w:shd w:val="clear" w:color="auto" w:fill="auto"/>
            <w:vAlign w:val="center"/>
          </w:tcPr>
          <w:p w:rsidR="009F5D8E" w:rsidRPr="00753902" w:rsidRDefault="00753902" w:rsidP="009F5D8E">
            <w:pPr>
              <w:spacing w:after="0" w:line="240" w:lineRule="auto"/>
              <w:jc w:val="right"/>
              <w:rPr>
                <w:rFonts w:ascii="Arial Narrow" w:eastAsia="Times New Roman" w:hAnsi="Arial Narrow" w:cs="Arial"/>
                <w:b/>
                <w:sz w:val="20"/>
                <w:szCs w:val="20"/>
                <w:lang w:val="en-US"/>
              </w:rPr>
            </w:pPr>
            <w:r>
              <w:rPr>
                <w:rFonts w:ascii="Arial Narrow" w:eastAsia="Times New Roman" w:hAnsi="Arial Narrow" w:cs="Arial"/>
                <w:b/>
                <w:sz w:val="20"/>
                <w:szCs w:val="20"/>
                <w:lang w:val="en-US"/>
              </w:rPr>
              <w:t>10,075,725,445</w:t>
            </w:r>
          </w:p>
        </w:tc>
        <w:tc>
          <w:tcPr>
            <w:tcW w:w="1555" w:type="dxa"/>
            <w:tcBorders>
              <w:top w:val="single" w:sz="4" w:space="0" w:color="auto"/>
              <w:left w:val="nil"/>
              <w:bottom w:val="double" w:sz="4" w:space="0" w:color="auto"/>
              <w:right w:val="nil"/>
            </w:tcBorders>
            <w:shd w:val="clear" w:color="auto" w:fill="auto"/>
            <w:vAlign w:val="center"/>
          </w:tcPr>
          <w:p w:rsidR="009F5D8E" w:rsidRPr="00AB4C3D" w:rsidRDefault="00753902" w:rsidP="00AB4C3D">
            <w:pPr>
              <w:spacing w:after="0" w:line="240" w:lineRule="auto"/>
              <w:ind w:right="-69"/>
              <w:jc w:val="right"/>
              <w:rPr>
                <w:rFonts w:ascii="Arial Narrow" w:eastAsia="Times New Roman" w:hAnsi="Arial Narrow" w:cs="Arial"/>
                <w:b/>
                <w:color w:val="000000"/>
                <w:sz w:val="20"/>
                <w:szCs w:val="20"/>
                <w:lang w:val="en-US"/>
              </w:rPr>
            </w:pPr>
            <w:r>
              <w:rPr>
                <w:rFonts w:ascii="Arial Narrow" w:eastAsia="Times New Roman" w:hAnsi="Arial Narrow" w:cs="Arial"/>
                <w:b/>
                <w:color w:val="000000"/>
                <w:sz w:val="20"/>
                <w:szCs w:val="20"/>
                <w:lang w:val="en-US"/>
              </w:rPr>
              <w:t>(1,842,485,695)</w:t>
            </w:r>
          </w:p>
        </w:tc>
      </w:tr>
    </w:tbl>
    <w:p w:rsidR="00931C6F" w:rsidRPr="00F02111" w:rsidRDefault="00931C6F" w:rsidP="009F5D8E">
      <w:pPr>
        <w:pStyle w:val="ListParagraph"/>
        <w:jc w:val="both"/>
        <w:rPr>
          <w:rFonts w:ascii="Arial" w:hAnsi="Arial" w:cs="Arial"/>
          <w:b/>
          <w:sz w:val="20"/>
          <w:szCs w:val="20"/>
        </w:rPr>
      </w:pPr>
    </w:p>
    <w:p w:rsidR="00491F60" w:rsidRPr="00F02111" w:rsidRDefault="003268E9" w:rsidP="00491F60">
      <w:pPr>
        <w:pStyle w:val="ListParagraph"/>
        <w:numPr>
          <w:ilvl w:val="0"/>
          <w:numId w:val="27"/>
        </w:numPr>
        <w:ind w:left="720"/>
        <w:jc w:val="both"/>
        <w:rPr>
          <w:rFonts w:ascii="Arial" w:hAnsi="Arial" w:cs="Arial"/>
          <w:b/>
          <w:sz w:val="20"/>
          <w:szCs w:val="20"/>
        </w:rPr>
      </w:pPr>
      <w:r>
        <w:rPr>
          <w:rFonts w:ascii="Arial" w:hAnsi="Arial" w:cs="Arial"/>
          <w:b/>
          <w:sz w:val="20"/>
          <w:szCs w:val="20"/>
        </w:rPr>
        <w:t>Comprehensive Income</w:t>
      </w:r>
    </w:p>
    <w:p w:rsidR="00A33BB3" w:rsidRPr="00F02111" w:rsidRDefault="00A33BB3" w:rsidP="00A33BB3">
      <w:pPr>
        <w:spacing w:after="0" w:line="240" w:lineRule="auto"/>
        <w:jc w:val="both"/>
        <w:rPr>
          <w:rFonts w:ascii="Arial" w:hAnsi="Arial" w:cs="Arial"/>
          <w:b/>
          <w:sz w:val="20"/>
          <w:szCs w:val="20"/>
        </w:rPr>
      </w:pPr>
    </w:p>
    <w:tbl>
      <w:tblPr>
        <w:tblW w:w="8714" w:type="dxa"/>
        <w:tblInd w:w="93" w:type="dxa"/>
        <w:tblLook w:val="04A0" w:firstRow="1" w:lastRow="0" w:firstColumn="1" w:lastColumn="0" w:noHBand="0" w:noVBand="1"/>
      </w:tblPr>
      <w:tblGrid>
        <w:gridCol w:w="4016"/>
        <w:gridCol w:w="1566"/>
        <w:gridCol w:w="1566"/>
        <w:gridCol w:w="1566"/>
      </w:tblGrid>
      <w:tr w:rsidR="00A33BB3" w:rsidRPr="00F02111" w:rsidTr="003268E9">
        <w:trPr>
          <w:trHeight w:val="481"/>
        </w:trPr>
        <w:tc>
          <w:tcPr>
            <w:tcW w:w="4016" w:type="dxa"/>
            <w:tcBorders>
              <w:top w:val="single" w:sz="4" w:space="0" w:color="auto"/>
              <w:left w:val="nil"/>
              <w:bottom w:val="single" w:sz="4" w:space="0" w:color="auto"/>
              <w:right w:val="nil"/>
            </w:tcBorders>
            <w:shd w:val="clear" w:color="auto" w:fill="auto"/>
            <w:vAlign w:val="bottom"/>
            <w:hideMark/>
          </w:tcPr>
          <w:p w:rsidR="00A33BB3" w:rsidRPr="003268E9" w:rsidRDefault="00A33BB3" w:rsidP="003268E9">
            <w:pPr>
              <w:spacing w:after="0" w:line="240" w:lineRule="auto"/>
              <w:jc w:val="right"/>
              <w:rPr>
                <w:rFonts w:ascii="Arial Narrow" w:eastAsia="Times New Roman" w:hAnsi="Arial Narrow" w:cs="Arial"/>
                <w:color w:val="000000"/>
                <w:sz w:val="20"/>
                <w:szCs w:val="20"/>
                <w:lang w:val="en-US"/>
              </w:rPr>
            </w:pPr>
          </w:p>
        </w:tc>
        <w:tc>
          <w:tcPr>
            <w:tcW w:w="1566" w:type="dxa"/>
            <w:tcBorders>
              <w:top w:val="single" w:sz="4" w:space="0" w:color="auto"/>
              <w:left w:val="nil"/>
              <w:bottom w:val="single" w:sz="4" w:space="0" w:color="auto"/>
              <w:right w:val="nil"/>
            </w:tcBorders>
            <w:shd w:val="clear" w:color="auto" w:fill="auto"/>
            <w:vAlign w:val="bottom"/>
            <w:hideMark/>
          </w:tcPr>
          <w:p w:rsidR="00A33BB3" w:rsidRPr="003268E9" w:rsidRDefault="00A33BB3" w:rsidP="003268E9">
            <w:pPr>
              <w:spacing w:after="0" w:line="240" w:lineRule="auto"/>
              <w:jc w:val="right"/>
              <w:rPr>
                <w:rFonts w:ascii="Arial Narrow" w:eastAsia="Times New Roman" w:hAnsi="Arial Narrow" w:cs="Arial"/>
                <w:b/>
                <w:bCs/>
                <w:color w:val="000000"/>
                <w:sz w:val="20"/>
                <w:szCs w:val="20"/>
                <w:lang w:val="en-US"/>
              </w:rPr>
            </w:pPr>
            <w:r w:rsidRPr="003268E9">
              <w:rPr>
                <w:rFonts w:ascii="Arial Narrow" w:eastAsia="Times New Roman" w:hAnsi="Arial Narrow" w:cs="Arial"/>
                <w:b/>
                <w:bCs/>
                <w:color w:val="000000"/>
                <w:sz w:val="20"/>
                <w:szCs w:val="20"/>
                <w:lang w:val="en-US"/>
              </w:rPr>
              <w:t>2018</w:t>
            </w:r>
          </w:p>
        </w:tc>
        <w:tc>
          <w:tcPr>
            <w:tcW w:w="1566" w:type="dxa"/>
            <w:tcBorders>
              <w:top w:val="single" w:sz="4" w:space="0" w:color="auto"/>
              <w:left w:val="nil"/>
              <w:bottom w:val="single" w:sz="4" w:space="0" w:color="auto"/>
              <w:right w:val="nil"/>
            </w:tcBorders>
            <w:shd w:val="clear" w:color="auto" w:fill="auto"/>
            <w:vAlign w:val="bottom"/>
            <w:hideMark/>
          </w:tcPr>
          <w:p w:rsidR="00A33BB3" w:rsidRPr="00753902" w:rsidRDefault="00A33BB3" w:rsidP="003268E9">
            <w:pPr>
              <w:spacing w:after="0" w:line="240" w:lineRule="auto"/>
              <w:jc w:val="right"/>
              <w:rPr>
                <w:rFonts w:ascii="Arial Narrow" w:eastAsia="Times New Roman" w:hAnsi="Arial Narrow" w:cs="Arial"/>
                <w:b/>
                <w:bCs/>
                <w:sz w:val="20"/>
                <w:szCs w:val="20"/>
                <w:lang w:val="en-US"/>
              </w:rPr>
            </w:pPr>
            <w:r w:rsidRPr="00753902">
              <w:rPr>
                <w:rFonts w:ascii="Arial Narrow" w:eastAsia="Times New Roman" w:hAnsi="Arial Narrow" w:cs="Arial"/>
                <w:b/>
                <w:bCs/>
                <w:sz w:val="20"/>
                <w:szCs w:val="20"/>
                <w:lang w:val="en-US"/>
              </w:rPr>
              <w:t>2017</w:t>
            </w:r>
          </w:p>
          <w:p w:rsidR="00461AC5" w:rsidRPr="00753902" w:rsidRDefault="00461AC5" w:rsidP="003268E9">
            <w:pPr>
              <w:spacing w:after="0" w:line="240" w:lineRule="auto"/>
              <w:jc w:val="right"/>
              <w:rPr>
                <w:rFonts w:ascii="Arial Narrow" w:eastAsia="Times New Roman" w:hAnsi="Arial Narrow" w:cs="Arial"/>
                <w:b/>
                <w:bCs/>
                <w:sz w:val="20"/>
                <w:szCs w:val="20"/>
                <w:lang w:val="en-US"/>
              </w:rPr>
            </w:pPr>
            <w:r w:rsidRPr="00753902">
              <w:rPr>
                <w:rFonts w:ascii="Arial Narrow" w:eastAsia="Times New Roman" w:hAnsi="Arial Narrow" w:cs="Arial"/>
                <w:b/>
                <w:bCs/>
                <w:sz w:val="20"/>
                <w:szCs w:val="20"/>
                <w:lang w:val="en-US"/>
              </w:rPr>
              <w:t>As Restated</w:t>
            </w:r>
          </w:p>
        </w:tc>
        <w:tc>
          <w:tcPr>
            <w:tcW w:w="1566" w:type="dxa"/>
            <w:tcBorders>
              <w:top w:val="single" w:sz="4" w:space="0" w:color="auto"/>
              <w:left w:val="nil"/>
              <w:bottom w:val="single" w:sz="4" w:space="0" w:color="auto"/>
              <w:right w:val="nil"/>
            </w:tcBorders>
            <w:shd w:val="clear" w:color="auto" w:fill="auto"/>
            <w:vAlign w:val="center"/>
            <w:hideMark/>
          </w:tcPr>
          <w:p w:rsidR="00A33BB3" w:rsidRPr="003268E9" w:rsidRDefault="00A33BB3" w:rsidP="00AB4C3D">
            <w:pPr>
              <w:spacing w:after="0" w:line="240" w:lineRule="auto"/>
              <w:ind w:right="-108"/>
              <w:jc w:val="right"/>
              <w:rPr>
                <w:rFonts w:ascii="Arial Narrow" w:eastAsia="Times New Roman" w:hAnsi="Arial Narrow" w:cs="Arial"/>
                <w:b/>
                <w:bCs/>
                <w:color w:val="000000"/>
                <w:sz w:val="20"/>
                <w:szCs w:val="20"/>
                <w:lang w:val="en-US"/>
              </w:rPr>
            </w:pPr>
            <w:r w:rsidRPr="003268E9">
              <w:rPr>
                <w:rFonts w:ascii="Arial Narrow" w:eastAsia="Times New Roman" w:hAnsi="Arial Narrow" w:cs="Arial"/>
                <w:b/>
                <w:bCs/>
                <w:color w:val="000000"/>
                <w:sz w:val="20"/>
                <w:szCs w:val="20"/>
                <w:lang w:val="en-US"/>
              </w:rPr>
              <w:t>Increase/ (Decrease)</w:t>
            </w:r>
          </w:p>
        </w:tc>
      </w:tr>
      <w:tr w:rsidR="00A33BB3" w:rsidRPr="00F02111" w:rsidTr="004D0C94">
        <w:trPr>
          <w:trHeight w:val="188"/>
        </w:trPr>
        <w:tc>
          <w:tcPr>
            <w:tcW w:w="4016" w:type="dxa"/>
            <w:tcBorders>
              <w:top w:val="nil"/>
              <w:left w:val="nil"/>
              <w:right w:val="nil"/>
            </w:tcBorders>
            <w:shd w:val="clear" w:color="auto" w:fill="auto"/>
            <w:noWrap/>
            <w:hideMark/>
          </w:tcPr>
          <w:p w:rsidR="00A33BB3" w:rsidRPr="003268E9" w:rsidRDefault="00A33BB3" w:rsidP="003268E9">
            <w:pPr>
              <w:suppressAutoHyphens/>
              <w:snapToGrid w:val="0"/>
              <w:spacing w:after="0" w:line="240" w:lineRule="auto"/>
              <w:ind w:hanging="93"/>
              <w:rPr>
                <w:rFonts w:ascii="Arial Narrow" w:eastAsia="Times New Roman" w:hAnsi="Arial Narrow" w:cs="Arial"/>
                <w:bCs/>
                <w:sz w:val="20"/>
                <w:szCs w:val="20"/>
                <w:lang w:eastAsia="ar-SA"/>
              </w:rPr>
            </w:pPr>
            <w:r w:rsidRPr="003268E9">
              <w:rPr>
                <w:rFonts w:ascii="Arial Narrow" w:eastAsia="Times New Roman" w:hAnsi="Arial Narrow" w:cs="Arial"/>
                <w:bCs/>
                <w:sz w:val="20"/>
                <w:szCs w:val="20"/>
                <w:lang w:eastAsia="ar-SA"/>
              </w:rPr>
              <w:t>Total Income</w:t>
            </w:r>
          </w:p>
        </w:tc>
        <w:tc>
          <w:tcPr>
            <w:tcW w:w="1566" w:type="dxa"/>
            <w:tcBorders>
              <w:top w:val="nil"/>
              <w:left w:val="nil"/>
              <w:right w:val="nil"/>
            </w:tcBorders>
            <w:shd w:val="clear" w:color="auto" w:fill="auto"/>
            <w:vAlign w:val="center"/>
            <w:hideMark/>
          </w:tcPr>
          <w:p w:rsidR="00A33BB3" w:rsidRPr="003268E9" w:rsidRDefault="00853026" w:rsidP="00A33BB3">
            <w:pPr>
              <w:spacing w:after="0" w:line="240" w:lineRule="auto"/>
              <w:jc w:val="right"/>
              <w:rPr>
                <w:rFonts w:ascii="Arial Narrow" w:hAnsi="Arial Narrow" w:cs="Arial"/>
                <w:sz w:val="20"/>
                <w:szCs w:val="20"/>
                <w:lang w:eastAsia="en-PH"/>
              </w:rPr>
            </w:pPr>
            <w:r w:rsidRPr="003268E9">
              <w:rPr>
                <w:rFonts w:ascii="Arial Narrow" w:hAnsi="Arial Narrow" w:cs="Arial"/>
                <w:sz w:val="20"/>
                <w:szCs w:val="20"/>
                <w:lang w:eastAsia="en-PH"/>
              </w:rPr>
              <w:t>63,097,326,870</w:t>
            </w:r>
          </w:p>
        </w:tc>
        <w:tc>
          <w:tcPr>
            <w:tcW w:w="1566" w:type="dxa"/>
            <w:tcBorders>
              <w:top w:val="nil"/>
              <w:left w:val="nil"/>
              <w:right w:val="nil"/>
            </w:tcBorders>
            <w:shd w:val="clear" w:color="auto" w:fill="auto"/>
            <w:vAlign w:val="center"/>
          </w:tcPr>
          <w:p w:rsidR="00A33BB3" w:rsidRPr="00753902" w:rsidRDefault="00A33BB3" w:rsidP="00A33BB3">
            <w:pPr>
              <w:spacing w:after="0" w:line="240" w:lineRule="auto"/>
              <w:jc w:val="right"/>
              <w:rPr>
                <w:rFonts w:ascii="Arial Narrow" w:hAnsi="Arial Narrow" w:cs="Arial"/>
                <w:sz w:val="20"/>
                <w:szCs w:val="20"/>
              </w:rPr>
            </w:pPr>
            <w:r w:rsidRPr="00753902">
              <w:rPr>
                <w:rFonts w:ascii="Arial Narrow" w:hAnsi="Arial Narrow" w:cs="Arial"/>
                <w:sz w:val="20"/>
                <w:szCs w:val="20"/>
              </w:rPr>
              <w:t>53,987,626</w:t>
            </w:r>
            <w:r w:rsidR="00853026" w:rsidRPr="00753902">
              <w:rPr>
                <w:rFonts w:ascii="Arial Narrow" w:hAnsi="Arial Narrow" w:cs="Arial"/>
                <w:sz w:val="20"/>
                <w:szCs w:val="20"/>
              </w:rPr>
              <w:t>,669</w:t>
            </w:r>
          </w:p>
        </w:tc>
        <w:tc>
          <w:tcPr>
            <w:tcW w:w="1566" w:type="dxa"/>
            <w:tcBorders>
              <w:top w:val="nil"/>
              <w:left w:val="nil"/>
              <w:right w:val="nil"/>
            </w:tcBorders>
            <w:shd w:val="clear" w:color="auto" w:fill="auto"/>
            <w:vAlign w:val="center"/>
          </w:tcPr>
          <w:p w:rsidR="00A33BB3" w:rsidRPr="003268E9" w:rsidRDefault="00AB4C3D" w:rsidP="00AB4C3D">
            <w:pPr>
              <w:spacing w:after="0" w:line="240" w:lineRule="auto"/>
              <w:ind w:right="-49"/>
              <w:jc w:val="right"/>
              <w:rPr>
                <w:rFonts w:ascii="Arial Narrow" w:hAnsi="Arial Narrow" w:cs="Arial"/>
                <w:sz w:val="20"/>
                <w:szCs w:val="20"/>
              </w:rPr>
            </w:pPr>
            <w:r>
              <w:rPr>
                <w:rFonts w:ascii="Arial Narrow" w:hAnsi="Arial Narrow" w:cs="Arial"/>
                <w:sz w:val="20"/>
                <w:szCs w:val="20"/>
              </w:rPr>
              <w:t>9,109,700,201</w:t>
            </w:r>
          </w:p>
        </w:tc>
      </w:tr>
      <w:tr w:rsidR="00A33BB3" w:rsidRPr="00F02111" w:rsidTr="004D0C94">
        <w:trPr>
          <w:trHeight w:val="234"/>
        </w:trPr>
        <w:tc>
          <w:tcPr>
            <w:tcW w:w="4016" w:type="dxa"/>
            <w:tcBorders>
              <w:top w:val="nil"/>
              <w:left w:val="nil"/>
              <w:bottom w:val="single" w:sz="4" w:space="0" w:color="auto"/>
              <w:right w:val="nil"/>
            </w:tcBorders>
            <w:shd w:val="clear" w:color="auto" w:fill="auto"/>
            <w:noWrap/>
            <w:hideMark/>
          </w:tcPr>
          <w:p w:rsidR="00A33BB3" w:rsidRPr="003268E9" w:rsidRDefault="00A33BB3" w:rsidP="003268E9">
            <w:pPr>
              <w:suppressAutoHyphens/>
              <w:snapToGrid w:val="0"/>
              <w:spacing w:after="0" w:line="240" w:lineRule="auto"/>
              <w:ind w:hanging="93"/>
              <w:rPr>
                <w:rFonts w:ascii="Arial Narrow" w:eastAsia="Times New Roman" w:hAnsi="Arial Narrow" w:cs="Arial"/>
                <w:bCs/>
                <w:sz w:val="20"/>
                <w:szCs w:val="20"/>
                <w:lang w:eastAsia="ar-SA"/>
              </w:rPr>
            </w:pPr>
            <w:r w:rsidRPr="003268E9">
              <w:rPr>
                <w:rFonts w:ascii="Arial Narrow" w:eastAsia="Times New Roman" w:hAnsi="Arial Narrow" w:cs="Arial"/>
                <w:bCs/>
                <w:sz w:val="20"/>
                <w:szCs w:val="20"/>
                <w:lang w:eastAsia="ar-SA"/>
              </w:rPr>
              <w:t>Total Operating Expenses</w:t>
            </w:r>
          </w:p>
        </w:tc>
        <w:tc>
          <w:tcPr>
            <w:tcW w:w="1566" w:type="dxa"/>
            <w:tcBorders>
              <w:top w:val="nil"/>
              <w:left w:val="nil"/>
              <w:bottom w:val="single" w:sz="4" w:space="0" w:color="auto"/>
              <w:right w:val="nil"/>
            </w:tcBorders>
            <w:shd w:val="clear" w:color="auto" w:fill="auto"/>
            <w:vAlign w:val="center"/>
          </w:tcPr>
          <w:p w:rsidR="00A33BB3" w:rsidRPr="003268E9" w:rsidRDefault="00A33BB3" w:rsidP="00A33BB3">
            <w:pPr>
              <w:spacing w:after="0" w:line="240" w:lineRule="auto"/>
              <w:jc w:val="right"/>
              <w:rPr>
                <w:rFonts w:ascii="Arial Narrow" w:hAnsi="Arial Narrow" w:cs="Arial"/>
                <w:sz w:val="20"/>
                <w:szCs w:val="20"/>
              </w:rPr>
            </w:pPr>
            <w:r w:rsidRPr="003268E9">
              <w:rPr>
                <w:rFonts w:ascii="Arial Narrow" w:hAnsi="Arial Narrow" w:cs="Arial"/>
                <w:sz w:val="20"/>
                <w:szCs w:val="20"/>
              </w:rPr>
              <w:t>49,285,524</w:t>
            </w:r>
            <w:r w:rsidR="00853026" w:rsidRPr="003268E9">
              <w:rPr>
                <w:rFonts w:ascii="Arial Narrow" w:hAnsi="Arial Narrow" w:cs="Arial"/>
                <w:sz w:val="20"/>
                <w:szCs w:val="20"/>
              </w:rPr>
              <w:t>,06</w:t>
            </w:r>
            <w:r w:rsidR="003268E9" w:rsidRPr="003268E9">
              <w:rPr>
                <w:rFonts w:ascii="Arial Narrow" w:hAnsi="Arial Narrow" w:cs="Arial"/>
                <w:sz w:val="20"/>
                <w:szCs w:val="20"/>
              </w:rPr>
              <w:t>2</w:t>
            </w:r>
          </w:p>
        </w:tc>
        <w:tc>
          <w:tcPr>
            <w:tcW w:w="1566" w:type="dxa"/>
            <w:tcBorders>
              <w:top w:val="nil"/>
              <w:left w:val="nil"/>
              <w:bottom w:val="single" w:sz="4" w:space="0" w:color="auto"/>
              <w:right w:val="nil"/>
            </w:tcBorders>
            <w:shd w:val="clear" w:color="auto" w:fill="auto"/>
            <w:vAlign w:val="center"/>
          </w:tcPr>
          <w:p w:rsidR="00A33BB3" w:rsidRPr="00753902" w:rsidRDefault="00A33BB3" w:rsidP="00A33BB3">
            <w:pPr>
              <w:spacing w:after="0" w:line="240" w:lineRule="auto"/>
              <w:jc w:val="right"/>
              <w:rPr>
                <w:rFonts w:ascii="Arial Narrow" w:hAnsi="Arial Narrow" w:cs="Arial"/>
                <w:sz w:val="20"/>
                <w:szCs w:val="20"/>
              </w:rPr>
            </w:pPr>
            <w:r w:rsidRPr="00753902">
              <w:rPr>
                <w:rFonts w:ascii="Arial Narrow" w:hAnsi="Arial Narrow" w:cs="Arial"/>
                <w:sz w:val="20"/>
                <w:szCs w:val="20"/>
              </w:rPr>
              <w:t>39,942,910</w:t>
            </w:r>
            <w:r w:rsidR="00853026" w:rsidRPr="00753902">
              <w:rPr>
                <w:rFonts w:ascii="Arial Narrow" w:hAnsi="Arial Narrow" w:cs="Arial"/>
                <w:sz w:val="20"/>
                <w:szCs w:val="20"/>
              </w:rPr>
              <w:t>,349</w:t>
            </w:r>
          </w:p>
        </w:tc>
        <w:tc>
          <w:tcPr>
            <w:tcW w:w="1566" w:type="dxa"/>
            <w:tcBorders>
              <w:top w:val="nil"/>
              <w:left w:val="nil"/>
              <w:bottom w:val="single" w:sz="4" w:space="0" w:color="auto"/>
              <w:right w:val="nil"/>
            </w:tcBorders>
            <w:shd w:val="clear" w:color="auto" w:fill="auto"/>
            <w:vAlign w:val="center"/>
          </w:tcPr>
          <w:p w:rsidR="00A33BB3" w:rsidRPr="003268E9" w:rsidRDefault="00AB4C3D" w:rsidP="00AB4C3D">
            <w:pPr>
              <w:spacing w:after="0" w:line="240" w:lineRule="auto"/>
              <w:ind w:right="-49"/>
              <w:jc w:val="right"/>
              <w:rPr>
                <w:rFonts w:ascii="Arial Narrow" w:hAnsi="Arial Narrow" w:cs="Arial"/>
                <w:sz w:val="20"/>
                <w:szCs w:val="20"/>
              </w:rPr>
            </w:pPr>
            <w:r>
              <w:rPr>
                <w:rFonts w:ascii="Arial Narrow" w:hAnsi="Arial Narrow" w:cs="Arial"/>
                <w:sz w:val="20"/>
                <w:szCs w:val="20"/>
              </w:rPr>
              <w:t>9,342,613,713</w:t>
            </w:r>
          </w:p>
        </w:tc>
      </w:tr>
      <w:tr w:rsidR="00A33BB3" w:rsidRPr="00F02111" w:rsidTr="004D0C94">
        <w:trPr>
          <w:trHeight w:val="161"/>
        </w:trPr>
        <w:tc>
          <w:tcPr>
            <w:tcW w:w="4016" w:type="dxa"/>
            <w:tcBorders>
              <w:top w:val="single" w:sz="4" w:space="0" w:color="auto"/>
              <w:left w:val="nil"/>
              <w:bottom w:val="nil"/>
              <w:right w:val="nil"/>
            </w:tcBorders>
            <w:shd w:val="clear" w:color="auto" w:fill="auto"/>
            <w:noWrap/>
          </w:tcPr>
          <w:p w:rsidR="00A33BB3" w:rsidRPr="003268E9" w:rsidRDefault="00A33BB3" w:rsidP="003268E9">
            <w:pPr>
              <w:suppressAutoHyphens/>
              <w:snapToGrid w:val="0"/>
              <w:spacing w:after="0" w:line="240" w:lineRule="auto"/>
              <w:ind w:hanging="93"/>
              <w:rPr>
                <w:rFonts w:ascii="Arial Narrow" w:eastAsia="Times New Roman" w:hAnsi="Arial Narrow" w:cs="Arial"/>
                <w:bCs/>
                <w:sz w:val="20"/>
                <w:szCs w:val="20"/>
                <w:lang w:eastAsia="ar-SA"/>
              </w:rPr>
            </w:pPr>
            <w:r w:rsidRPr="003268E9">
              <w:rPr>
                <w:rFonts w:ascii="Arial Narrow" w:eastAsia="Times New Roman" w:hAnsi="Arial Narrow" w:cs="Arial"/>
                <w:bCs/>
                <w:sz w:val="20"/>
                <w:szCs w:val="20"/>
                <w:lang w:eastAsia="ar-SA"/>
              </w:rPr>
              <w:t>Profit/ (Loss) Before Tax</w:t>
            </w:r>
          </w:p>
        </w:tc>
        <w:tc>
          <w:tcPr>
            <w:tcW w:w="1566" w:type="dxa"/>
            <w:tcBorders>
              <w:top w:val="single" w:sz="4" w:space="0" w:color="auto"/>
              <w:left w:val="nil"/>
              <w:bottom w:val="nil"/>
              <w:right w:val="nil"/>
            </w:tcBorders>
            <w:shd w:val="clear" w:color="auto" w:fill="auto"/>
            <w:vAlign w:val="center"/>
          </w:tcPr>
          <w:p w:rsidR="00A33BB3" w:rsidRPr="003268E9" w:rsidRDefault="00853026" w:rsidP="003268E9">
            <w:pPr>
              <w:spacing w:after="0" w:line="240" w:lineRule="auto"/>
              <w:jc w:val="right"/>
              <w:rPr>
                <w:rFonts w:ascii="Arial Narrow" w:hAnsi="Arial Narrow" w:cs="Arial"/>
                <w:sz w:val="20"/>
                <w:szCs w:val="20"/>
              </w:rPr>
            </w:pPr>
            <w:r w:rsidRPr="003268E9">
              <w:rPr>
                <w:rFonts w:ascii="Arial Narrow" w:hAnsi="Arial Narrow" w:cs="Arial"/>
                <w:sz w:val="20"/>
                <w:szCs w:val="20"/>
              </w:rPr>
              <w:t>13,811,802,8</w:t>
            </w:r>
            <w:r w:rsidR="003268E9" w:rsidRPr="003268E9">
              <w:rPr>
                <w:rFonts w:ascii="Arial Narrow" w:hAnsi="Arial Narrow" w:cs="Arial"/>
                <w:sz w:val="20"/>
                <w:szCs w:val="20"/>
              </w:rPr>
              <w:t>08</w:t>
            </w:r>
          </w:p>
        </w:tc>
        <w:tc>
          <w:tcPr>
            <w:tcW w:w="1566" w:type="dxa"/>
            <w:tcBorders>
              <w:top w:val="single" w:sz="4" w:space="0" w:color="auto"/>
              <w:left w:val="nil"/>
              <w:bottom w:val="nil"/>
              <w:right w:val="nil"/>
            </w:tcBorders>
            <w:shd w:val="clear" w:color="auto" w:fill="auto"/>
            <w:vAlign w:val="center"/>
          </w:tcPr>
          <w:p w:rsidR="00A33BB3" w:rsidRPr="00753902" w:rsidRDefault="00A33BB3" w:rsidP="00A33BB3">
            <w:pPr>
              <w:spacing w:after="0" w:line="240" w:lineRule="auto"/>
              <w:jc w:val="right"/>
              <w:rPr>
                <w:rFonts w:ascii="Arial Narrow" w:hAnsi="Arial Narrow" w:cs="Arial"/>
                <w:sz w:val="20"/>
                <w:szCs w:val="20"/>
              </w:rPr>
            </w:pPr>
            <w:r w:rsidRPr="00753902">
              <w:rPr>
                <w:rFonts w:ascii="Arial Narrow" w:hAnsi="Arial Narrow" w:cs="Arial"/>
                <w:sz w:val="20"/>
                <w:szCs w:val="20"/>
              </w:rPr>
              <w:t>14,044,716</w:t>
            </w:r>
            <w:r w:rsidR="00853026" w:rsidRPr="00753902">
              <w:rPr>
                <w:rFonts w:ascii="Arial Narrow" w:hAnsi="Arial Narrow" w:cs="Arial"/>
                <w:sz w:val="20"/>
                <w:szCs w:val="20"/>
              </w:rPr>
              <w:t>,320</w:t>
            </w:r>
          </w:p>
        </w:tc>
        <w:tc>
          <w:tcPr>
            <w:tcW w:w="1566" w:type="dxa"/>
            <w:tcBorders>
              <w:top w:val="single" w:sz="4" w:space="0" w:color="auto"/>
              <w:left w:val="nil"/>
              <w:bottom w:val="nil"/>
              <w:right w:val="nil"/>
            </w:tcBorders>
            <w:shd w:val="clear" w:color="auto" w:fill="auto"/>
            <w:vAlign w:val="center"/>
          </w:tcPr>
          <w:p w:rsidR="00A33BB3" w:rsidRPr="003268E9" w:rsidRDefault="00FE0D5F" w:rsidP="00AB4C3D">
            <w:pPr>
              <w:spacing w:after="0" w:line="240" w:lineRule="auto"/>
              <w:ind w:right="-49"/>
              <w:jc w:val="right"/>
              <w:rPr>
                <w:rFonts w:ascii="Arial Narrow" w:hAnsi="Arial Narrow" w:cs="Arial"/>
                <w:sz w:val="20"/>
                <w:szCs w:val="20"/>
              </w:rPr>
            </w:pPr>
            <w:r>
              <w:rPr>
                <w:rFonts w:ascii="Arial Narrow" w:hAnsi="Arial Narrow" w:cs="Arial"/>
                <w:sz w:val="20"/>
                <w:szCs w:val="20"/>
              </w:rPr>
              <w:t>(232,913,512)</w:t>
            </w:r>
          </w:p>
        </w:tc>
      </w:tr>
      <w:tr w:rsidR="00A33BB3" w:rsidRPr="00F02111" w:rsidTr="004D0C94">
        <w:trPr>
          <w:trHeight w:val="198"/>
        </w:trPr>
        <w:tc>
          <w:tcPr>
            <w:tcW w:w="4016" w:type="dxa"/>
            <w:tcBorders>
              <w:top w:val="nil"/>
              <w:left w:val="nil"/>
              <w:right w:val="nil"/>
            </w:tcBorders>
            <w:shd w:val="clear" w:color="auto" w:fill="auto"/>
            <w:noWrap/>
          </w:tcPr>
          <w:p w:rsidR="00A33BB3" w:rsidRPr="003268E9" w:rsidRDefault="00A33BB3" w:rsidP="003268E9">
            <w:pPr>
              <w:suppressAutoHyphens/>
              <w:snapToGrid w:val="0"/>
              <w:spacing w:after="0" w:line="240" w:lineRule="auto"/>
              <w:ind w:hanging="93"/>
              <w:rPr>
                <w:rFonts w:ascii="Arial Narrow" w:eastAsia="Times New Roman" w:hAnsi="Arial Narrow" w:cs="Arial"/>
                <w:bCs/>
                <w:sz w:val="20"/>
                <w:szCs w:val="20"/>
                <w:lang w:eastAsia="ar-SA"/>
              </w:rPr>
            </w:pPr>
            <w:r w:rsidRPr="003268E9">
              <w:rPr>
                <w:rFonts w:ascii="Arial Narrow" w:eastAsia="Times New Roman" w:hAnsi="Arial Narrow" w:cs="Arial"/>
                <w:bCs/>
                <w:sz w:val="20"/>
                <w:szCs w:val="20"/>
                <w:lang w:eastAsia="ar-SA"/>
              </w:rPr>
              <w:t>Income Tax Expense/ Benefit</w:t>
            </w:r>
          </w:p>
        </w:tc>
        <w:tc>
          <w:tcPr>
            <w:tcW w:w="1566" w:type="dxa"/>
            <w:tcBorders>
              <w:top w:val="nil"/>
              <w:left w:val="nil"/>
              <w:right w:val="nil"/>
            </w:tcBorders>
            <w:shd w:val="clear" w:color="auto" w:fill="auto"/>
            <w:vAlign w:val="center"/>
          </w:tcPr>
          <w:p w:rsidR="00A33BB3" w:rsidRPr="003268E9" w:rsidRDefault="00A33BB3" w:rsidP="00A33BB3">
            <w:pPr>
              <w:spacing w:after="0" w:line="240" w:lineRule="auto"/>
              <w:jc w:val="right"/>
              <w:rPr>
                <w:rFonts w:ascii="Arial Narrow" w:hAnsi="Arial Narrow" w:cs="Arial"/>
                <w:sz w:val="20"/>
                <w:szCs w:val="20"/>
              </w:rPr>
            </w:pPr>
            <w:r w:rsidRPr="003268E9">
              <w:rPr>
                <w:rFonts w:ascii="Arial Narrow" w:hAnsi="Arial Narrow" w:cs="Arial"/>
                <w:sz w:val="20"/>
                <w:szCs w:val="20"/>
              </w:rPr>
              <w:t>627,822</w:t>
            </w:r>
            <w:r w:rsidR="00853026" w:rsidRPr="003268E9">
              <w:rPr>
                <w:rFonts w:ascii="Arial Narrow" w:hAnsi="Arial Narrow" w:cs="Arial"/>
                <w:sz w:val="20"/>
                <w:szCs w:val="20"/>
              </w:rPr>
              <w:t>,438</w:t>
            </w:r>
          </w:p>
        </w:tc>
        <w:tc>
          <w:tcPr>
            <w:tcW w:w="1566" w:type="dxa"/>
            <w:tcBorders>
              <w:top w:val="nil"/>
              <w:left w:val="nil"/>
              <w:right w:val="nil"/>
            </w:tcBorders>
            <w:shd w:val="clear" w:color="auto" w:fill="auto"/>
            <w:vAlign w:val="center"/>
          </w:tcPr>
          <w:p w:rsidR="00A33BB3" w:rsidRPr="00753902" w:rsidRDefault="003268E9" w:rsidP="00A33BB3">
            <w:pPr>
              <w:spacing w:after="0" w:line="240" w:lineRule="auto"/>
              <w:jc w:val="right"/>
              <w:rPr>
                <w:rFonts w:ascii="Arial Narrow" w:hAnsi="Arial Narrow" w:cs="Arial"/>
                <w:sz w:val="20"/>
                <w:szCs w:val="20"/>
              </w:rPr>
            </w:pPr>
            <w:r w:rsidRPr="00753902">
              <w:rPr>
                <w:rFonts w:ascii="Arial Narrow" w:hAnsi="Arial Narrow" w:cs="Arial"/>
                <w:sz w:val="20"/>
                <w:szCs w:val="20"/>
              </w:rPr>
              <w:t>-</w:t>
            </w:r>
          </w:p>
        </w:tc>
        <w:tc>
          <w:tcPr>
            <w:tcW w:w="1566" w:type="dxa"/>
            <w:tcBorders>
              <w:top w:val="nil"/>
              <w:left w:val="nil"/>
              <w:right w:val="nil"/>
            </w:tcBorders>
            <w:shd w:val="clear" w:color="auto" w:fill="auto"/>
            <w:vAlign w:val="center"/>
          </w:tcPr>
          <w:p w:rsidR="00A33BB3" w:rsidRPr="003268E9" w:rsidRDefault="00FE0D5F" w:rsidP="00AB4C3D">
            <w:pPr>
              <w:spacing w:after="0" w:line="240" w:lineRule="auto"/>
              <w:ind w:right="-49"/>
              <w:jc w:val="right"/>
              <w:rPr>
                <w:rFonts w:ascii="Arial Narrow" w:hAnsi="Arial Narrow" w:cs="Arial"/>
                <w:sz w:val="20"/>
                <w:szCs w:val="20"/>
              </w:rPr>
            </w:pPr>
            <w:r>
              <w:rPr>
                <w:rFonts w:ascii="Arial Narrow" w:hAnsi="Arial Narrow" w:cs="Arial"/>
                <w:sz w:val="20"/>
                <w:szCs w:val="20"/>
              </w:rPr>
              <w:t>627,822,438</w:t>
            </w:r>
          </w:p>
        </w:tc>
      </w:tr>
      <w:tr w:rsidR="00A33BB3" w:rsidRPr="00F02111" w:rsidTr="004D0C94">
        <w:trPr>
          <w:trHeight w:val="153"/>
        </w:trPr>
        <w:tc>
          <w:tcPr>
            <w:tcW w:w="4016" w:type="dxa"/>
            <w:tcBorders>
              <w:top w:val="nil"/>
              <w:left w:val="nil"/>
              <w:bottom w:val="single" w:sz="4" w:space="0" w:color="auto"/>
              <w:right w:val="nil"/>
            </w:tcBorders>
            <w:shd w:val="clear" w:color="auto" w:fill="auto"/>
            <w:noWrap/>
          </w:tcPr>
          <w:p w:rsidR="00A33BB3" w:rsidRPr="003268E9" w:rsidRDefault="00A33BB3" w:rsidP="003268E9">
            <w:pPr>
              <w:suppressAutoHyphens/>
              <w:snapToGrid w:val="0"/>
              <w:spacing w:after="0" w:line="240" w:lineRule="auto"/>
              <w:ind w:hanging="93"/>
              <w:rPr>
                <w:rFonts w:ascii="Arial Narrow" w:eastAsia="Times New Roman" w:hAnsi="Arial Narrow" w:cs="Arial"/>
                <w:bCs/>
                <w:sz w:val="20"/>
                <w:szCs w:val="20"/>
                <w:lang w:eastAsia="ar-SA"/>
              </w:rPr>
            </w:pPr>
            <w:r w:rsidRPr="003268E9">
              <w:rPr>
                <w:rFonts w:ascii="Arial Narrow" w:eastAsia="Times New Roman" w:hAnsi="Arial Narrow" w:cs="Arial"/>
                <w:bCs/>
                <w:sz w:val="20"/>
                <w:szCs w:val="20"/>
                <w:lang w:eastAsia="ar-SA"/>
              </w:rPr>
              <w:t>Income Tax Expense / Benefit - Deferred</w:t>
            </w:r>
          </w:p>
        </w:tc>
        <w:tc>
          <w:tcPr>
            <w:tcW w:w="1566" w:type="dxa"/>
            <w:tcBorders>
              <w:top w:val="nil"/>
              <w:left w:val="nil"/>
              <w:bottom w:val="single" w:sz="4" w:space="0" w:color="auto"/>
              <w:right w:val="nil"/>
            </w:tcBorders>
            <w:shd w:val="clear" w:color="auto" w:fill="auto"/>
            <w:vAlign w:val="center"/>
          </w:tcPr>
          <w:p w:rsidR="00A33BB3" w:rsidRPr="003268E9" w:rsidRDefault="00A33BB3" w:rsidP="00A33BB3">
            <w:pPr>
              <w:spacing w:after="0" w:line="240" w:lineRule="auto"/>
              <w:jc w:val="right"/>
              <w:rPr>
                <w:rFonts w:ascii="Arial Narrow" w:hAnsi="Arial Narrow" w:cs="Arial"/>
                <w:sz w:val="20"/>
                <w:szCs w:val="20"/>
              </w:rPr>
            </w:pPr>
            <w:r w:rsidRPr="003268E9">
              <w:rPr>
                <w:rFonts w:ascii="Arial Narrow" w:hAnsi="Arial Narrow" w:cs="Arial"/>
                <w:sz w:val="20"/>
                <w:szCs w:val="20"/>
              </w:rPr>
              <w:t>(5,583</w:t>
            </w:r>
            <w:r w:rsidR="00853026" w:rsidRPr="003268E9">
              <w:rPr>
                <w:rFonts w:ascii="Arial Narrow" w:hAnsi="Arial Narrow" w:cs="Arial"/>
                <w:sz w:val="20"/>
                <w:szCs w:val="20"/>
              </w:rPr>
              <w:t>,636</w:t>
            </w:r>
            <w:r w:rsidRPr="003268E9">
              <w:rPr>
                <w:rFonts w:ascii="Arial Narrow" w:hAnsi="Arial Narrow" w:cs="Arial"/>
                <w:sz w:val="20"/>
                <w:szCs w:val="20"/>
              </w:rPr>
              <w:t>)</w:t>
            </w:r>
          </w:p>
        </w:tc>
        <w:tc>
          <w:tcPr>
            <w:tcW w:w="1566" w:type="dxa"/>
            <w:tcBorders>
              <w:top w:val="nil"/>
              <w:left w:val="nil"/>
              <w:bottom w:val="single" w:sz="4" w:space="0" w:color="auto"/>
              <w:right w:val="nil"/>
            </w:tcBorders>
            <w:shd w:val="clear" w:color="auto" w:fill="auto"/>
            <w:vAlign w:val="center"/>
          </w:tcPr>
          <w:p w:rsidR="00A33BB3" w:rsidRPr="00753902" w:rsidRDefault="003268E9" w:rsidP="00A33BB3">
            <w:pPr>
              <w:spacing w:after="0" w:line="240" w:lineRule="auto"/>
              <w:jc w:val="right"/>
              <w:rPr>
                <w:rFonts w:ascii="Arial Narrow" w:hAnsi="Arial Narrow" w:cs="Arial"/>
                <w:sz w:val="20"/>
                <w:szCs w:val="20"/>
              </w:rPr>
            </w:pPr>
            <w:r w:rsidRPr="00753902">
              <w:rPr>
                <w:rFonts w:ascii="Arial Narrow" w:hAnsi="Arial Narrow" w:cs="Arial"/>
                <w:sz w:val="20"/>
                <w:szCs w:val="20"/>
              </w:rPr>
              <w:t>-</w:t>
            </w:r>
          </w:p>
        </w:tc>
        <w:tc>
          <w:tcPr>
            <w:tcW w:w="1566" w:type="dxa"/>
            <w:tcBorders>
              <w:top w:val="nil"/>
              <w:left w:val="nil"/>
              <w:bottom w:val="single" w:sz="4" w:space="0" w:color="auto"/>
              <w:right w:val="nil"/>
            </w:tcBorders>
            <w:shd w:val="clear" w:color="auto" w:fill="auto"/>
            <w:vAlign w:val="center"/>
          </w:tcPr>
          <w:p w:rsidR="00A33BB3" w:rsidRPr="003268E9" w:rsidRDefault="00FE0D5F" w:rsidP="00AB4C3D">
            <w:pPr>
              <w:spacing w:after="0" w:line="240" w:lineRule="auto"/>
              <w:ind w:right="-49"/>
              <w:jc w:val="right"/>
              <w:rPr>
                <w:rFonts w:ascii="Arial Narrow" w:hAnsi="Arial Narrow" w:cs="Arial"/>
                <w:sz w:val="20"/>
                <w:szCs w:val="20"/>
              </w:rPr>
            </w:pPr>
            <w:r>
              <w:rPr>
                <w:rFonts w:ascii="Arial Narrow" w:hAnsi="Arial Narrow" w:cs="Arial"/>
                <w:sz w:val="20"/>
                <w:szCs w:val="20"/>
              </w:rPr>
              <w:t>5,583,636</w:t>
            </w:r>
          </w:p>
        </w:tc>
      </w:tr>
      <w:tr w:rsidR="00A33BB3" w:rsidRPr="00F02111" w:rsidTr="004D0C94">
        <w:trPr>
          <w:trHeight w:val="179"/>
        </w:trPr>
        <w:tc>
          <w:tcPr>
            <w:tcW w:w="4016" w:type="dxa"/>
            <w:tcBorders>
              <w:top w:val="single" w:sz="4" w:space="0" w:color="auto"/>
              <w:left w:val="nil"/>
              <w:right w:val="nil"/>
            </w:tcBorders>
            <w:shd w:val="clear" w:color="auto" w:fill="auto"/>
            <w:noWrap/>
          </w:tcPr>
          <w:p w:rsidR="00A33BB3" w:rsidRPr="003268E9" w:rsidRDefault="00A33BB3" w:rsidP="003268E9">
            <w:pPr>
              <w:suppressAutoHyphens/>
              <w:snapToGrid w:val="0"/>
              <w:spacing w:after="0" w:line="240" w:lineRule="auto"/>
              <w:ind w:hanging="93"/>
              <w:rPr>
                <w:rFonts w:ascii="Arial Narrow" w:eastAsia="Times New Roman" w:hAnsi="Arial Narrow" w:cs="Arial"/>
                <w:bCs/>
                <w:sz w:val="20"/>
                <w:szCs w:val="20"/>
                <w:lang w:eastAsia="ar-SA"/>
              </w:rPr>
            </w:pPr>
            <w:r w:rsidRPr="003268E9">
              <w:rPr>
                <w:rFonts w:ascii="Arial Narrow" w:eastAsia="Times New Roman" w:hAnsi="Arial Narrow" w:cs="Arial"/>
                <w:bCs/>
                <w:sz w:val="20"/>
                <w:szCs w:val="20"/>
                <w:lang w:eastAsia="ar-SA"/>
              </w:rPr>
              <w:t>Profit/(Loss) After Tax</w:t>
            </w:r>
          </w:p>
        </w:tc>
        <w:tc>
          <w:tcPr>
            <w:tcW w:w="1566" w:type="dxa"/>
            <w:tcBorders>
              <w:top w:val="single" w:sz="4" w:space="0" w:color="auto"/>
              <w:left w:val="nil"/>
              <w:right w:val="nil"/>
            </w:tcBorders>
            <w:shd w:val="clear" w:color="auto" w:fill="auto"/>
            <w:vAlign w:val="center"/>
          </w:tcPr>
          <w:p w:rsidR="00A33BB3" w:rsidRPr="003268E9" w:rsidRDefault="00A33BB3" w:rsidP="003268E9">
            <w:pPr>
              <w:spacing w:after="0" w:line="240" w:lineRule="auto"/>
              <w:jc w:val="right"/>
              <w:rPr>
                <w:rFonts w:ascii="Arial Narrow" w:hAnsi="Arial Narrow" w:cs="Arial"/>
                <w:sz w:val="20"/>
                <w:szCs w:val="20"/>
              </w:rPr>
            </w:pPr>
            <w:r w:rsidRPr="003268E9">
              <w:rPr>
                <w:rFonts w:ascii="Arial Narrow" w:hAnsi="Arial Narrow" w:cs="Arial"/>
                <w:sz w:val="20"/>
                <w:szCs w:val="20"/>
              </w:rPr>
              <w:t>13,189,564</w:t>
            </w:r>
            <w:r w:rsidR="00853026" w:rsidRPr="003268E9">
              <w:rPr>
                <w:rFonts w:ascii="Arial Narrow" w:hAnsi="Arial Narrow" w:cs="Arial"/>
                <w:sz w:val="20"/>
                <w:szCs w:val="20"/>
              </w:rPr>
              <w:t>,00</w:t>
            </w:r>
            <w:r w:rsidR="003268E9" w:rsidRPr="003268E9">
              <w:rPr>
                <w:rFonts w:ascii="Arial Narrow" w:hAnsi="Arial Narrow" w:cs="Arial"/>
                <w:sz w:val="20"/>
                <w:szCs w:val="20"/>
              </w:rPr>
              <w:t>6</w:t>
            </w:r>
          </w:p>
        </w:tc>
        <w:tc>
          <w:tcPr>
            <w:tcW w:w="1566" w:type="dxa"/>
            <w:tcBorders>
              <w:top w:val="single" w:sz="4" w:space="0" w:color="auto"/>
              <w:left w:val="nil"/>
              <w:right w:val="nil"/>
            </w:tcBorders>
            <w:shd w:val="clear" w:color="auto" w:fill="auto"/>
            <w:vAlign w:val="center"/>
          </w:tcPr>
          <w:p w:rsidR="00A33BB3" w:rsidRPr="00753902" w:rsidRDefault="00A33BB3" w:rsidP="00A33BB3">
            <w:pPr>
              <w:spacing w:after="0" w:line="240" w:lineRule="auto"/>
              <w:jc w:val="right"/>
              <w:rPr>
                <w:rFonts w:ascii="Arial Narrow" w:hAnsi="Arial Narrow" w:cs="Arial"/>
                <w:sz w:val="20"/>
                <w:szCs w:val="20"/>
              </w:rPr>
            </w:pPr>
            <w:r w:rsidRPr="00753902">
              <w:rPr>
                <w:rFonts w:ascii="Arial Narrow" w:hAnsi="Arial Narrow" w:cs="Arial"/>
                <w:sz w:val="20"/>
                <w:szCs w:val="20"/>
              </w:rPr>
              <w:t>14,044,716</w:t>
            </w:r>
            <w:r w:rsidR="00853026" w:rsidRPr="00753902">
              <w:rPr>
                <w:rFonts w:ascii="Arial Narrow" w:hAnsi="Arial Narrow" w:cs="Arial"/>
                <w:sz w:val="20"/>
                <w:szCs w:val="20"/>
              </w:rPr>
              <w:t>,320</w:t>
            </w:r>
          </w:p>
        </w:tc>
        <w:tc>
          <w:tcPr>
            <w:tcW w:w="1566" w:type="dxa"/>
            <w:tcBorders>
              <w:top w:val="single" w:sz="4" w:space="0" w:color="auto"/>
              <w:left w:val="nil"/>
              <w:right w:val="nil"/>
            </w:tcBorders>
            <w:shd w:val="clear" w:color="auto" w:fill="auto"/>
            <w:vAlign w:val="center"/>
          </w:tcPr>
          <w:p w:rsidR="00A33BB3" w:rsidRPr="003268E9" w:rsidRDefault="00FE0D5F" w:rsidP="00AB4C3D">
            <w:pPr>
              <w:spacing w:after="0" w:line="240" w:lineRule="auto"/>
              <w:ind w:right="-49"/>
              <w:jc w:val="right"/>
              <w:rPr>
                <w:rFonts w:ascii="Arial Narrow" w:hAnsi="Arial Narrow" w:cs="Arial"/>
                <w:sz w:val="20"/>
                <w:szCs w:val="20"/>
              </w:rPr>
            </w:pPr>
            <w:r>
              <w:rPr>
                <w:rFonts w:ascii="Arial Narrow" w:hAnsi="Arial Narrow" w:cs="Arial"/>
                <w:sz w:val="20"/>
                <w:szCs w:val="20"/>
              </w:rPr>
              <w:t>(855,152,314)</w:t>
            </w:r>
          </w:p>
        </w:tc>
      </w:tr>
      <w:tr w:rsidR="00A33BB3" w:rsidRPr="00F02111" w:rsidTr="004D0C94">
        <w:trPr>
          <w:trHeight w:val="144"/>
        </w:trPr>
        <w:tc>
          <w:tcPr>
            <w:tcW w:w="4016" w:type="dxa"/>
            <w:tcBorders>
              <w:top w:val="nil"/>
              <w:left w:val="nil"/>
              <w:bottom w:val="single" w:sz="4" w:space="0" w:color="auto"/>
              <w:right w:val="nil"/>
            </w:tcBorders>
            <w:shd w:val="clear" w:color="auto" w:fill="auto"/>
            <w:noWrap/>
          </w:tcPr>
          <w:p w:rsidR="00A33BB3" w:rsidRPr="003268E9" w:rsidRDefault="00A33BB3" w:rsidP="003268E9">
            <w:pPr>
              <w:suppressAutoHyphens/>
              <w:snapToGrid w:val="0"/>
              <w:spacing w:after="0" w:line="240" w:lineRule="auto"/>
              <w:ind w:hanging="93"/>
              <w:rPr>
                <w:rFonts w:ascii="Arial Narrow" w:eastAsia="Times New Roman" w:hAnsi="Arial Narrow" w:cs="Arial"/>
                <w:bCs/>
                <w:sz w:val="20"/>
                <w:szCs w:val="20"/>
                <w:lang w:eastAsia="ar-SA"/>
              </w:rPr>
            </w:pPr>
            <w:r w:rsidRPr="003268E9">
              <w:rPr>
                <w:rFonts w:ascii="Arial Narrow" w:eastAsia="Times New Roman" w:hAnsi="Arial Narrow" w:cs="Arial"/>
                <w:bCs/>
                <w:sz w:val="20"/>
                <w:szCs w:val="20"/>
                <w:lang w:eastAsia="ar-SA"/>
              </w:rPr>
              <w:t>Financial Assistance/Subsidy/Contribution</w:t>
            </w:r>
          </w:p>
        </w:tc>
        <w:tc>
          <w:tcPr>
            <w:tcW w:w="1566" w:type="dxa"/>
            <w:tcBorders>
              <w:top w:val="nil"/>
              <w:left w:val="nil"/>
              <w:bottom w:val="single" w:sz="4" w:space="0" w:color="auto"/>
              <w:right w:val="nil"/>
            </w:tcBorders>
            <w:shd w:val="clear" w:color="auto" w:fill="auto"/>
            <w:vAlign w:val="center"/>
          </w:tcPr>
          <w:p w:rsidR="00A33BB3" w:rsidRPr="003268E9" w:rsidRDefault="00A33BB3" w:rsidP="00B177D0">
            <w:pPr>
              <w:spacing w:after="0" w:line="240" w:lineRule="auto"/>
              <w:jc w:val="right"/>
              <w:rPr>
                <w:rFonts w:ascii="Arial Narrow" w:hAnsi="Arial Narrow" w:cs="Arial"/>
                <w:sz w:val="20"/>
                <w:szCs w:val="20"/>
              </w:rPr>
            </w:pPr>
            <w:r w:rsidRPr="003268E9">
              <w:rPr>
                <w:rFonts w:ascii="Arial Narrow" w:hAnsi="Arial Narrow" w:cs="Arial"/>
                <w:sz w:val="20"/>
                <w:szCs w:val="20"/>
              </w:rPr>
              <w:t>11,678,375</w:t>
            </w:r>
            <w:r w:rsidR="00853026" w:rsidRPr="003268E9">
              <w:rPr>
                <w:rFonts w:ascii="Arial Narrow" w:hAnsi="Arial Narrow" w:cs="Arial"/>
                <w:sz w:val="20"/>
                <w:szCs w:val="20"/>
              </w:rPr>
              <w:t>,03</w:t>
            </w:r>
            <w:r w:rsidR="00B177D0">
              <w:rPr>
                <w:rFonts w:ascii="Arial Narrow" w:hAnsi="Arial Narrow" w:cs="Arial"/>
                <w:sz w:val="20"/>
                <w:szCs w:val="20"/>
              </w:rPr>
              <w:t>5</w:t>
            </w:r>
          </w:p>
        </w:tc>
        <w:tc>
          <w:tcPr>
            <w:tcW w:w="1566" w:type="dxa"/>
            <w:tcBorders>
              <w:top w:val="nil"/>
              <w:left w:val="nil"/>
              <w:bottom w:val="single" w:sz="4" w:space="0" w:color="auto"/>
              <w:right w:val="nil"/>
            </w:tcBorders>
            <w:shd w:val="clear" w:color="auto" w:fill="auto"/>
            <w:vAlign w:val="center"/>
          </w:tcPr>
          <w:p w:rsidR="00A33BB3" w:rsidRPr="00753902" w:rsidRDefault="00A33BB3" w:rsidP="00FE0D5F">
            <w:pPr>
              <w:spacing w:after="0" w:line="240" w:lineRule="auto"/>
              <w:jc w:val="right"/>
              <w:rPr>
                <w:rFonts w:ascii="Arial Narrow" w:hAnsi="Arial Narrow" w:cs="Arial"/>
                <w:sz w:val="20"/>
                <w:szCs w:val="20"/>
              </w:rPr>
            </w:pPr>
            <w:r w:rsidRPr="00753902">
              <w:rPr>
                <w:rFonts w:ascii="Arial Narrow" w:hAnsi="Arial Narrow" w:cs="Arial"/>
                <w:sz w:val="20"/>
                <w:szCs w:val="20"/>
              </w:rPr>
              <w:t>12,654,06</w:t>
            </w:r>
            <w:r w:rsidR="00FE0D5F" w:rsidRPr="00753902">
              <w:rPr>
                <w:rFonts w:ascii="Arial Narrow" w:hAnsi="Arial Narrow" w:cs="Arial"/>
                <w:sz w:val="20"/>
                <w:szCs w:val="20"/>
              </w:rPr>
              <w:t>0</w:t>
            </w:r>
            <w:r w:rsidR="00853026" w:rsidRPr="00753902">
              <w:rPr>
                <w:rFonts w:ascii="Arial Narrow" w:hAnsi="Arial Narrow" w:cs="Arial"/>
                <w:sz w:val="20"/>
                <w:szCs w:val="20"/>
              </w:rPr>
              <w:t>,832</w:t>
            </w:r>
          </w:p>
        </w:tc>
        <w:tc>
          <w:tcPr>
            <w:tcW w:w="1566" w:type="dxa"/>
            <w:tcBorders>
              <w:top w:val="nil"/>
              <w:left w:val="nil"/>
              <w:bottom w:val="single" w:sz="4" w:space="0" w:color="auto"/>
              <w:right w:val="nil"/>
            </w:tcBorders>
            <w:shd w:val="clear" w:color="auto" w:fill="auto"/>
            <w:vAlign w:val="center"/>
          </w:tcPr>
          <w:p w:rsidR="00A33BB3" w:rsidRPr="003268E9" w:rsidRDefault="00FE0D5F" w:rsidP="00B177D0">
            <w:pPr>
              <w:spacing w:after="0" w:line="240" w:lineRule="auto"/>
              <w:ind w:right="-49"/>
              <w:jc w:val="right"/>
              <w:rPr>
                <w:rFonts w:ascii="Arial Narrow" w:hAnsi="Arial Narrow" w:cs="Arial"/>
                <w:sz w:val="20"/>
                <w:szCs w:val="20"/>
              </w:rPr>
            </w:pPr>
            <w:r>
              <w:rPr>
                <w:rFonts w:ascii="Arial Narrow" w:hAnsi="Arial Narrow" w:cs="Arial"/>
                <w:sz w:val="20"/>
                <w:szCs w:val="20"/>
              </w:rPr>
              <w:t>(975,685,79</w:t>
            </w:r>
            <w:r w:rsidR="00B177D0">
              <w:rPr>
                <w:rFonts w:ascii="Arial Narrow" w:hAnsi="Arial Narrow" w:cs="Arial"/>
                <w:sz w:val="20"/>
                <w:szCs w:val="20"/>
              </w:rPr>
              <w:t>7</w:t>
            </w:r>
            <w:r>
              <w:rPr>
                <w:rFonts w:ascii="Arial Narrow" w:hAnsi="Arial Narrow" w:cs="Arial"/>
                <w:sz w:val="20"/>
                <w:szCs w:val="20"/>
              </w:rPr>
              <w:t>)</w:t>
            </w:r>
          </w:p>
        </w:tc>
      </w:tr>
      <w:tr w:rsidR="003268E9" w:rsidRPr="00F02111" w:rsidTr="004D0C94">
        <w:trPr>
          <w:trHeight w:val="260"/>
        </w:trPr>
        <w:tc>
          <w:tcPr>
            <w:tcW w:w="4016" w:type="dxa"/>
            <w:tcBorders>
              <w:top w:val="single" w:sz="4" w:space="0" w:color="auto"/>
              <w:left w:val="nil"/>
              <w:right w:val="nil"/>
            </w:tcBorders>
            <w:shd w:val="clear" w:color="auto" w:fill="auto"/>
            <w:noWrap/>
          </w:tcPr>
          <w:p w:rsidR="003268E9" w:rsidRPr="003268E9" w:rsidRDefault="003268E9" w:rsidP="003268E9">
            <w:pPr>
              <w:suppressAutoHyphens/>
              <w:snapToGrid w:val="0"/>
              <w:spacing w:after="0" w:line="240" w:lineRule="auto"/>
              <w:ind w:hanging="93"/>
              <w:rPr>
                <w:rFonts w:ascii="Arial Narrow" w:eastAsia="Times New Roman" w:hAnsi="Arial Narrow" w:cs="Arial"/>
                <w:bCs/>
                <w:sz w:val="20"/>
                <w:szCs w:val="20"/>
                <w:lang w:eastAsia="ar-SA"/>
              </w:rPr>
            </w:pPr>
            <w:r w:rsidRPr="003268E9">
              <w:rPr>
                <w:rFonts w:ascii="Arial Narrow" w:eastAsia="Times New Roman" w:hAnsi="Arial Narrow" w:cs="Arial"/>
                <w:bCs/>
                <w:sz w:val="20"/>
                <w:szCs w:val="20"/>
                <w:lang w:eastAsia="ar-SA"/>
              </w:rPr>
              <w:t>Net Income/(Loss)</w:t>
            </w:r>
          </w:p>
        </w:tc>
        <w:tc>
          <w:tcPr>
            <w:tcW w:w="1566" w:type="dxa"/>
            <w:tcBorders>
              <w:top w:val="single" w:sz="4" w:space="0" w:color="auto"/>
              <w:left w:val="nil"/>
              <w:right w:val="nil"/>
            </w:tcBorders>
            <w:shd w:val="clear" w:color="auto" w:fill="auto"/>
            <w:vAlign w:val="center"/>
          </w:tcPr>
          <w:p w:rsidR="003268E9" w:rsidRPr="003268E9" w:rsidRDefault="003268E9" w:rsidP="00A33BB3">
            <w:pPr>
              <w:spacing w:after="0" w:line="240" w:lineRule="auto"/>
              <w:jc w:val="right"/>
              <w:rPr>
                <w:rFonts w:ascii="Arial Narrow" w:hAnsi="Arial Narrow" w:cs="Arial"/>
                <w:sz w:val="20"/>
                <w:szCs w:val="20"/>
              </w:rPr>
            </w:pPr>
            <w:r w:rsidRPr="003268E9">
              <w:rPr>
                <w:rFonts w:ascii="Arial Narrow" w:hAnsi="Arial Narrow" w:cs="Arial"/>
                <w:sz w:val="20"/>
                <w:szCs w:val="20"/>
              </w:rPr>
              <w:t>1,511,188,971</w:t>
            </w:r>
          </w:p>
        </w:tc>
        <w:tc>
          <w:tcPr>
            <w:tcW w:w="1566" w:type="dxa"/>
            <w:tcBorders>
              <w:top w:val="single" w:sz="4" w:space="0" w:color="auto"/>
              <w:left w:val="nil"/>
              <w:right w:val="nil"/>
            </w:tcBorders>
            <w:shd w:val="clear" w:color="auto" w:fill="auto"/>
            <w:vAlign w:val="center"/>
          </w:tcPr>
          <w:p w:rsidR="003268E9" w:rsidRPr="00753902" w:rsidRDefault="003268E9" w:rsidP="00B177D0">
            <w:pPr>
              <w:spacing w:after="0" w:line="240" w:lineRule="auto"/>
              <w:jc w:val="right"/>
              <w:rPr>
                <w:rFonts w:ascii="Arial Narrow" w:hAnsi="Arial Narrow" w:cs="Arial"/>
                <w:sz w:val="20"/>
                <w:szCs w:val="20"/>
              </w:rPr>
            </w:pPr>
            <w:r w:rsidRPr="00753902">
              <w:rPr>
                <w:rFonts w:ascii="Arial Narrow" w:hAnsi="Arial Narrow" w:cs="Arial"/>
                <w:sz w:val="20"/>
                <w:szCs w:val="20"/>
              </w:rPr>
              <w:t>1,390,65</w:t>
            </w:r>
            <w:r w:rsidR="00FE0D5F" w:rsidRPr="00753902">
              <w:rPr>
                <w:rFonts w:ascii="Arial Narrow" w:hAnsi="Arial Narrow" w:cs="Arial"/>
                <w:sz w:val="20"/>
                <w:szCs w:val="20"/>
              </w:rPr>
              <w:t>5</w:t>
            </w:r>
            <w:r w:rsidRPr="00753902">
              <w:rPr>
                <w:rFonts w:ascii="Arial Narrow" w:hAnsi="Arial Narrow" w:cs="Arial"/>
                <w:sz w:val="20"/>
                <w:szCs w:val="20"/>
              </w:rPr>
              <w:t>,48</w:t>
            </w:r>
            <w:r w:rsidR="00B177D0" w:rsidRPr="00753902">
              <w:rPr>
                <w:rFonts w:ascii="Arial Narrow" w:hAnsi="Arial Narrow" w:cs="Arial"/>
                <w:sz w:val="20"/>
                <w:szCs w:val="20"/>
              </w:rPr>
              <w:t>8</w:t>
            </w:r>
          </w:p>
        </w:tc>
        <w:tc>
          <w:tcPr>
            <w:tcW w:w="1566" w:type="dxa"/>
            <w:tcBorders>
              <w:top w:val="single" w:sz="4" w:space="0" w:color="auto"/>
              <w:left w:val="nil"/>
              <w:right w:val="nil"/>
            </w:tcBorders>
            <w:shd w:val="clear" w:color="auto" w:fill="auto"/>
            <w:vAlign w:val="center"/>
          </w:tcPr>
          <w:p w:rsidR="003268E9" w:rsidRPr="003268E9" w:rsidRDefault="00FE0D5F" w:rsidP="00B177D0">
            <w:pPr>
              <w:spacing w:after="0" w:line="240" w:lineRule="auto"/>
              <w:ind w:right="-49"/>
              <w:jc w:val="right"/>
              <w:rPr>
                <w:rFonts w:ascii="Arial Narrow" w:hAnsi="Arial Narrow" w:cs="Arial"/>
                <w:sz w:val="20"/>
                <w:szCs w:val="20"/>
              </w:rPr>
            </w:pPr>
            <w:r>
              <w:rPr>
                <w:rFonts w:ascii="Arial Narrow" w:hAnsi="Arial Narrow" w:cs="Arial"/>
                <w:sz w:val="20"/>
                <w:szCs w:val="20"/>
              </w:rPr>
              <w:t>120,533,48</w:t>
            </w:r>
            <w:r w:rsidR="00B177D0">
              <w:rPr>
                <w:rFonts w:ascii="Arial Narrow" w:hAnsi="Arial Narrow" w:cs="Arial"/>
                <w:sz w:val="20"/>
                <w:szCs w:val="20"/>
              </w:rPr>
              <w:t>3</w:t>
            </w:r>
          </w:p>
        </w:tc>
      </w:tr>
      <w:tr w:rsidR="003268E9" w:rsidRPr="00F02111" w:rsidTr="003268E9">
        <w:trPr>
          <w:trHeight w:val="263"/>
        </w:trPr>
        <w:tc>
          <w:tcPr>
            <w:tcW w:w="4016" w:type="dxa"/>
            <w:tcBorders>
              <w:left w:val="nil"/>
              <w:bottom w:val="single" w:sz="4" w:space="0" w:color="auto"/>
              <w:right w:val="nil"/>
            </w:tcBorders>
            <w:shd w:val="clear" w:color="auto" w:fill="auto"/>
            <w:noWrap/>
          </w:tcPr>
          <w:p w:rsidR="003268E9" w:rsidRPr="003268E9" w:rsidRDefault="003268E9" w:rsidP="003268E9">
            <w:pPr>
              <w:suppressAutoHyphens/>
              <w:snapToGrid w:val="0"/>
              <w:spacing w:after="0" w:line="240" w:lineRule="auto"/>
              <w:ind w:hanging="93"/>
              <w:rPr>
                <w:rFonts w:ascii="Arial Narrow" w:eastAsia="Times New Roman" w:hAnsi="Arial Narrow" w:cs="Arial"/>
                <w:bCs/>
                <w:sz w:val="20"/>
                <w:szCs w:val="20"/>
                <w:lang w:eastAsia="ar-SA"/>
              </w:rPr>
            </w:pPr>
            <w:r w:rsidRPr="003268E9">
              <w:rPr>
                <w:rFonts w:ascii="Arial Narrow" w:eastAsia="Times New Roman" w:hAnsi="Arial Narrow" w:cs="Arial"/>
                <w:bCs/>
                <w:sz w:val="20"/>
                <w:szCs w:val="20"/>
                <w:lang w:eastAsia="ar-SA"/>
              </w:rPr>
              <w:t>Other Comprehensive Loss for the period</w:t>
            </w:r>
          </w:p>
        </w:tc>
        <w:tc>
          <w:tcPr>
            <w:tcW w:w="1566" w:type="dxa"/>
            <w:tcBorders>
              <w:left w:val="nil"/>
              <w:bottom w:val="single" w:sz="4" w:space="0" w:color="auto"/>
              <w:right w:val="nil"/>
            </w:tcBorders>
            <w:shd w:val="clear" w:color="auto" w:fill="auto"/>
            <w:vAlign w:val="center"/>
          </w:tcPr>
          <w:p w:rsidR="003268E9" w:rsidRPr="003268E9" w:rsidRDefault="003268E9" w:rsidP="00A33BB3">
            <w:pPr>
              <w:spacing w:after="0" w:line="240" w:lineRule="auto"/>
              <w:jc w:val="right"/>
              <w:rPr>
                <w:rFonts w:ascii="Arial Narrow" w:hAnsi="Arial Narrow" w:cs="Arial"/>
                <w:sz w:val="20"/>
                <w:szCs w:val="20"/>
              </w:rPr>
            </w:pPr>
            <w:r w:rsidRPr="003268E9">
              <w:rPr>
                <w:rFonts w:ascii="Arial Narrow" w:hAnsi="Arial Narrow" w:cs="Arial"/>
                <w:sz w:val="20"/>
                <w:szCs w:val="20"/>
              </w:rPr>
              <w:t>(62,791,067)</w:t>
            </w:r>
          </w:p>
        </w:tc>
        <w:tc>
          <w:tcPr>
            <w:tcW w:w="1566" w:type="dxa"/>
            <w:tcBorders>
              <w:left w:val="nil"/>
              <w:bottom w:val="single" w:sz="4" w:space="0" w:color="auto"/>
              <w:right w:val="nil"/>
            </w:tcBorders>
            <w:shd w:val="clear" w:color="auto" w:fill="auto"/>
            <w:vAlign w:val="center"/>
          </w:tcPr>
          <w:p w:rsidR="003268E9" w:rsidRPr="00753902" w:rsidRDefault="003268E9" w:rsidP="00A33BB3">
            <w:pPr>
              <w:spacing w:after="0" w:line="240" w:lineRule="auto"/>
              <w:jc w:val="right"/>
              <w:rPr>
                <w:rFonts w:ascii="Arial Narrow" w:hAnsi="Arial Narrow" w:cs="Arial"/>
                <w:sz w:val="20"/>
                <w:szCs w:val="20"/>
              </w:rPr>
            </w:pPr>
            <w:r w:rsidRPr="00753902">
              <w:rPr>
                <w:rFonts w:ascii="Arial Narrow" w:hAnsi="Arial Narrow" w:cs="Arial"/>
                <w:sz w:val="20"/>
                <w:szCs w:val="20"/>
              </w:rPr>
              <w:t>(12,132,570)</w:t>
            </w:r>
          </w:p>
        </w:tc>
        <w:tc>
          <w:tcPr>
            <w:tcW w:w="1566" w:type="dxa"/>
            <w:tcBorders>
              <w:left w:val="nil"/>
              <w:bottom w:val="single" w:sz="4" w:space="0" w:color="auto"/>
              <w:right w:val="nil"/>
            </w:tcBorders>
            <w:shd w:val="clear" w:color="auto" w:fill="auto"/>
            <w:vAlign w:val="center"/>
          </w:tcPr>
          <w:p w:rsidR="003268E9" w:rsidRPr="003268E9" w:rsidRDefault="00FE0D5F" w:rsidP="00697A4E">
            <w:pPr>
              <w:spacing w:after="0" w:line="240" w:lineRule="auto"/>
              <w:ind w:right="-49"/>
              <w:jc w:val="right"/>
              <w:rPr>
                <w:rFonts w:ascii="Arial Narrow" w:hAnsi="Arial Narrow" w:cs="Arial"/>
                <w:sz w:val="20"/>
                <w:szCs w:val="20"/>
              </w:rPr>
            </w:pPr>
            <w:r>
              <w:rPr>
                <w:rFonts w:ascii="Arial Narrow" w:hAnsi="Arial Narrow" w:cs="Arial"/>
                <w:sz w:val="20"/>
                <w:szCs w:val="20"/>
              </w:rPr>
              <w:t>(</w:t>
            </w:r>
            <w:r w:rsidR="00697A4E">
              <w:rPr>
                <w:rFonts w:ascii="Arial Narrow" w:hAnsi="Arial Narrow" w:cs="Arial"/>
                <w:sz w:val="20"/>
                <w:szCs w:val="20"/>
              </w:rPr>
              <w:t>50,658,497)</w:t>
            </w:r>
          </w:p>
        </w:tc>
      </w:tr>
      <w:tr w:rsidR="00A33BB3" w:rsidRPr="00F02111" w:rsidTr="004F79DB">
        <w:trPr>
          <w:trHeight w:val="263"/>
        </w:trPr>
        <w:tc>
          <w:tcPr>
            <w:tcW w:w="4016" w:type="dxa"/>
            <w:tcBorders>
              <w:top w:val="single" w:sz="4" w:space="0" w:color="auto"/>
              <w:left w:val="nil"/>
              <w:bottom w:val="double" w:sz="4" w:space="0" w:color="auto"/>
              <w:right w:val="nil"/>
            </w:tcBorders>
            <w:shd w:val="clear" w:color="auto" w:fill="auto"/>
            <w:noWrap/>
          </w:tcPr>
          <w:p w:rsidR="00A33BB3" w:rsidRPr="003268E9" w:rsidRDefault="003268E9" w:rsidP="003268E9">
            <w:pPr>
              <w:suppressAutoHyphens/>
              <w:snapToGrid w:val="0"/>
              <w:spacing w:after="0" w:line="240" w:lineRule="auto"/>
              <w:ind w:hanging="93"/>
              <w:rPr>
                <w:rFonts w:ascii="Arial Narrow" w:eastAsia="Times New Roman" w:hAnsi="Arial Narrow" w:cs="Arial"/>
                <w:b/>
                <w:bCs/>
                <w:sz w:val="20"/>
                <w:szCs w:val="20"/>
                <w:lang w:eastAsia="ar-SA"/>
              </w:rPr>
            </w:pPr>
            <w:r w:rsidRPr="003268E9">
              <w:rPr>
                <w:rFonts w:ascii="Arial Narrow" w:eastAsia="Times New Roman" w:hAnsi="Arial Narrow" w:cs="Arial"/>
                <w:b/>
                <w:bCs/>
                <w:sz w:val="20"/>
                <w:szCs w:val="20"/>
                <w:lang w:eastAsia="ar-SA"/>
              </w:rPr>
              <w:t>Total Comprehensive Income</w:t>
            </w:r>
          </w:p>
        </w:tc>
        <w:tc>
          <w:tcPr>
            <w:tcW w:w="1566" w:type="dxa"/>
            <w:tcBorders>
              <w:top w:val="single" w:sz="4" w:space="0" w:color="auto"/>
              <w:left w:val="nil"/>
              <w:bottom w:val="double" w:sz="4" w:space="0" w:color="auto"/>
              <w:right w:val="nil"/>
            </w:tcBorders>
            <w:shd w:val="clear" w:color="auto" w:fill="auto"/>
            <w:vAlign w:val="center"/>
          </w:tcPr>
          <w:p w:rsidR="00A33BB3" w:rsidRPr="003268E9" w:rsidRDefault="003268E9" w:rsidP="00A33BB3">
            <w:pPr>
              <w:spacing w:after="0" w:line="240" w:lineRule="auto"/>
              <w:jc w:val="right"/>
              <w:rPr>
                <w:rFonts w:ascii="Arial Narrow" w:hAnsi="Arial Narrow" w:cs="Arial"/>
                <w:b/>
                <w:sz w:val="20"/>
                <w:szCs w:val="20"/>
              </w:rPr>
            </w:pPr>
            <w:r w:rsidRPr="003268E9">
              <w:rPr>
                <w:rFonts w:ascii="Arial Narrow" w:hAnsi="Arial Narrow" w:cs="Arial"/>
                <w:b/>
                <w:sz w:val="20"/>
                <w:szCs w:val="20"/>
              </w:rPr>
              <w:t>1,448,397,904</w:t>
            </w:r>
          </w:p>
        </w:tc>
        <w:tc>
          <w:tcPr>
            <w:tcW w:w="1566" w:type="dxa"/>
            <w:tcBorders>
              <w:top w:val="single" w:sz="4" w:space="0" w:color="auto"/>
              <w:left w:val="nil"/>
              <w:bottom w:val="double" w:sz="4" w:space="0" w:color="auto"/>
              <w:right w:val="nil"/>
            </w:tcBorders>
            <w:shd w:val="clear" w:color="auto" w:fill="auto"/>
            <w:vAlign w:val="center"/>
          </w:tcPr>
          <w:p w:rsidR="00A33BB3" w:rsidRPr="00753902" w:rsidRDefault="003268E9" w:rsidP="00B177D0">
            <w:pPr>
              <w:spacing w:after="0" w:line="240" w:lineRule="auto"/>
              <w:jc w:val="right"/>
              <w:rPr>
                <w:rFonts w:ascii="Arial Narrow" w:hAnsi="Arial Narrow" w:cs="Arial"/>
                <w:b/>
                <w:sz w:val="20"/>
                <w:szCs w:val="20"/>
              </w:rPr>
            </w:pPr>
            <w:r w:rsidRPr="00753902">
              <w:rPr>
                <w:rFonts w:ascii="Arial Narrow" w:hAnsi="Arial Narrow" w:cs="Arial"/>
                <w:b/>
                <w:sz w:val="20"/>
                <w:szCs w:val="20"/>
              </w:rPr>
              <w:t>1,378,522,91</w:t>
            </w:r>
            <w:r w:rsidR="00B177D0" w:rsidRPr="00753902">
              <w:rPr>
                <w:rFonts w:ascii="Arial Narrow" w:hAnsi="Arial Narrow" w:cs="Arial"/>
                <w:b/>
                <w:sz w:val="20"/>
                <w:szCs w:val="20"/>
              </w:rPr>
              <w:t>8</w:t>
            </w:r>
          </w:p>
        </w:tc>
        <w:tc>
          <w:tcPr>
            <w:tcW w:w="1566" w:type="dxa"/>
            <w:tcBorders>
              <w:top w:val="single" w:sz="4" w:space="0" w:color="auto"/>
              <w:left w:val="nil"/>
              <w:bottom w:val="double" w:sz="4" w:space="0" w:color="auto"/>
              <w:right w:val="nil"/>
            </w:tcBorders>
            <w:shd w:val="clear" w:color="auto" w:fill="auto"/>
            <w:vAlign w:val="center"/>
          </w:tcPr>
          <w:p w:rsidR="00A33BB3" w:rsidRPr="003268E9" w:rsidRDefault="00697A4E" w:rsidP="00B177D0">
            <w:pPr>
              <w:spacing w:after="0" w:line="240" w:lineRule="auto"/>
              <w:ind w:right="-49"/>
              <w:jc w:val="right"/>
              <w:rPr>
                <w:rFonts w:ascii="Arial Narrow" w:hAnsi="Arial Narrow" w:cs="Arial"/>
                <w:b/>
                <w:sz w:val="20"/>
                <w:szCs w:val="20"/>
              </w:rPr>
            </w:pPr>
            <w:r>
              <w:rPr>
                <w:rFonts w:ascii="Arial Narrow" w:hAnsi="Arial Narrow" w:cs="Arial"/>
                <w:b/>
                <w:sz w:val="20"/>
                <w:szCs w:val="20"/>
              </w:rPr>
              <w:t>69,874,98</w:t>
            </w:r>
            <w:r w:rsidR="00B177D0">
              <w:rPr>
                <w:rFonts w:ascii="Arial Narrow" w:hAnsi="Arial Narrow" w:cs="Arial"/>
                <w:b/>
                <w:sz w:val="20"/>
                <w:szCs w:val="20"/>
              </w:rPr>
              <w:t>6</w:t>
            </w:r>
          </w:p>
        </w:tc>
      </w:tr>
    </w:tbl>
    <w:p w:rsidR="00A33BB3" w:rsidRPr="00F02111" w:rsidRDefault="00A33BB3" w:rsidP="009F5D8E">
      <w:pPr>
        <w:pStyle w:val="ListParagraph"/>
        <w:jc w:val="both"/>
        <w:rPr>
          <w:rFonts w:ascii="Arial" w:hAnsi="Arial" w:cs="Arial"/>
          <w:b/>
          <w:sz w:val="20"/>
          <w:szCs w:val="20"/>
        </w:rPr>
      </w:pPr>
    </w:p>
    <w:p w:rsidR="00491F60" w:rsidRPr="00F02111" w:rsidRDefault="00491F60" w:rsidP="00491F60">
      <w:pPr>
        <w:pStyle w:val="ListParagraph"/>
        <w:numPr>
          <w:ilvl w:val="0"/>
          <w:numId w:val="27"/>
        </w:numPr>
        <w:ind w:left="720"/>
        <w:jc w:val="both"/>
        <w:rPr>
          <w:rFonts w:ascii="Arial" w:hAnsi="Arial" w:cs="Arial"/>
          <w:b/>
          <w:sz w:val="20"/>
          <w:szCs w:val="20"/>
        </w:rPr>
      </w:pPr>
      <w:r w:rsidRPr="00F02111">
        <w:rPr>
          <w:rFonts w:ascii="Arial" w:hAnsi="Arial" w:cs="Arial"/>
          <w:b/>
          <w:sz w:val="20"/>
          <w:szCs w:val="20"/>
        </w:rPr>
        <w:t>Comparison of 2018 Budget and Actual Amounts on Comparable Basis</w:t>
      </w:r>
    </w:p>
    <w:p w:rsidR="00D7617B" w:rsidRPr="00F02111" w:rsidRDefault="00D7617B" w:rsidP="00F71F1D">
      <w:pPr>
        <w:spacing w:after="0" w:line="240" w:lineRule="auto"/>
        <w:jc w:val="both"/>
        <w:rPr>
          <w:rFonts w:ascii="Arial" w:hAnsi="Arial" w:cs="Arial"/>
          <w:sz w:val="20"/>
          <w:szCs w:val="20"/>
        </w:rPr>
      </w:pPr>
    </w:p>
    <w:tbl>
      <w:tblPr>
        <w:tblW w:w="8748" w:type="dxa"/>
        <w:jc w:val="center"/>
        <w:tblLook w:val="04A0" w:firstRow="1" w:lastRow="0" w:firstColumn="1" w:lastColumn="0" w:noHBand="0" w:noVBand="1"/>
      </w:tblPr>
      <w:tblGrid>
        <w:gridCol w:w="265"/>
        <w:gridCol w:w="3155"/>
        <w:gridCol w:w="1885"/>
        <w:gridCol w:w="1894"/>
        <w:gridCol w:w="1549"/>
      </w:tblGrid>
      <w:tr w:rsidR="00931C6F" w:rsidRPr="00F02111" w:rsidTr="00697A4E">
        <w:trPr>
          <w:trHeight w:val="350"/>
          <w:jc w:val="center"/>
        </w:trPr>
        <w:tc>
          <w:tcPr>
            <w:tcW w:w="265" w:type="dxa"/>
            <w:tcBorders>
              <w:top w:val="single" w:sz="4" w:space="0" w:color="auto"/>
              <w:left w:val="nil"/>
              <w:bottom w:val="single" w:sz="4" w:space="0" w:color="auto"/>
              <w:right w:val="nil"/>
            </w:tcBorders>
            <w:shd w:val="clear" w:color="auto" w:fill="auto"/>
            <w:vAlign w:val="center"/>
            <w:hideMark/>
          </w:tcPr>
          <w:p w:rsidR="00931C6F" w:rsidRPr="003268E9" w:rsidRDefault="00931C6F" w:rsidP="00CF1423">
            <w:pPr>
              <w:spacing w:after="0" w:line="240" w:lineRule="auto"/>
              <w:jc w:val="right"/>
              <w:rPr>
                <w:rFonts w:ascii="Arial Narrow" w:eastAsia="Times New Roman" w:hAnsi="Arial Narrow" w:cs="Arial"/>
                <w:b/>
                <w:bCs/>
                <w:color w:val="000000"/>
                <w:sz w:val="18"/>
                <w:szCs w:val="18"/>
                <w:lang w:val="en-US"/>
              </w:rPr>
            </w:pPr>
          </w:p>
        </w:tc>
        <w:tc>
          <w:tcPr>
            <w:tcW w:w="3155" w:type="dxa"/>
            <w:tcBorders>
              <w:top w:val="single" w:sz="4" w:space="0" w:color="auto"/>
              <w:left w:val="nil"/>
              <w:bottom w:val="single" w:sz="4" w:space="0" w:color="auto"/>
              <w:right w:val="nil"/>
            </w:tcBorders>
            <w:vAlign w:val="center"/>
          </w:tcPr>
          <w:p w:rsidR="00931C6F" w:rsidRPr="003268E9" w:rsidRDefault="00931C6F" w:rsidP="00CF1423">
            <w:pPr>
              <w:spacing w:after="0" w:line="240" w:lineRule="auto"/>
              <w:ind w:left="-108" w:right="-108"/>
              <w:jc w:val="right"/>
              <w:rPr>
                <w:rFonts w:ascii="Arial Narrow" w:eastAsia="Times New Roman" w:hAnsi="Arial Narrow" w:cs="Arial"/>
                <w:b/>
                <w:bCs/>
                <w:color w:val="000000"/>
                <w:sz w:val="18"/>
                <w:szCs w:val="18"/>
                <w:lang w:val="en-US"/>
              </w:rPr>
            </w:pPr>
          </w:p>
        </w:tc>
        <w:tc>
          <w:tcPr>
            <w:tcW w:w="1885" w:type="dxa"/>
            <w:tcBorders>
              <w:top w:val="single" w:sz="4" w:space="0" w:color="auto"/>
              <w:left w:val="nil"/>
              <w:bottom w:val="single" w:sz="4" w:space="0" w:color="auto"/>
              <w:right w:val="nil"/>
            </w:tcBorders>
            <w:shd w:val="clear" w:color="auto" w:fill="auto"/>
            <w:vAlign w:val="center"/>
            <w:hideMark/>
          </w:tcPr>
          <w:p w:rsidR="00931C6F" w:rsidRPr="003268E9" w:rsidRDefault="005B6E45" w:rsidP="00CF1423">
            <w:pPr>
              <w:spacing w:after="0" w:line="240" w:lineRule="auto"/>
              <w:ind w:left="-108" w:right="-108"/>
              <w:jc w:val="center"/>
              <w:rPr>
                <w:rFonts w:ascii="Arial Narrow" w:eastAsia="Times New Roman" w:hAnsi="Arial Narrow" w:cs="Arial"/>
                <w:b/>
                <w:bCs/>
                <w:color w:val="000000"/>
                <w:sz w:val="18"/>
                <w:szCs w:val="18"/>
                <w:lang w:val="en-US"/>
              </w:rPr>
            </w:pPr>
            <w:r w:rsidRPr="003268E9">
              <w:rPr>
                <w:rFonts w:ascii="Arial Narrow" w:eastAsia="Times New Roman" w:hAnsi="Arial Narrow" w:cs="Arial"/>
                <w:b/>
                <w:bCs/>
                <w:color w:val="000000"/>
                <w:sz w:val="18"/>
                <w:szCs w:val="18"/>
                <w:lang w:val="en-US"/>
              </w:rPr>
              <w:t xml:space="preserve">Approved </w:t>
            </w:r>
            <w:r w:rsidR="0084243F" w:rsidRPr="003268E9">
              <w:rPr>
                <w:rFonts w:ascii="Arial Narrow" w:eastAsia="Times New Roman" w:hAnsi="Arial Narrow" w:cs="Arial"/>
                <w:b/>
                <w:bCs/>
                <w:color w:val="000000"/>
                <w:sz w:val="18"/>
                <w:szCs w:val="18"/>
                <w:lang w:val="en-US"/>
              </w:rPr>
              <w:t>Corporate Operating Budget</w:t>
            </w:r>
          </w:p>
        </w:tc>
        <w:tc>
          <w:tcPr>
            <w:tcW w:w="1894" w:type="dxa"/>
            <w:tcBorders>
              <w:top w:val="single" w:sz="4" w:space="0" w:color="auto"/>
              <w:left w:val="nil"/>
              <w:bottom w:val="single" w:sz="4" w:space="0" w:color="auto"/>
              <w:right w:val="nil"/>
            </w:tcBorders>
            <w:shd w:val="clear" w:color="auto" w:fill="auto"/>
            <w:vAlign w:val="center"/>
            <w:hideMark/>
          </w:tcPr>
          <w:p w:rsidR="00931C6F" w:rsidRPr="003268E9" w:rsidRDefault="00931C6F" w:rsidP="00CF1423">
            <w:pPr>
              <w:spacing w:after="0" w:line="240" w:lineRule="auto"/>
              <w:jc w:val="right"/>
              <w:rPr>
                <w:rFonts w:ascii="Arial Narrow" w:eastAsia="Times New Roman" w:hAnsi="Arial Narrow" w:cs="Arial"/>
                <w:b/>
                <w:bCs/>
                <w:color w:val="000000"/>
                <w:sz w:val="18"/>
                <w:szCs w:val="18"/>
                <w:lang w:val="en-US"/>
              </w:rPr>
            </w:pPr>
            <w:r w:rsidRPr="003268E9">
              <w:rPr>
                <w:rFonts w:ascii="Arial Narrow" w:eastAsia="Times New Roman" w:hAnsi="Arial Narrow" w:cs="Arial"/>
                <w:b/>
                <w:bCs/>
                <w:color w:val="000000"/>
                <w:sz w:val="18"/>
                <w:szCs w:val="18"/>
                <w:lang w:val="en-US"/>
              </w:rPr>
              <w:t>Actual</w:t>
            </w:r>
            <w:r w:rsidR="0084243F" w:rsidRPr="003268E9">
              <w:rPr>
                <w:rFonts w:ascii="Arial Narrow" w:eastAsia="Times New Roman" w:hAnsi="Arial Narrow" w:cs="Arial"/>
                <w:b/>
                <w:bCs/>
                <w:color w:val="000000"/>
                <w:sz w:val="18"/>
                <w:szCs w:val="18"/>
                <w:lang w:val="en-US"/>
              </w:rPr>
              <w:t xml:space="preserve"> Amounts on Comparable Basis</w:t>
            </w:r>
          </w:p>
        </w:tc>
        <w:tc>
          <w:tcPr>
            <w:tcW w:w="1549" w:type="dxa"/>
            <w:tcBorders>
              <w:top w:val="single" w:sz="4" w:space="0" w:color="auto"/>
              <w:left w:val="nil"/>
              <w:bottom w:val="single" w:sz="4" w:space="0" w:color="auto"/>
              <w:right w:val="nil"/>
            </w:tcBorders>
            <w:shd w:val="clear" w:color="auto" w:fill="auto"/>
            <w:vAlign w:val="bottom"/>
            <w:hideMark/>
          </w:tcPr>
          <w:p w:rsidR="00931C6F" w:rsidRPr="003268E9" w:rsidRDefault="00931C6F" w:rsidP="00697A4E">
            <w:pPr>
              <w:spacing w:after="0" w:line="240" w:lineRule="auto"/>
              <w:ind w:right="-108"/>
              <w:jc w:val="right"/>
              <w:rPr>
                <w:rFonts w:ascii="Arial Narrow" w:eastAsia="Times New Roman" w:hAnsi="Arial Narrow" w:cs="Arial"/>
                <w:b/>
                <w:bCs/>
                <w:color w:val="000000"/>
                <w:sz w:val="18"/>
                <w:szCs w:val="18"/>
                <w:lang w:val="en-US"/>
              </w:rPr>
            </w:pPr>
            <w:r w:rsidRPr="003268E9">
              <w:rPr>
                <w:rFonts w:ascii="Arial Narrow" w:eastAsia="Times New Roman" w:hAnsi="Arial Narrow" w:cs="Arial"/>
                <w:b/>
                <w:bCs/>
                <w:color w:val="000000"/>
                <w:sz w:val="18"/>
                <w:szCs w:val="18"/>
                <w:lang w:val="en-US"/>
              </w:rPr>
              <w:t>Variance</w:t>
            </w:r>
          </w:p>
        </w:tc>
      </w:tr>
      <w:tr w:rsidR="00931C6F" w:rsidRPr="00F02111" w:rsidTr="004D0C94">
        <w:trPr>
          <w:trHeight w:val="107"/>
          <w:jc w:val="center"/>
        </w:trPr>
        <w:tc>
          <w:tcPr>
            <w:tcW w:w="3420" w:type="dxa"/>
            <w:gridSpan w:val="2"/>
            <w:tcBorders>
              <w:top w:val="single" w:sz="4" w:space="0" w:color="auto"/>
              <w:left w:val="nil"/>
              <w:bottom w:val="nil"/>
              <w:right w:val="nil"/>
            </w:tcBorders>
            <w:shd w:val="clear" w:color="auto" w:fill="auto"/>
            <w:vAlign w:val="center"/>
          </w:tcPr>
          <w:p w:rsidR="00931C6F" w:rsidRPr="003268E9" w:rsidRDefault="00931C6F" w:rsidP="00CF1423">
            <w:pPr>
              <w:suppressAutoHyphens/>
              <w:snapToGrid w:val="0"/>
              <w:spacing w:after="0" w:line="240" w:lineRule="auto"/>
              <w:rPr>
                <w:rFonts w:ascii="Arial Narrow" w:eastAsia="Times New Roman" w:hAnsi="Arial Narrow" w:cs="Arial"/>
                <w:bCs/>
                <w:sz w:val="18"/>
                <w:szCs w:val="18"/>
                <w:lang w:eastAsia="ar-SA"/>
              </w:rPr>
            </w:pPr>
            <w:r w:rsidRPr="003268E9">
              <w:rPr>
                <w:rFonts w:ascii="Arial Narrow" w:eastAsia="Times New Roman" w:hAnsi="Arial Narrow" w:cs="Arial"/>
                <w:bCs/>
                <w:sz w:val="18"/>
                <w:szCs w:val="18"/>
                <w:lang w:eastAsia="ar-SA"/>
              </w:rPr>
              <w:t>Operating Fund</w:t>
            </w:r>
          </w:p>
        </w:tc>
        <w:tc>
          <w:tcPr>
            <w:tcW w:w="1885" w:type="dxa"/>
            <w:tcBorders>
              <w:top w:val="single" w:sz="4" w:space="0" w:color="auto"/>
              <w:left w:val="nil"/>
              <w:bottom w:val="nil"/>
              <w:right w:val="nil"/>
            </w:tcBorders>
            <w:shd w:val="clear" w:color="auto" w:fill="auto"/>
            <w:vAlign w:val="center"/>
          </w:tcPr>
          <w:p w:rsidR="00931C6F" w:rsidRPr="003268E9" w:rsidRDefault="00931C6F" w:rsidP="00CF1423">
            <w:pPr>
              <w:suppressAutoHyphens/>
              <w:snapToGrid w:val="0"/>
              <w:spacing w:after="0" w:line="240" w:lineRule="auto"/>
              <w:jc w:val="right"/>
              <w:rPr>
                <w:rFonts w:ascii="Arial Narrow" w:eastAsia="Times New Roman" w:hAnsi="Arial Narrow" w:cs="Arial"/>
                <w:bCs/>
                <w:sz w:val="18"/>
                <w:szCs w:val="18"/>
                <w:lang w:eastAsia="ar-SA"/>
              </w:rPr>
            </w:pPr>
          </w:p>
        </w:tc>
        <w:tc>
          <w:tcPr>
            <w:tcW w:w="1894" w:type="dxa"/>
            <w:tcBorders>
              <w:top w:val="single" w:sz="4" w:space="0" w:color="auto"/>
              <w:left w:val="nil"/>
              <w:bottom w:val="nil"/>
              <w:right w:val="nil"/>
            </w:tcBorders>
            <w:shd w:val="clear" w:color="auto" w:fill="auto"/>
            <w:vAlign w:val="center"/>
          </w:tcPr>
          <w:p w:rsidR="00931C6F" w:rsidRPr="003268E9" w:rsidRDefault="00931C6F" w:rsidP="00CF1423">
            <w:pPr>
              <w:suppressAutoHyphens/>
              <w:snapToGrid w:val="0"/>
              <w:spacing w:after="0" w:line="240" w:lineRule="auto"/>
              <w:jc w:val="right"/>
              <w:rPr>
                <w:rFonts w:ascii="Arial Narrow" w:eastAsia="Times New Roman" w:hAnsi="Arial Narrow" w:cs="Arial"/>
                <w:bCs/>
                <w:sz w:val="18"/>
                <w:szCs w:val="18"/>
                <w:lang w:eastAsia="ar-SA"/>
              </w:rPr>
            </w:pPr>
          </w:p>
        </w:tc>
        <w:tc>
          <w:tcPr>
            <w:tcW w:w="1549" w:type="dxa"/>
            <w:tcBorders>
              <w:top w:val="single" w:sz="4" w:space="0" w:color="auto"/>
              <w:left w:val="nil"/>
              <w:bottom w:val="nil"/>
              <w:right w:val="nil"/>
            </w:tcBorders>
            <w:shd w:val="clear" w:color="auto" w:fill="auto"/>
            <w:vAlign w:val="center"/>
          </w:tcPr>
          <w:p w:rsidR="00931C6F" w:rsidRPr="003268E9" w:rsidRDefault="00931C6F" w:rsidP="00CF1423">
            <w:pPr>
              <w:spacing w:after="0" w:line="240" w:lineRule="auto"/>
              <w:ind w:right="-108"/>
              <w:jc w:val="right"/>
              <w:rPr>
                <w:rFonts w:ascii="Arial Narrow" w:eastAsia="Times New Roman" w:hAnsi="Arial Narrow" w:cs="Arial"/>
                <w:color w:val="000000"/>
                <w:sz w:val="18"/>
                <w:szCs w:val="18"/>
                <w:lang w:val="en-US"/>
              </w:rPr>
            </w:pPr>
          </w:p>
        </w:tc>
      </w:tr>
      <w:tr w:rsidR="00CF1423" w:rsidRPr="00F02111" w:rsidTr="004D0C94">
        <w:trPr>
          <w:trHeight w:val="171"/>
          <w:jc w:val="center"/>
        </w:trPr>
        <w:tc>
          <w:tcPr>
            <w:tcW w:w="265" w:type="dxa"/>
            <w:tcBorders>
              <w:top w:val="nil"/>
              <w:left w:val="nil"/>
              <w:right w:val="nil"/>
            </w:tcBorders>
            <w:shd w:val="clear" w:color="auto" w:fill="auto"/>
            <w:vAlign w:val="center"/>
          </w:tcPr>
          <w:p w:rsidR="00CF1423" w:rsidRPr="003268E9" w:rsidRDefault="00CF1423" w:rsidP="00CF1423">
            <w:pPr>
              <w:suppressAutoHyphens/>
              <w:snapToGrid w:val="0"/>
              <w:spacing w:after="0" w:line="240" w:lineRule="auto"/>
              <w:jc w:val="right"/>
              <w:rPr>
                <w:rFonts w:ascii="Arial Narrow" w:eastAsia="Times New Roman" w:hAnsi="Arial Narrow" w:cs="Arial"/>
                <w:bCs/>
                <w:sz w:val="18"/>
                <w:szCs w:val="18"/>
                <w:lang w:eastAsia="ar-SA"/>
              </w:rPr>
            </w:pPr>
          </w:p>
        </w:tc>
        <w:tc>
          <w:tcPr>
            <w:tcW w:w="3155" w:type="dxa"/>
            <w:tcBorders>
              <w:top w:val="nil"/>
              <w:left w:val="nil"/>
              <w:right w:val="nil"/>
            </w:tcBorders>
            <w:vAlign w:val="center"/>
          </w:tcPr>
          <w:p w:rsidR="00CF1423" w:rsidRPr="003268E9" w:rsidRDefault="00CF1423" w:rsidP="00CF1423">
            <w:pPr>
              <w:suppressAutoHyphens/>
              <w:snapToGrid w:val="0"/>
              <w:spacing w:after="0" w:line="240" w:lineRule="auto"/>
              <w:rPr>
                <w:rFonts w:ascii="Arial Narrow" w:eastAsia="Times New Roman" w:hAnsi="Arial Narrow" w:cs="Arial"/>
                <w:bCs/>
                <w:sz w:val="18"/>
                <w:szCs w:val="18"/>
                <w:lang w:eastAsia="ar-SA"/>
              </w:rPr>
            </w:pPr>
            <w:r w:rsidRPr="003268E9">
              <w:rPr>
                <w:rFonts w:ascii="Arial Narrow" w:eastAsia="Times New Roman" w:hAnsi="Arial Narrow" w:cs="Arial"/>
                <w:bCs/>
                <w:sz w:val="18"/>
                <w:szCs w:val="18"/>
                <w:lang w:eastAsia="ar-SA"/>
              </w:rPr>
              <w:t>Personnel Services</w:t>
            </w:r>
          </w:p>
        </w:tc>
        <w:tc>
          <w:tcPr>
            <w:tcW w:w="1885" w:type="dxa"/>
            <w:tcBorders>
              <w:top w:val="nil"/>
              <w:left w:val="nil"/>
              <w:right w:val="nil"/>
            </w:tcBorders>
            <w:shd w:val="clear" w:color="auto" w:fill="auto"/>
            <w:vAlign w:val="center"/>
          </w:tcPr>
          <w:p w:rsidR="00CF1423" w:rsidRPr="003268E9" w:rsidRDefault="00CF1423" w:rsidP="00B177D0">
            <w:pPr>
              <w:spacing w:after="0"/>
              <w:jc w:val="right"/>
              <w:rPr>
                <w:rFonts w:ascii="Arial Narrow" w:hAnsi="Arial Narrow" w:cs="Arial"/>
                <w:sz w:val="18"/>
                <w:szCs w:val="18"/>
              </w:rPr>
            </w:pPr>
            <w:r w:rsidRPr="003268E9">
              <w:rPr>
                <w:rFonts w:ascii="Arial Narrow" w:hAnsi="Arial Narrow" w:cs="Arial"/>
                <w:sz w:val="18"/>
                <w:szCs w:val="18"/>
              </w:rPr>
              <w:t>1,208,819,000</w:t>
            </w:r>
          </w:p>
        </w:tc>
        <w:tc>
          <w:tcPr>
            <w:tcW w:w="1894" w:type="dxa"/>
            <w:tcBorders>
              <w:top w:val="nil"/>
              <w:left w:val="nil"/>
              <w:right w:val="nil"/>
            </w:tcBorders>
            <w:shd w:val="clear" w:color="auto" w:fill="auto"/>
            <w:vAlign w:val="center"/>
          </w:tcPr>
          <w:p w:rsidR="00CF1423" w:rsidRPr="003268E9" w:rsidRDefault="00CF1423" w:rsidP="00B177D0">
            <w:pPr>
              <w:spacing w:after="0"/>
              <w:jc w:val="right"/>
              <w:rPr>
                <w:rFonts w:ascii="Arial Narrow" w:hAnsi="Arial Narrow" w:cs="Arial"/>
                <w:sz w:val="18"/>
                <w:szCs w:val="18"/>
              </w:rPr>
            </w:pPr>
            <w:r w:rsidRPr="003268E9">
              <w:rPr>
                <w:rFonts w:ascii="Arial Narrow" w:hAnsi="Arial Narrow" w:cs="Arial"/>
                <w:sz w:val="18"/>
                <w:szCs w:val="18"/>
              </w:rPr>
              <w:t>909,557,281</w:t>
            </w:r>
          </w:p>
        </w:tc>
        <w:tc>
          <w:tcPr>
            <w:tcW w:w="1549" w:type="dxa"/>
            <w:tcBorders>
              <w:top w:val="nil"/>
              <w:left w:val="nil"/>
              <w:right w:val="nil"/>
            </w:tcBorders>
            <w:shd w:val="clear" w:color="auto" w:fill="auto"/>
            <w:vAlign w:val="center"/>
          </w:tcPr>
          <w:p w:rsidR="00CF1423" w:rsidRPr="003268E9" w:rsidRDefault="00CF1423" w:rsidP="00B177D0">
            <w:pPr>
              <w:spacing w:after="0"/>
              <w:ind w:right="-54"/>
              <w:jc w:val="right"/>
              <w:rPr>
                <w:rFonts w:ascii="Arial Narrow" w:hAnsi="Arial Narrow" w:cs="Arial"/>
                <w:sz w:val="18"/>
                <w:szCs w:val="18"/>
              </w:rPr>
            </w:pPr>
            <w:r w:rsidRPr="003268E9">
              <w:rPr>
                <w:rFonts w:ascii="Arial Narrow" w:hAnsi="Arial Narrow" w:cs="Arial"/>
                <w:sz w:val="18"/>
                <w:szCs w:val="18"/>
              </w:rPr>
              <w:t>299,261,719</w:t>
            </w:r>
          </w:p>
        </w:tc>
      </w:tr>
      <w:tr w:rsidR="00CF1423" w:rsidRPr="00F02111" w:rsidTr="004D0C94">
        <w:trPr>
          <w:trHeight w:val="198"/>
          <w:jc w:val="center"/>
        </w:trPr>
        <w:tc>
          <w:tcPr>
            <w:tcW w:w="265" w:type="dxa"/>
            <w:tcBorders>
              <w:top w:val="nil"/>
              <w:left w:val="nil"/>
              <w:right w:val="nil"/>
            </w:tcBorders>
            <w:shd w:val="clear" w:color="auto" w:fill="auto"/>
            <w:vAlign w:val="center"/>
          </w:tcPr>
          <w:p w:rsidR="00CF1423" w:rsidRPr="003268E9" w:rsidRDefault="00CF1423" w:rsidP="00CF1423">
            <w:pPr>
              <w:suppressAutoHyphens/>
              <w:snapToGrid w:val="0"/>
              <w:spacing w:after="0" w:line="240" w:lineRule="auto"/>
              <w:rPr>
                <w:rFonts w:ascii="Arial Narrow" w:eastAsia="Times New Roman" w:hAnsi="Arial Narrow" w:cs="Arial"/>
                <w:bCs/>
                <w:sz w:val="18"/>
                <w:szCs w:val="18"/>
                <w:lang w:eastAsia="ar-SA"/>
              </w:rPr>
            </w:pPr>
          </w:p>
        </w:tc>
        <w:tc>
          <w:tcPr>
            <w:tcW w:w="3155" w:type="dxa"/>
            <w:tcBorders>
              <w:top w:val="nil"/>
              <w:left w:val="nil"/>
              <w:right w:val="nil"/>
            </w:tcBorders>
            <w:vAlign w:val="center"/>
          </w:tcPr>
          <w:p w:rsidR="00CF1423" w:rsidRPr="003268E9" w:rsidRDefault="00CF1423" w:rsidP="00CF1423">
            <w:pPr>
              <w:suppressAutoHyphens/>
              <w:snapToGrid w:val="0"/>
              <w:spacing w:after="0" w:line="240" w:lineRule="auto"/>
              <w:rPr>
                <w:rFonts w:ascii="Arial Narrow" w:eastAsia="Times New Roman" w:hAnsi="Arial Narrow" w:cs="Arial"/>
                <w:bCs/>
                <w:sz w:val="18"/>
                <w:szCs w:val="18"/>
                <w:lang w:eastAsia="ar-SA"/>
              </w:rPr>
            </w:pPr>
            <w:r w:rsidRPr="003268E9">
              <w:rPr>
                <w:rFonts w:ascii="Arial Narrow" w:eastAsia="Times New Roman" w:hAnsi="Arial Narrow" w:cs="Arial"/>
                <w:bCs/>
                <w:sz w:val="18"/>
                <w:szCs w:val="18"/>
                <w:lang w:eastAsia="ar-SA"/>
              </w:rPr>
              <w:t>Maintenance and Other Operating Expenses</w:t>
            </w:r>
          </w:p>
        </w:tc>
        <w:tc>
          <w:tcPr>
            <w:tcW w:w="1885" w:type="dxa"/>
            <w:tcBorders>
              <w:top w:val="nil"/>
              <w:left w:val="nil"/>
              <w:right w:val="nil"/>
            </w:tcBorders>
            <w:shd w:val="clear" w:color="auto" w:fill="auto"/>
            <w:vAlign w:val="center"/>
          </w:tcPr>
          <w:p w:rsidR="00CF1423" w:rsidRPr="003268E9" w:rsidRDefault="00CF1423" w:rsidP="00B177D0">
            <w:pPr>
              <w:spacing w:after="0"/>
              <w:jc w:val="right"/>
              <w:rPr>
                <w:rFonts w:ascii="Arial Narrow" w:hAnsi="Arial Narrow" w:cs="Arial"/>
                <w:sz w:val="18"/>
                <w:szCs w:val="18"/>
              </w:rPr>
            </w:pPr>
            <w:r w:rsidRPr="003268E9">
              <w:rPr>
                <w:rFonts w:ascii="Arial Narrow" w:hAnsi="Arial Narrow" w:cs="Arial"/>
                <w:sz w:val="18"/>
                <w:szCs w:val="18"/>
              </w:rPr>
              <w:t>6,136,013,000</w:t>
            </w:r>
          </w:p>
        </w:tc>
        <w:tc>
          <w:tcPr>
            <w:tcW w:w="1894" w:type="dxa"/>
            <w:tcBorders>
              <w:top w:val="nil"/>
              <w:left w:val="nil"/>
              <w:right w:val="nil"/>
            </w:tcBorders>
            <w:shd w:val="clear" w:color="auto" w:fill="auto"/>
            <w:vAlign w:val="center"/>
          </w:tcPr>
          <w:p w:rsidR="00CF1423" w:rsidRPr="003268E9" w:rsidRDefault="00CF1423" w:rsidP="00B177D0">
            <w:pPr>
              <w:spacing w:after="0"/>
              <w:jc w:val="right"/>
              <w:rPr>
                <w:rFonts w:ascii="Arial Narrow" w:hAnsi="Arial Narrow" w:cs="Arial"/>
                <w:sz w:val="18"/>
                <w:szCs w:val="18"/>
              </w:rPr>
            </w:pPr>
            <w:r w:rsidRPr="003268E9">
              <w:rPr>
                <w:rFonts w:ascii="Arial Narrow" w:hAnsi="Arial Narrow" w:cs="Arial"/>
                <w:sz w:val="18"/>
                <w:szCs w:val="18"/>
              </w:rPr>
              <w:t>6,871,379,354</w:t>
            </w:r>
          </w:p>
        </w:tc>
        <w:tc>
          <w:tcPr>
            <w:tcW w:w="1549" w:type="dxa"/>
            <w:tcBorders>
              <w:top w:val="nil"/>
              <w:left w:val="nil"/>
              <w:right w:val="nil"/>
            </w:tcBorders>
            <w:shd w:val="clear" w:color="auto" w:fill="auto"/>
            <w:vAlign w:val="center"/>
          </w:tcPr>
          <w:p w:rsidR="00CF1423" w:rsidRPr="003268E9" w:rsidRDefault="00CF1423" w:rsidP="00B177D0">
            <w:pPr>
              <w:spacing w:after="0"/>
              <w:ind w:right="-54"/>
              <w:jc w:val="right"/>
              <w:rPr>
                <w:rFonts w:ascii="Arial Narrow" w:hAnsi="Arial Narrow" w:cs="Arial"/>
                <w:sz w:val="18"/>
                <w:szCs w:val="18"/>
              </w:rPr>
            </w:pPr>
            <w:r w:rsidRPr="003268E9">
              <w:rPr>
                <w:rFonts w:ascii="Arial Narrow" w:hAnsi="Arial Narrow" w:cs="Arial"/>
                <w:sz w:val="18"/>
                <w:szCs w:val="18"/>
              </w:rPr>
              <w:t>(735,366,354)</w:t>
            </w:r>
          </w:p>
        </w:tc>
      </w:tr>
      <w:tr w:rsidR="00CF1423" w:rsidRPr="00F02111" w:rsidTr="004D0C94">
        <w:trPr>
          <w:trHeight w:val="153"/>
          <w:jc w:val="center"/>
        </w:trPr>
        <w:tc>
          <w:tcPr>
            <w:tcW w:w="265" w:type="dxa"/>
            <w:tcBorders>
              <w:top w:val="nil"/>
              <w:left w:val="nil"/>
              <w:right w:val="nil"/>
            </w:tcBorders>
            <w:shd w:val="clear" w:color="auto" w:fill="auto"/>
            <w:vAlign w:val="center"/>
          </w:tcPr>
          <w:p w:rsidR="00CF1423" w:rsidRPr="003268E9" w:rsidRDefault="00CF1423" w:rsidP="00CF1423">
            <w:pPr>
              <w:suppressAutoHyphens/>
              <w:snapToGrid w:val="0"/>
              <w:spacing w:after="0" w:line="240" w:lineRule="auto"/>
              <w:rPr>
                <w:rFonts w:ascii="Arial Narrow" w:eastAsia="Times New Roman" w:hAnsi="Arial Narrow" w:cs="Arial"/>
                <w:bCs/>
                <w:sz w:val="18"/>
                <w:szCs w:val="18"/>
                <w:lang w:eastAsia="ar-SA"/>
              </w:rPr>
            </w:pPr>
          </w:p>
        </w:tc>
        <w:tc>
          <w:tcPr>
            <w:tcW w:w="3155" w:type="dxa"/>
            <w:tcBorders>
              <w:top w:val="nil"/>
              <w:left w:val="nil"/>
              <w:right w:val="nil"/>
            </w:tcBorders>
            <w:vAlign w:val="center"/>
          </w:tcPr>
          <w:p w:rsidR="00CF1423" w:rsidRPr="003268E9" w:rsidRDefault="00CF1423" w:rsidP="00CF1423">
            <w:pPr>
              <w:suppressAutoHyphens/>
              <w:snapToGrid w:val="0"/>
              <w:spacing w:after="0" w:line="240" w:lineRule="auto"/>
              <w:rPr>
                <w:rFonts w:ascii="Arial Narrow" w:eastAsia="Times New Roman" w:hAnsi="Arial Narrow" w:cs="Arial"/>
                <w:bCs/>
                <w:sz w:val="18"/>
                <w:szCs w:val="18"/>
                <w:lang w:eastAsia="ar-SA"/>
              </w:rPr>
            </w:pPr>
            <w:r w:rsidRPr="003268E9">
              <w:rPr>
                <w:rFonts w:ascii="Arial Narrow" w:eastAsia="Times New Roman" w:hAnsi="Arial Narrow" w:cs="Arial"/>
                <w:bCs/>
                <w:sz w:val="18"/>
                <w:szCs w:val="18"/>
                <w:lang w:eastAsia="ar-SA"/>
              </w:rPr>
              <w:t>Capital Outlays</w:t>
            </w:r>
          </w:p>
        </w:tc>
        <w:tc>
          <w:tcPr>
            <w:tcW w:w="1885" w:type="dxa"/>
            <w:tcBorders>
              <w:top w:val="nil"/>
              <w:left w:val="nil"/>
              <w:right w:val="nil"/>
            </w:tcBorders>
            <w:shd w:val="clear" w:color="auto" w:fill="auto"/>
            <w:vAlign w:val="center"/>
          </w:tcPr>
          <w:p w:rsidR="00CF1423" w:rsidRPr="003268E9" w:rsidRDefault="00CF1423" w:rsidP="00B177D0">
            <w:pPr>
              <w:spacing w:after="0"/>
              <w:jc w:val="right"/>
              <w:rPr>
                <w:rFonts w:ascii="Arial Narrow" w:hAnsi="Arial Narrow" w:cs="Arial"/>
                <w:sz w:val="18"/>
                <w:szCs w:val="18"/>
              </w:rPr>
            </w:pPr>
            <w:r w:rsidRPr="003268E9">
              <w:rPr>
                <w:rFonts w:ascii="Arial Narrow" w:hAnsi="Arial Narrow" w:cs="Arial"/>
                <w:sz w:val="18"/>
                <w:szCs w:val="18"/>
              </w:rPr>
              <w:t>3,995,769,000</w:t>
            </w:r>
          </w:p>
        </w:tc>
        <w:tc>
          <w:tcPr>
            <w:tcW w:w="1894" w:type="dxa"/>
            <w:tcBorders>
              <w:top w:val="nil"/>
              <w:left w:val="nil"/>
              <w:right w:val="nil"/>
            </w:tcBorders>
            <w:shd w:val="clear" w:color="auto" w:fill="auto"/>
            <w:vAlign w:val="center"/>
          </w:tcPr>
          <w:p w:rsidR="00CF1423" w:rsidRPr="003268E9" w:rsidRDefault="00CF1423" w:rsidP="00B177D0">
            <w:pPr>
              <w:spacing w:after="0"/>
              <w:jc w:val="right"/>
              <w:rPr>
                <w:rFonts w:ascii="Arial Narrow" w:hAnsi="Arial Narrow" w:cs="Arial"/>
                <w:sz w:val="18"/>
                <w:szCs w:val="18"/>
              </w:rPr>
            </w:pPr>
            <w:r w:rsidRPr="003268E9">
              <w:rPr>
                <w:rFonts w:ascii="Arial Narrow" w:hAnsi="Arial Narrow" w:cs="Arial"/>
                <w:sz w:val="18"/>
                <w:szCs w:val="18"/>
              </w:rPr>
              <w:t>60,596,92</w:t>
            </w:r>
            <w:r w:rsidR="00B177D0">
              <w:rPr>
                <w:rFonts w:ascii="Arial Narrow" w:hAnsi="Arial Narrow" w:cs="Arial"/>
                <w:sz w:val="18"/>
                <w:szCs w:val="18"/>
              </w:rPr>
              <w:t>8</w:t>
            </w:r>
          </w:p>
        </w:tc>
        <w:tc>
          <w:tcPr>
            <w:tcW w:w="1549" w:type="dxa"/>
            <w:tcBorders>
              <w:top w:val="nil"/>
              <w:left w:val="nil"/>
              <w:right w:val="nil"/>
            </w:tcBorders>
            <w:shd w:val="clear" w:color="auto" w:fill="auto"/>
            <w:vAlign w:val="center"/>
          </w:tcPr>
          <w:p w:rsidR="00CF1423" w:rsidRPr="003268E9" w:rsidRDefault="00CF1423" w:rsidP="00B177D0">
            <w:pPr>
              <w:spacing w:after="0"/>
              <w:ind w:right="-54"/>
              <w:jc w:val="right"/>
              <w:rPr>
                <w:rFonts w:ascii="Arial Narrow" w:hAnsi="Arial Narrow" w:cs="Arial"/>
                <w:sz w:val="18"/>
                <w:szCs w:val="18"/>
              </w:rPr>
            </w:pPr>
            <w:r w:rsidRPr="003268E9">
              <w:rPr>
                <w:rFonts w:ascii="Arial Narrow" w:hAnsi="Arial Narrow" w:cs="Arial"/>
                <w:sz w:val="18"/>
                <w:szCs w:val="18"/>
              </w:rPr>
              <w:t>3,935,172,072</w:t>
            </w:r>
          </w:p>
        </w:tc>
      </w:tr>
      <w:tr w:rsidR="00931C6F" w:rsidRPr="00F02111" w:rsidTr="004D0C94">
        <w:trPr>
          <w:trHeight w:val="180"/>
          <w:jc w:val="center"/>
        </w:trPr>
        <w:tc>
          <w:tcPr>
            <w:tcW w:w="3420" w:type="dxa"/>
            <w:gridSpan w:val="2"/>
            <w:tcBorders>
              <w:top w:val="nil"/>
              <w:left w:val="nil"/>
              <w:right w:val="nil"/>
            </w:tcBorders>
            <w:shd w:val="clear" w:color="auto" w:fill="auto"/>
            <w:vAlign w:val="center"/>
          </w:tcPr>
          <w:p w:rsidR="00931C6F" w:rsidRPr="003268E9" w:rsidRDefault="00931C6F" w:rsidP="00CF1423">
            <w:pPr>
              <w:suppressAutoHyphens/>
              <w:snapToGrid w:val="0"/>
              <w:spacing w:after="0" w:line="240" w:lineRule="auto"/>
              <w:rPr>
                <w:rFonts w:ascii="Arial Narrow" w:eastAsia="Times New Roman" w:hAnsi="Arial Narrow" w:cs="Arial"/>
                <w:bCs/>
                <w:sz w:val="18"/>
                <w:szCs w:val="18"/>
                <w:lang w:eastAsia="ar-SA"/>
              </w:rPr>
            </w:pPr>
            <w:r w:rsidRPr="003268E9">
              <w:rPr>
                <w:rFonts w:ascii="Arial Narrow" w:eastAsia="Times New Roman" w:hAnsi="Arial Narrow" w:cs="Arial"/>
                <w:bCs/>
                <w:sz w:val="18"/>
                <w:szCs w:val="18"/>
                <w:lang w:eastAsia="ar-SA"/>
              </w:rPr>
              <w:t>Charity Fund</w:t>
            </w:r>
          </w:p>
        </w:tc>
        <w:tc>
          <w:tcPr>
            <w:tcW w:w="1885" w:type="dxa"/>
            <w:tcBorders>
              <w:top w:val="nil"/>
              <w:left w:val="nil"/>
              <w:right w:val="nil"/>
            </w:tcBorders>
            <w:shd w:val="clear" w:color="auto" w:fill="auto"/>
            <w:vAlign w:val="center"/>
          </w:tcPr>
          <w:p w:rsidR="00931C6F" w:rsidRPr="003268E9" w:rsidRDefault="00931C6F" w:rsidP="00CF1423">
            <w:pPr>
              <w:suppressAutoHyphens/>
              <w:snapToGrid w:val="0"/>
              <w:spacing w:after="0" w:line="240" w:lineRule="auto"/>
              <w:jc w:val="right"/>
              <w:rPr>
                <w:rFonts w:ascii="Arial Narrow" w:eastAsia="Times New Roman" w:hAnsi="Arial Narrow" w:cs="Arial"/>
                <w:bCs/>
                <w:color w:val="FF0000"/>
                <w:sz w:val="18"/>
                <w:szCs w:val="18"/>
                <w:lang w:eastAsia="ar-SA"/>
              </w:rPr>
            </w:pPr>
          </w:p>
        </w:tc>
        <w:tc>
          <w:tcPr>
            <w:tcW w:w="1894" w:type="dxa"/>
            <w:tcBorders>
              <w:top w:val="nil"/>
              <w:left w:val="nil"/>
              <w:right w:val="nil"/>
            </w:tcBorders>
            <w:shd w:val="clear" w:color="auto" w:fill="auto"/>
            <w:vAlign w:val="center"/>
          </w:tcPr>
          <w:p w:rsidR="00931C6F" w:rsidRPr="003268E9" w:rsidRDefault="00931C6F" w:rsidP="00CF1423">
            <w:pPr>
              <w:suppressAutoHyphens/>
              <w:snapToGrid w:val="0"/>
              <w:spacing w:after="0" w:line="240" w:lineRule="auto"/>
              <w:jc w:val="right"/>
              <w:rPr>
                <w:rFonts w:ascii="Arial Narrow" w:eastAsia="Times New Roman" w:hAnsi="Arial Narrow" w:cs="Arial"/>
                <w:bCs/>
                <w:color w:val="FF0000"/>
                <w:sz w:val="18"/>
                <w:szCs w:val="18"/>
                <w:lang w:eastAsia="ar-SA"/>
              </w:rPr>
            </w:pPr>
          </w:p>
        </w:tc>
        <w:tc>
          <w:tcPr>
            <w:tcW w:w="1549" w:type="dxa"/>
            <w:tcBorders>
              <w:top w:val="nil"/>
              <w:left w:val="nil"/>
              <w:right w:val="nil"/>
            </w:tcBorders>
            <w:shd w:val="clear" w:color="auto" w:fill="auto"/>
            <w:vAlign w:val="center"/>
          </w:tcPr>
          <w:p w:rsidR="00931C6F" w:rsidRPr="003268E9" w:rsidRDefault="00931C6F" w:rsidP="00697A4E">
            <w:pPr>
              <w:spacing w:after="0" w:line="240" w:lineRule="auto"/>
              <w:ind w:right="-54"/>
              <w:jc w:val="right"/>
              <w:rPr>
                <w:rFonts w:ascii="Arial Narrow" w:hAnsi="Arial Narrow" w:cs="Arial"/>
                <w:sz w:val="18"/>
                <w:szCs w:val="18"/>
              </w:rPr>
            </w:pPr>
          </w:p>
        </w:tc>
      </w:tr>
      <w:tr w:rsidR="00CF1423" w:rsidRPr="00F02111" w:rsidTr="004D0C94">
        <w:trPr>
          <w:trHeight w:val="153"/>
          <w:jc w:val="center"/>
        </w:trPr>
        <w:tc>
          <w:tcPr>
            <w:tcW w:w="265" w:type="dxa"/>
            <w:tcBorders>
              <w:top w:val="nil"/>
              <w:left w:val="nil"/>
              <w:right w:val="nil"/>
            </w:tcBorders>
            <w:shd w:val="clear" w:color="auto" w:fill="auto"/>
            <w:vAlign w:val="center"/>
          </w:tcPr>
          <w:p w:rsidR="00CF1423" w:rsidRPr="003268E9" w:rsidRDefault="00CF1423" w:rsidP="00CF1423">
            <w:pPr>
              <w:suppressAutoHyphens/>
              <w:snapToGrid w:val="0"/>
              <w:spacing w:after="0" w:line="240" w:lineRule="auto"/>
              <w:rPr>
                <w:rFonts w:ascii="Arial Narrow" w:eastAsia="Times New Roman" w:hAnsi="Arial Narrow" w:cs="Arial"/>
                <w:bCs/>
                <w:sz w:val="18"/>
                <w:szCs w:val="18"/>
                <w:lang w:eastAsia="ar-SA"/>
              </w:rPr>
            </w:pPr>
          </w:p>
        </w:tc>
        <w:tc>
          <w:tcPr>
            <w:tcW w:w="3155" w:type="dxa"/>
            <w:tcBorders>
              <w:top w:val="nil"/>
              <w:left w:val="nil"/>
              <w:right w:val="nil"/>
            </w:tcBorders>
            <w:vAlign w:val="center"/>
          </w:tcPr>
          <w:p w:rsidR="00CF1423" w:rsidRPr="003268E9" w:rsidRDefault="00CF1423" w:rsidP="00CF1423">
            <w:pPr>
              <w:suppressAutoHyphens/>
              <w:snapToGrid w:val="0"/>
              <w:spacing w:after="0" w:line="240" w:lineRule="auto"/>
              <w:rPr>
                <w:rFonts w:ascii="Arial Narrow" w:eastAsia="Times New Roman" w:hAnsi="Arial Narrow" w:cs="Arial"/>
                <w:bCs/>
                <w:sz w:val="18"/>
                <w:szCs w:val="18"/>
                <w:lang w:eastAsia="ar-SA"/>
              </w:rPr>
            </w:pPr>
            <w:r w:rsidRPr="003268E9">
              <w:rPr>
                <w:rFonts w:ascii="Arial Narrow" w:eastAsia="Times New Roman" w:hAnsi="Arial Narrow" w:cs="Arial"/>
                <w:bCs/>
                <w:sz w:val="18"/>
                <w:szCs w:val="18"/>
                <w:lang w:eastAsia="ar-SA"/>
              </w:rPr>
              <w:t>Maintenance and Other Operating Expenses</w:t>
            </w:r>
          </w:p>
        </w:tc>
        <w:tc>
          <w:tcPr>
            <w:tcW w:w="1885" w:type="dxa"/>
            <w:tcBorders>
              <w:top w:val="nil"/>
              <w:left w:val="nil"/>
              <w:right w:val="nil"/>
            </w:tcBorders>
            <w:shd w:val="clear" w:color="auto" w:fill="auto"/>
            <w:vAlign w:val="center"/>
          </w:tcPr>
          <w:p w:rsidR="00CF1423" w:rsidRPr="003268E9" w:rsidRDefault="00CF1423" w:rsidP="00B177D0">
            <w:pPr>
              <w:spacing w:after="0" w:line="240" w:lineRule="auto"/>
              <w:jc w:val="right"/>
              <w:rPr>
                <w:rFonts w:ascii="Arial Narrow" w:hAnsi="Arial Narrow" w:cs="Arial"/>
                <w:color w:val="000000"/>
                <w:sz w:val="18"/>
                <w:szCs w:val="18"/>
                <w:lang w:val="en-GB"/>
              </w:rPr>
            </w:pPr>
            <w:r w:rsidRPr="003268E9">
              <w:rPr>
                <w:rFonts w:ascii="Arial Narrow" w:hAnsi="Arial Narrow" w:cs="Arial"/>
                <w:color w:val="000000"/>
                <w:sz w:val="18"/>
                <w:szCs w:val="18"/>
              </w:rPr>
              <w:t>64,962,000</w:t>
            </w:r>
          </w:p>
        </w:tc>
        <w:tc>
          <w:tcPr>
            <w:tcW w:w="1894" w:type="dxa"/>
            <w:tcBorders>
              <w:top w:val="nil"/>
              <w:left w:val="nil"/>
              <w:right w:val="nil"/>
            </w:tcBorders>
            <w:shd w:val="clear" w:color="auto" w:fill="auto"/>
            <w:vAlign w:val="center"/>
          </w:tcPr>
          <w:p w:rsidR="00CF1423" w:rsidRPr="003268E9" w:rsidRDefault="00CF1423" w:rsidP="00B177D0">
            <w:pPr>
              <w:spacing w:after="0"/>
              <w:jc w:val="right"/>
              <w:rPr>
                <w:rFonts w:ascii="Arial Narrow" w:hAnsi="Arial Narrow" w:cs="Arial"/>
                <w:color w:val="000000"/>
                <w:sz w:val="18"/>
                <w:szCs w:val="18"/>
              </w:rPr>
            </w:pPr>
            <w:r w:rsidRPr="003268E9">
              <w:rPr>
                <w:rFonts w:ascii="Arial Narrow" w:hAnsi="Arial Narrow" w:cs="Arial"/>
                <w:color w:val="000000"/>
                <w:sz w:val="18"/>
                <w:szCs w:val="18"/>
              </w:rPr>
              <w:t>21,966,525</w:t>
            </w:r>
          </w:p>
        </w:tc>
        <w:tc>
          <w:tcPr>
            <w:tcW w:w="1549" w:type="dxa"/>
            <w:tcBorders>
              <w:top w:val="nil"/>
              <w:left w:val="nil"/>
              <w:right w:val="nil"/>
            </w:tcBorders>
            <w:shd w:val="clear" w:color="auto" w:fill="auto"/>
            <w:vAlign w:val="center"/>
          </w:tcPr>
          <w:p w:rsidR="00CF1423" w:rsidRPr="003268E9" w:rsidRDefault="00CF1423" w:rsidP="00B177D0">
            <w:pPr>
              <w:spacing w:after="0" w:line="240" w:lineRule="auto"/>
              <w:ind w:right="-54"/>
              <w:jc w:val="right"/>
              <w:rPr>
                <w:rFonts w:ascii="Arial Narrow" w:eastAsia="Times New Roman" w:hAnsi="Arial Narrow" w:cs="Arial"/>
                <w:color w:val="000000"/>
                <w:sz w:val="18"/>
                <w:szCs w:val="18"/>
                <w:lang w:val="en-US"/>
              </w:rPr>
            </w:pPr>
            <w:r w:rsidRPr="003268E9">
              <w:rPr>
                <w:rFonts w:ascii="Arial Narrow" w:eastAsia="Times New Roman" w:hAnsi="Arial Narrow" w:cs="Arial"/>
                <w:color w:val="000000"/>
                <w:sz w:val="18"/>
                <w:szCs w:val="18"/>
                <w:lang w:val="en-US"/>
              </w:rPr>
              <w:t>42,995,475</w:t>
            </w:r>
          </w:p>
        </w:tc>
      </w:tr>
      <w:tr w:rsidR="00CF1423" w:rsidRPr="00F02111" w:rsidTr="004D0C94">
        <w:trPr>
          <w:trHeight w:val="180"/>
          <w:jc w:val="center"/>
        </w:trPr>
        <w:tc>
          <w:tcPr>
            <w:tcW w:w="265" w:type="dxa"/>
            <w:tcBorders>
              <w:top w:val="nil"/>
              <w:left w:val="nil"/>
              <w:right w:val="nil"/>
            </w:tcBorders>
            <w:shd w:val="clear" w:color="auto" w:fill="auto"/>
            <w:vAlign w:val="center"/>
          </w:tcPr>
          <w:p w:rsidR="00CF1423" w:rsidRPr="003268E9" w:rsidRDefault="00CF1423" w:rsidP="00CF1423">
            <w:pPr>
              <w:suppressAutoHyphens/>
              <w:snapToGrid w:val="0"/>
              <w:spacing w:after="0" w:line="240" w:lineRule="auto"/>
              <w:rPr>
                <w:rFonts w:ascii="Arial Narrow" w:eastAsia="Times New Roman" w:hAnsi="Arial Narrow" w:cs="Arial"/>
                <w:bCs/>
                <w:sz w:val="18"/>
                <w:szCs w:val="18"/>
                <w:lang w:eastAsia="ar-SA"/>
              </w:rPr>
            </w:pPr>
          </w:p>
        </w:tc>
        <w:tc>
          <w:tcPr>
            <w:tcW w:w="3155" w:type="dxa"/>
            <w:tcBorders>
              <w:top w:val="nil"/>
              <w:left w:val="nil"/>
              <w:right w:val="nil"/>
            </w:tcBorders>
            <w:vAlign w:val="center"/>
          </w:tcPr>
          <w:p w:rsidR="00CF1423" w:rsidRPr="003268E9" w:rsidRDefault="00CF1423" w:rsidP="00CF1423">
            <w:pPr>
              <w:suppressAutoHyphens/>
              <w:snapToGrid w:val="0"/>
              <w:spacing w:after="0" w:line="240" w:lineRule="auto"/>
              <w:rPr>
                <w:rFonts w:ascii="Arial Narrow" w:eastAsia="Times New Roman" w:hAnsi="Arial Narrow" w:cs="Arial"/>
                <w:bCs/>
                <w:sz w:val="18"/>
                <w:szCs w:val="18"/>
                <w:lang w:eastAsia="ar-SA"/>
              </w:rPr>
            </w:pPr>
            <w:r w:rsidRPr="003268E9">
              <w:rPr>
                <w:rFonts w:ascii="Arial Narrow" w:eastAsia="Times New Roman" w:hAnsi="Arial Narrow" w:cs="Arial"/>
                <w:bCs/>
                <w:sz w:val="18"/>
                <w:szCs w:val="18"/>
                <w:lang w:eastAsia="ar-SA"/>
              </w:rPr>
              <w:t>Others</w:t>
            </w:r>
          </w:p>
        </w:tc>
        <w:tc>
          <w:tcPr>
            <w:tcW w:w="1885" w:type="dxa"/>
            <w:tcBorders>
              <w:top w:val="nil"/>
              <w:left w:val="nil"/>
              <w:right w:val="nil"/>
            </w:tcBorders>
            <w:shd w:val="clear" w:color="auto" w:fill="auto"/>
            <w:vAlign w:val="center"/>
          </w:tcPr>
          <w:p w:rsidR="00CF1423" w:rsidRPr="003268E9" w:rsidRDefault="00CF1423" w:rsidP="00B177D0">
            <w:pPr>
              <w:spacing w:after="0" w:line="240" w:lineRule="auto"/>
              <w:jc w:val="right"/>
              <w:rPr>
                <w:rFonts w:ascii="Arial Narrow" w:hAnsi="Arial Narrow" w:cs="Arial"/>
                <w:color w:val="000000"/>
                <w:sz w:val="18"/>
                <w:szCs w:val="18"/>
                <w:lang w:val="en-GB"/>
              </w:rPr>
            </w:pPr>
            <w:r w:rsidRPr="003268E9">
              <w:rPr>
                <w:rFonts w:ascii="Arial Narrow" w:hAnsi="Arial Narrow" w:cs="Arial"/>
                <w:color w:val="000000"/>
                <w:sz w:val="18"/>
                <w:szCs w:val="18"/>
              </w:rPr>
              <w:t>18,098,544,000</w:t>
            </w:r>
          </w:p>
        </w:tc>
        <w:tc>
          <w:tcPr>
            <w:tcW w:w="1894" w:type="dxa"/>
            <w:tcBorders>
              <w:top w:val="nil"/>
              <w:left w:val="nil"/>
              <w:right w:val="nil"/>
            </w:tcBorders>
            <w:shd w:val="clear" w:color="auto" w:fill="auto"/>
            <w:vAlign w:val="center"/>
          </w:tcPr>
          <w:p w:rsidR="00CF1423" w:rsidRPr="003268E9" w:rsidRDefault="00CF1423" w:rsidP="00B177D0">
            <w:pPr>
              <w:spacing w:after="0"/>
              <w:jc w:val="right"/>
              <w:rPr>
                <w:rFonts w:ascii="Arial Narrow" w:hAnsi="Arial Narrow" w:cs="Arial"/>
                <w:color w:val="000000"/>
                <w:sz w:val="18"/>
                <w:szCs w:val="18"/>
              </w:rPr>
            </w:pPr>
            <w:r w:rsidRPr="003268E9">
              <w:rPr>
                <w:rFonts w:ascii="Arial Narrow" w:hAnsi="Arial Narrow" w:cs="Arial"/>
                <w:color w:val="000000"/>
                <w:sz w:val="18"/>
                <w:szCs w:val="18"/>
              </w:rPr>
              <w:t>21,007,123,57</w:t>
            </w:r>
            <w:r w:rsidR="00B177D0">
              <w:rPr>
                <w:rFonts w:ascii="Arial Narrow" w:hAnsi="Arial Narrow" w:cs="Arial"/>
                <w:color w:val="000000"/>
                <w:sz w:val="18"/>
                <w:szCs w:val="18"/>
              </w:rPr>
              <w:t>5</w:t>
            </w:r>
          </w:p>
        </w:tc>
        <w:tc>
          <w:tcPr>
            <w:tcW w:w="1549" w:type="dxa"/>
            <w:tcBorders>
              <w:top w:val="nil"/>
              <w:left w:val="nil"/>
              <w:right w:val="nil"/>
            </w:tcBorders>
            <w:shd w:val="clear" w:color="auto" w:fill="auto"/>
            <w:vAlign w:val="center"/>
          </w:tcPr>
          <w:p w:rsidR="00CF1423" w:rsidRPr="003268E9" w:rsidRDefault="00CF1423" w:rsidP="00B177D0">
            <w:pPr>
              <w:spacing w:after="0" w:line="240" w:lineRule="auto"/>
              <w:ind w:right="-54"/>
              <w:jc w:val="right"/>
              <w:rPr>
                <w:rFonts w:ascii="Arial Narrow" w:eastAsia="Times New Roman" w:hAnsi="Arial Narrow" w:cs="Arial"/>
                <w:color w:val="000000"/>
                <w:sz w:val="18"/>
                <w:szCs w:val="18"/>
                <w:lang w:val="en-US"/>
              </w:rPr>
            </w:pPr>
            <w:r w:rsidRPr="003268E9">
              <w:rPr>
                <w:rFonts w:ascii="Arial Narrow" w:eastAsia="Times New Roman" w:hAnsi="Arial Narrow" w:cs="Arial"/>
                <w:color w:val="000000"/>
                <w:sz w:val="18"/>
                <w:szCs w:val="18"/>
                <w:lang w:val="en-US"/>
              </w:rPr>
              <w:t>(2,908,579,57</w:t>
            </w:r>
            <w:r w:rsidR="00B177D0">
              <w:rPr>
                <w:rFonts w:ascii="Arial Narrow" w:eastAsia="Times New Roman" w:hAnsi="Arial Narrow" w:cs="Arial"/>
                <w:color w:val="000000"/>
                <w:sz w:val="18"/>
                <w:szCs w:val="18"/>
                <w:lang w:val="en-US"/>
              </w:rPr>
              <w:t>5</w:t>
            </w:r>
            <w:r w:rsidRPr="003268E9">
              <w:rPr>
                <w:rFonts w:ascii="Arial Narrow" w:eastAsia="Times New Roman" w:hAnsi="Arial Narrow" w:cs="Arial"/>
                <w:color w:val="000000"/>
                <w:sz w:val="18"/>
                <w:szCs w:val="18"/>
                <w:lang w:val="en-US"/>
              </w:rPr>
              <w:t>)</w:t>
            </w:r>
          </w:p>
        </w:tc>
      </w:tr>
      <w:tr w:rsidR="00931C6F" w:rsidRPr="00F02111" w:rsidTr="004D0C94">
        <w:trPr>
          <w:trHeight w:val="126"/>
          <w:jc w:val="center"/>
        </w:trPr>
        <w:tc>
          <w:tcPr>
            <w:tcW w:w="3420" w:type="dxa"/>
            <w:gridSpan w:val="2"/>
            <w:tcBorders>
              <w:top w:val="nil"/>
              <w:left w:val="nil"/>
              <w:right w:val="nil"/>
            </w:tcBorders>
            <w:shd w:val="clear" w:color="auto" w:fill="auto"/>
            <w:vAlign w:val="center"/>
          </w:tcPr>
          <w:p w:rsidR="00931C6F" w:rsidRPr="003268E9" w:rsidRDefault="00931C6F" w:rsidP="00CF1423">
            <w:pPr>
              <w:suppressAutoHyphens/>
              <w:snapToGrid w:val="0"/>
              <w:spacing w:after="0" w:line="240" w:lineRule="auto"/>
              <w:rPr>
                <w:rFonts w:ascii="Arial Narrow" w:eastAsia="Times New Roman" w:hAnsi="Arial Narrow" w:cs="Arial"/>
                <w:bCs/>
                <w:sz w:val="18"/>
                <w:szCs w:val="18"/>
                <w:lang w:eastAsia="ar-SA"/>
              </w:rPr>
            </w:pPr>
            <w:r w:rsidRPr="003268E9">
              <w:rPr>
                <w:rFonts w:ascii="Arial Narrow" w:eastAsia="Times New Roman" w:hAnsi="Arial Narrow" w:cs="Arial"/>
                <w:bCs/>
                <w:sz w:val="18"/>
                <w:szCs w:val="18"/>
                <w:lang w:eastAsia="ar-SA"/>
              </w:rPr>
              <w:t>Prize Fund</w:t>
            </w:r>
          </w:p>
        </w:tc>
        <w:tc>
          <w:tcPr>
            <w:tcW w:w="1885" w:type="dxa"/>
            <w:tcBorders>
              <w:top w:val="nil"/>
              <w:left w:val="nil"/>
              <w:right w:val="nil"/>
            </w:tcBorders>
            <w:shd w:val="clear" w:color="auto" w:fill="auto"/>
            <w:vAlign w:val="center"/>
          </w:tcPr>
          <w:p w:rsidR="00931C6F" w:rsidRPr="003268E9" w:rsidRDefault="00931C6F" w:rsidP="00CF1423">
            <w:pPr>
              <w:suppressAutoHyphens/>
              <w:snapToGrid w:val="0"/>
              <w:spacing w:after="0" w:line="240" w:lineRule="auto"/>
              <w:jc w:val="right"/>
              <w:rPr>
                <w:rFonts w:ascii="Arial Narrow" w:eastAsia="Times New Roman" w:hAnsi="Arial Narrow" w:cs="Arial"/>
                <w:bCs/>
                <w:color w:val="FF0000"/>
                <w:sz w:val="18"/>
                <w:szCs w:val="18"/>
                <w:lang w:eastAsia="ar-SA"/>
              </w:rPr>
            </w:pPr>
          </w:p>
        </w:tc>
        <w:tc>
          <w:tcPr>
            <w:tcW w:w="1894" w:type="dxa"/>
            <w:tcBorders>
              <w:top w:val="nil"/>
              <w:left w:val="nil"/>
              <w:right w:val="nil"/>
            </w:tcBorders>
            <w:shd w:val="clear" w:color="auto" w:fill="auto"/>
            <w:vAlign w:val="center"/>
          </w:tcPr>
          <w:p w:rsidR="00931C6F" w:rsidRPr="003268E9" w:rsidRDefault="00931C6F" w:rsidP="00CF1423">
            <w:pPr>
              <w:suppressAutoHyphens/>
              <w:snapToGrid w:val="0"/>
              <w:spacing w:after="0" w:line="240" w:lineRule="auto"/>
              <w:jc w:val="right"/>
              <w:rPr>
                <w:rFonts w:ascii="Arial Narrow" w:eastAsia="Times New Roman" w:hAnsi="Arial Narrow" w:cs="Arial"/>
                <w:bCs/>
                <w:color w:val="FF0000"/>
                <w:sz w:val="18"/>
                <w:szCs w:val="18"/>
                <w:lang w:eastAsia="ar-SA"/>
              </w:rPr>
            </w:pPr>
          </w:p>
        </w:tc>
        <w:tc>
          <w:tcPr>
            <w:tcW w:w="1549" w:type="dxa"/>
            <w:tcBorders>
              <w:top w:val="nil"/>
              <w:left w:val="nil"/>
              <w:right w:val="nil"/>
            </w:tcBorders>
            <w:shd w:val="clear" w:color="auto" w:fill="auto"/>
            <w:vAlign w:val="center"/>
          </w:tcPr>
          <w:p w:rsidR="00931C6F" w:rsidRPr="003268E9" w:rsidRDefault="00931C6F" w:rsidP="00697A4E">
            <w:pPr>
              <w:spacing w:after="0" w:line="240" w:lineRule="auto"/>
              <w:ind w:right="-54"/>
              <w:jc w:val="right"/>
              <w:rPr>
                <w:rFonts w:ascii="Arial Narrow" w:hAnsi="Arial Narrow" w:cs="Arial"/>
                <w:sz w:val="18"/>
                <w:szCs w:val="18"/>
              </w:rPr>
            </w:pPr>
          </w:p>
        </w:tc>
      </w:tr>
      <w:tr w:rsidR="00CF1423" w:rsidRPr="00F02111" w:rsidTr="004D0C94">
        <w:trPr>
          <w:trHeight w:val="99"/>
          <w:jc w:val="center"/>
        </w:trPr>
        <w:tc>
          <w:tcPr>
            <w:tcW w:w="265" w:type="dxa"/>
            <w:tcBorders>
              <w:top w:val="nil"/>
              <w:left w:val="nil"/>
              <w:right w:val="nil"/>
            </w:tcBorders>
            <w:shd w:val="clear" w:color="auto" w:fill="auto"/>
            <w:vAlign w:val="center"/>
          </w:tcPr>
          <w:p w:rsidR="00CF1423" w:rsidRPr="003268E9" w:rsidRDefault="00CF1423" w:rsidP="00CF1423">
            <w:pPr>
              <w:suppressAutoHyphens/>
              <w:snapToGrid w:val="0"/>
              <w:spacing w:after="0" w:line="240" w:lineRule="auto"/>
              <w:rPr>
                <w:rFonts w:ascii="Arial Narrow" w:eastAsia="Times New Roman" w:hAnsi="Arial Narrow" w:cs="Arial"/>
                <w:bCs/>
                <w:sz w:val="18"/>
                <w:szCs w:val="18"/>
                <w:lang w:eastAsia="ar-SA"/>
              </w:rPr>
            </w:pPr>
          </w:p>
        </w:tc>
        <w:tc>
          <w:tcPr>
            <w:tcW w:w="3155" w:type="dxa"/>
            <w:tcBorders>
              <w:top w:val="nil"/>
              <w:left w:val="nil"/>
              <w:right w:val="nil"/>
            </w:tcBorders>
            <w:vAlign w:val="center"/>
          </w:tcPr>
          <w:p w:rsidR="00CF1423" w:rsidRPr="003268E9" w:rsidRDefault="00CF1423" w:rsidP="00CF1423">
            <w:pPr>
              <w:suppressAutoHyphens/>
              <w:snapToGrid w:val="0"/>
              <w:spacing w:after="0" w:line="240" w:lineRule="auto"/>
              <w:rPr>
                <w:rFonts w:ascii="Arial Narrow" w:eastAsia="Times New Roman" w:hAnsi="Arial Narrow" w:cs="Arial"/>
                <w:bCs/>
                <w:sz w:val="18"/>
                <w:szCs w:val="18"/>
                <w:lang w:eastAsia="ar-SA"/>
              </w:rPr>
            </w:pPr>
            <w:r w:rsidRPr="003268E9">
              <w:rPr>
                <w:rFonts w:ascii="Arial Narrow" w:eastAsia="Times New Roman" w:hAnsi="Arial Narrow" w:cs="Arial"/>
                <w:bCs/>
                <w:sz w:val="18"/>
                <w:szCs w:val="18"/>
                <w:lang w:eastAsia="ar-SA"/>
              </w:rPr>
              <w:t>Maintenance and Other Operating Expenses</w:t>
            </w:r>
          </w:p>
        </w:tc>
        <w:tc>
          <w:tcPr>
            <w:tcW w:w="1885" w:type="dxa"/>
            <w:tcBorders>
              <w:top w:val="nil"/>
              <w:left w:val="nil"/>
              <w:right w:val="nil"/>
            </w:tcBorders>
            <w:shd w:val="clear" w:color="auto" w:fill="auto"/>
            <w:vAlign w:val="center"/>
          </w:tcPr>
          <w:p w:rsidR="00CF1423" w:rsidRPr="003268E9" w:rsidRDefault="00CF1423" w:rsidP="00B177D0">
            <w:pPr>
              <w:spacing w:after="0"/>
              <w:jc w:val="right"/>
              <w:rPr>
                <w:rFonts w:ascii="Arial Narrow" w:hAnsi="Arial Narrow" w:cs="Arial"/>
                <w:sz w:val="18"/>
                <w:szCs w:val="18"/>
              </w:rPr>
            </w:pPr>
            <w:r w:rsidRPr="003268E9">
              <w:rPr>
                <w:rFonts w:ascii="Arial Narrow" w:hAnsi="Arial Narrow" w:cs="Arial"/>
                <w:sz w:val="18"/>
                <w:szCs w:val="18"/>
              </w:rPr>
              <w:t>31,567,535,000</w:t>
            </w:r>
          </w:p>
        </w:tc>
        <w:tc>
          <w:tcPr>
            <w:tcW w:w="1894" w:type="dxa"/>
            <w:tcBorders>
              <w:top w:val="nil"/>
              <w:left w:val="nil"/>
              <w:right w:val="nil"/>
            </w:tcBorders>
            <w:shd w:val="clear" w:color="auto" w:fill="auto"/>
            <w:vAlign w:val="center"/>
          </w:tcPr>
          <w:p w:rsidR="00CF1423" w:rsidRPr="003268E9" w:rsidRDefault="00CF1423" w:rsidP="00B177D0">
            <w:pPr>
              <w:spacing w:after="0"/>
              <w:jc w:val="right"/>
              <w:rPr>
                <w:rFonts w:ascii="Arial Narrow" w:hAnsi="Arial Narrow" w:cs="Arial"/>
                <w:sz w:val="18"/>
                <w:szCs w:val="18"/>
              </w:rPr>
            </w:pPr>
            <w:r w:rsidRPr="003268E9">
              <w:rPr>
                <w:rFonts w:ascii="Arial Narrow" w:hAnsi="Arial Narrow" w:cs="Arial"/>
                <w:sz w:val="18"/>
                <w:szCs w:val="18"/>
              </w:rPr>
              <w:t>32,781,694,80</w:t>
            </w:r>
            <w:r w:rsidR="00B177D0">
              <w:rPr>
                <w:rFonts w:ascii="Arial Narrow" w:hAnsi="Arial Narrow" w:cs="Arial"/>
                <w:sz w:val="18"/>
                <w:szCs w:val="18"/>
              </w:rPr>
              <w:t>1</w:t>
            </w:r>
          </w:p>
        </w:tc>
        <w:tc>
          <w:tcPr>
            <w:tcW w:w="1549" w:type="dxa"/>
            <w:tcBorders>
              <w:top w:val="nil"/>
              <w:left w:val="nil"/>
              <w:right w:val="nil"/>
            </w:tcBorders>
            <w:shd w:val="clear" w:color="auto" w:fill="auto"/>
            <w:vAlign w:val="center"/>
          </w:tcPr>
          <w:p w:rsidR="00CF1423" w:rsidRPr="003268E9" w:rsidRDefault="00CF1423" w:rsidP="00B177D0">
            <w:pPr>
              <w:spacing w:after="0" w:line="240" w:lineRule="auto"/>
              <w:ind w:right="-54"/>
              <w:jc w:val="right"/>
              <w:rPr>
                <w:rFonts w:ascii="Arial Narrow" w:eastAsia="Times New Roman" w:hAnsi="Arial Narrow" w:cs="Arial"/>
                <w:color w:val="000000"/>
                <w:sz w:val="18"/>
                <w:szCs w:val="18"/>
                <w:lang w:val="en-US"/>
              </w:rPr>
            </w:pPr>
            <w:r w:rsidRPr="003268E9">
              <w:rPr>
                <w:rFonts w:ascii="Arial Narrow" w:eastAsia="Times New Roman" w:hAnsi="Arial Narrow" w:cs="Arial"/>
                <w:color w:val="000000"/>
                <w:sz w:val="18"/>
                <w:szCs w:val="18"/>
                <w:lang w:val="en-US"/>
              </w:rPr>
              <w:t>(1,214,159,80</w:t>
            </w:r>
            <w:r w:rsidR="00B177D0">
              <w:rPr>
                <w:rFonts w:ascii="Arial Narrow" w:eastAsia="Times New Roman" w:hAnsi="Arial Narrow" w:cs="Arial"/>
                <w:color w:val="000000"/>
                <w:sz w:val="18"/>
                <w:szCs w:val="18"/>
                <w:lang w:val="en-US"/>
              </w:rPr>
              <w:t>1</w:t>
            </w:r>
            <w:r w:rsidRPr="003268E9">
              <w:rPr>
                <w:rFonts w:ascii="Arial Narrow" w:eastAsia="Times New Roman" w:hAnsi="Arial Narrow" w:cs="Arial"/>
                <w:color w:val="000000"/>
                <w:sz w:val="18"/>
                <w:szCs w:val="18"/>
                <w:lang w:val="en-US"/>
              </w:rPr>
              <w:t>)</w:t>
            </w:r>
          </w:p>
        </w:tc>
      </w:tr>
      <w:tr w:rsidR="004D0C94" w:rsidRPr="00F02111" w:rsidTr="004D0C94">
        <w:trPr>
          <w:trHeight w:val="206"/>
          <w:jc w:val="center"/>
        </w:trPr>
        <w:tc>
          <w:tcPr>
            <w:tcW w:w="3420" w:type="dxa"/>
            <w:gridSpan w:val="2"/>
            <w:tcBorders>
              <w:top w:val="single" w:sz="4" w:space="0" w:color="auto"/>
              <w:left w:val="nil"/>
              <w:bottom w:val="double" w:sz="4" w:space="0" w:color="auto"/>
              <w:right w:val="nil"/>
            </w:tcBorders>
            <w:shd w:val="clear" w:color="auto" w:fill="auto"/>
            <w:vAlign w:val="center"/>
            <w:hideMark/>
          </w:tcPr>
          <w:p w:rsidR="004D0C94" w:rsidRPr="003268E9" w:rsidRDefault="004D0C94" w:rsidP="00CF1423">
            <w:pPr>
              <w:spacing w:after="0" w:line="240" w:lineRule="auto"/>
              <w:rPr>
                <w:rFonts w:ascii="Arial Narrow" w:eastAsia="Times New Roman" w:hAnsi="Arial Narrow" w:cs="Arial"/>
                <w:b/>
                <w:color w:val="000000"/>
                <w:sz w:val="18"/>
                <w:szCs w:val="18"/>
                <w:lang w:val="en-US"/>
              </w:rPr>
            </w:pPr>
            <w:r w:rsidRPr="003268E9">
              <w:rPr>
                <w:rFonts w:ascii="Arial Narrow" w:eastAsia="Times New Roman" w:hAnsi="Arial Narrow" w:cs="Arial"/>
                <w:b/>
                <w:color w:val="000000"/>
                <w:sz w:val="18"/>
                <w:szCs w:val="18"/>
                <w:lang w:val="en-US"/>
              </w:rPr>
              <w:t>TOTAL</w:t>
            </w:r>
          </w:p>
        </w:tc>
        <w:tc>
          <w:tcPr>
            <w:tcW w:w="1885" w:type="dxa"/>
            <w:tcBorders>
              <w:top w:val="single" w:sz="4" w:space="0" w:color="auto"/>
              <w:left w:val="nil"/>
              <w:bottom w:val="double" w:sz="4" w:space="0" w:color="auto"/>
              <w:right w:val="nil"/>
            </w:tcBorders>
            <w:shd w:val="clear" w:color="auto" w:fill="auto"/>
            <w:vAlign w:val="center"/>
          </w:tcPr>
          <w:p w:rsidR="004D0C94" w:rsidRPr="003268E9" w:rsidRDefault="004D0C94" w:rsidP="00B177D0">
            <w:pPr>
              <w:spacing w:after="0"/>
              <w:jc w:val="right"/>
              <w:rPr>
                <w:rFonts w:ascii="Arial Narrow" w:hAnsi="Arial Narrow" w:cs="Arial"/>
                <w:sz w:val="18"/>
                <w:szCs w:val="18"/>
              </w:rPr>
            </w:pPr>
            <w:r w:rsidRPr="003268E9">
              <w:rPr>
                <w:rFonts w:ascii="Arial Narrow" w:hAnsi="Arial Narrow" w:cs="Arial"/>
                <w:sz w:val="18"/>
                <w:szCs w:val="18"/>
              </w:rPr>
              <w:t>61,071,642,000</w:t>
            </w:r>
          </w:p>
        </w:tc>
        <w:tc>
          <w:tcPr>
            <w:tcW w:w="1894" w:type="dxa"/>
            <w:tcBorders>
              <w:top w:val="single" w:sz="4" w:space="0" w:color="auto"/>
              <w:left w:val="nil"/>
              <w:bottom w:val="double" w:sz="4" w:space="0" w:color="auto"/>
              <w:right w:val="nil"/>
            </w:tcBorders>
            <w:shd w:val="clear" w:color="auto" w:fill="auto"/>
            <w:vAlign w:val="center"/>
          </w:tcPr>
          <w:p w:rsidR="004D0C94" w:rsidRPr="003268E9" w:rsidRDefault="004D0C94" w:rsidP="00B177D0">
            <w:pPr>
              <w:spacing w:after="0"/>
              <w:jc w:val="right"/>
              <w:rPr>
                <w:rFonts w:ascii="Arial Narrow" w:hAnsi="Arial Narrow" w:cs="Arial"/>
                <w:sz w:val="18"/>
                <w:szCs w:val="18"/>
              </w:rPr>
            </w:pPr>
            <w:r w:rsidRPr="003268E9">
              <w:rPr>
                <w:rFonts w:ascii="Arial Narrow" w:hAnsi="Arial Narrow" w:cs="Arial"/>
                <w:sz w:val="18"/>
                <w:szCs w:val="18"/>
              </w:rPr>
              <w:t>61,652,318,46</w:t>
            </w:r>
            <w:r w:rsidR="00B177D0">
              <w:rPr>
                <w:rFonts w:ascii="Arial Narrow" w:hAnsi="Arial Narrow" w:cs="Arial"/>
                <w:sz w:val="18"/>
                <w:szCs w:val="18"/>
              </w:rPr>
              <w:t>4</w:t>
            </w:r>
          </w:p>
        </w:tc>
        <w:tc>
          <w:tcPr>
            <w:tcW w:w="1549" w:type="dxa"/>
            <w:tcBorders>
              <w:top w:val="single" w:sz="4" w:space="0" w:color="auto"/>
              <w:left w:val="nil"/>
              <w:bottom w:val="double" w:sz="4" w:space="0" w:color="auto"/>
              <w:right w:val="nil"/>
            </w:tcBorders>
            <w:shd w:val="clear" w:color="auto" w:fill="auto"/>
            <w:vAlign w:val="center"/>
          </w:tcPr>
          <w:p w:rsidR="004D0C94" w:rsidRPr="003268E9" w:rsidRDefault="004D0C94" w:rsidP="00B177D0">
            <w:pPr>
              <w:spacing w:after="0"/>
              <w:ind w:right="-54"/>
              <w:jc w:val="right"/>
              <w:rPr>
                <w:rFonts w:ascii="Arial Narrow" w:hAnsi="Arial Narrow" w:cs="Arial"/>
                <w:sz w:val="18"/>
                <w:szCs w:val="18"/>
              </w:rPr>
            </w:pPr>
            <w:r w:rsidRPr="003268E9">
              <w:rPr>
                <w:rFonts w:ascii="Arial Narrow" w:hAnsi="Arial Narrow" w:cs="Arial"/>
                <w:sz w:val="18"/>
                <w:szCs w:val="18"/>
              </w:rPr>
              <w:t>(580,676,46</w:t>
            </w:r>
            <w:r w:rsidR="00B177D0">
              <w:rPr>
                <w:rFonts w:ascii="Arial Narrow" w:hAnsi="Arial Narrow" w:cs="Arial"/>
                <w:sz w:val="18"/>
                <w:szCs w:val="18"/>
              </w:rPr>
              <w:t>4</w:t>
            </w:r>
            <w:r w:rsidRPr="003268E9">
              <w:rPr>
                <w:rFonts w:ascii="Arial Narrow" w:hAnsi="Arial Narrow" w:cs="Arial"/>
                <w:sz w:val="18"/>
                <w:szCs w:val="18"/>
              </w:rPr>
              <w:t>)*</w:t>
            </w:r>
          </w:p>
        </w:tc>
      </w:tr>
    </w:tbl>
    <w:p w:rsidR="00A33BB3" w:rsidRPr="004D0C94" w:rsidRDefault="00A15F2F" w:rsidP="00EA3CEE">
      <w:pPr>
        <w:spacing w:after="0" w:line="240" w:lineRule="auto"/>
        <w:jc w:val="both"/>
        <w:rPr>
          <w:rFonts w:ascii="Arial" w:hAnsi="Arial" w:cs="Arial"/>
          <w:i/>
          <w:sz w:val="16"/>
          <w:szCs w:val="16"/>
        </w:rPr>
      </w:pPr>
      <w:r w:rsidRPr="004D0C94">
        <w:rPr>
          <w:rFonts w:ascii="Arial" w:hAnsi="Arial" w:cs="Arial"/>
          <w:b/>
          <w:sz w:val="16"/>
          <w:szCs w:val="16"/>
        </w:rPr>
        <w:t>*</w:t>
      </w:r>
      <w:r w:rsidR="00EA3CEE" w:rsidRPr="004D0C94">
        <w:rPr>
          <w:rFonts w:ascii="Arial" w:hAnsi="Arial" w:cs="Arial"/>
          <w:i/>
          <w:sz w:val="16"/>
          <w:szCs w:val="16"/>
        </w:rPr>
        <w:t>PCSO submitted to the Department of Budget and Management a request for approval of the increase in the 2018 PCSO COB in the amount of P2,743,152,966.37</w:t>
      </w:r>
      <w:r w:rsidR="00F02111" w:rsidRPr="004D0C94">
        <w:rPr>
          <w:rFonts w:ascii="Arial" w:hAnsi="Arial" w:cs="Arial"/>
          <w:i/>
          <w:sz w:val="16"/>
          <w:szCs w:val="16"/>
        </w:rPr>
        <w:t xml:space="preserve"> on October 19, 2018.  PCSO has not received any action on the said request to date. </w:t>
      </w:r>
    </w:p>
    <w:p w:rsidR="00E2721B" w:rsidRPr="004F79DB" w:rsidRDefault="009F5D8E" w:rsidP="00E2721B">
      <w:pPr>
        <w:spacing w:after="0" w:line="240" w:lineRule="auto"/>
        <w:jc w:val="both"/>
        <w:rPr>
          <w:rFonts w:ascii="Arial" w:hAnsi="Arial" w:cs="Arial"/>
          <w:b/>
        </w:rPr>
      </w:pPr>
      <w:r w:rsidRPr="004F79DB">
        <w:rPr>
          <w:rFonts w:ascii="Arial" w:hAnsi="Arial" w:cs="Arial"/>
          <w:b/>
        </w:rPr>
        <w:lastRenderedPageBreak/>
        <w:t>SCOPE OF AUDIT</w:t>
      </w:r>
    </w:p>
    <w:p w:rsidR="00E2721B" w:rsidRPr="004F79DB" w:rsidRDefault="00E2721B" w:rsidP="00E2721B">
      <w:pPr>
        <w:spacing w:after="0" w:line="240" w:lineRule="auto"/>
        <w:ind w:left="360"/>
        <w:jc w:val="both"/>
        <w:rPr>
          <w:rFonts w:ascii="Arial" w:hAnsi="Arial" w:cs="Arial"/>
        </w:rPr>
      </w:pPr>
    </w:p>
    <w:p w:rsidR="00E2721B" w:rsidRPr="004F79DB" w:rsidRDefault="00E2721B" w:rsidP="00E2721B">
      <w:pPr>
        <w:spacing w:after="0" w:line="240" w:lineRule="auto"/>
        <w:jc w:val="both"/>
        <w:rPr>
          <w:rFonts w:ascii="Arial" w:eastAsia="Times New Roman" w:hAnsi="Arial" w:cs="Arial"/>
          <w:lang w:val="en-US"/>
        </w:rPr>
      </w:pPr>
      <w:r w:rsidRPr="004F79DB">
        <w:rPr>
          <w:rFonts w:ascii="Arial" w:eastAsia="Times New Roman" w:hAnsi="Arial" w:cs="Arial"/>
          <w:lang w:val="en-US"/>
        </w:rPr>
        <w:t xml:space="preserve">The audit covered the examination, on a test basis, of the accounts, transactions and operations of </w:t>
      </w:r>
      <w:r w:rsidR="000371BA" w:rsidRPr="004F79DB">
        <w:rPr>
          <w:rFonts w:ascii="Arial" w:eastAsia="Times New Roman" w:hAnsi="Arial" w:cs="Arial"/>
          <w:lang w:val="en-US"/>
        </w:rPr>
        <w:t xml:space="preserve">the </w:t>
      </w:r>
      <w:r w:rsidRPr="004F79DB">
        <w:rPr>
          <w:rFonts w:ascii="Arial" w:eastAsia="Times New Roman" w:hAnsi="Arial" w:cs="Arial"/>
          <w:lang w:val="en-US"/>
        </w:rPr>
        <w:t>P</w:t>
      </w:r>
      <w:r w:rsidR="00931C6F" w:rsidRPr="004F79DB">
        <w:rPr>
          <w:rFonts w:ascii="Arial" w:eastAsia="Times New Roman" w:hAnsi="Arial" w:cs="Arial"/>
          <w:lang w:val="en-US"/>
        </w:rPr>
        <w:t>CSO</w:t>
      </w:r>
      <w:r w:rsidRPr="004F79DB">
        <w:rPr>
          <w:rFonts w:ascii="Arial" w:eastAsia="Times New Roman" w:hAnsi="Arial" w:cs="Arial"/>
          <w:lang w:val="en-US"/>
        </w:rPr>
        <w:t xml:space="preserve"> </w:t>
      </w:r>
      <w:r w:rsidR="000371BA" w:rsidRPr="004F79DB">
        <w:rPr>
          <w:rFonts w:ascii="Arial" w:eastAsia="Times New Roman" w:hAnsi="Arial" w:cs="Arial"/>
          <w:lang w:val="en-US"/>
        </w:rPr>
        <w:t>to enable us to express an opinion on the financial statements for the years ended December 31,</w:t>
      </w:r>
      <w:r w:rsidR="004E5226" w:rsidRPr="004F79DB">
        <w:rPr>
          <w:rFonts w:ascii="Arial" w:eastAsia="Times New Roman" w:hAnsi="Arial" w:cs="Arial"/>
          <w:lang w:val="en-US"/>
        </w:rPr>
        <w:t xml:space="preserve"> </w:t>
      </w:r>
      <w:r w:rsidRPr="004F79DB">
        <w:rPr>
          <w:rFonts w:ascii="Arial" w:eastAsia="Times New Roman" w:hAnsi="Arial" w:cs="Arial"/>
          <w:lang w:val="en-US"/>
        </w:rPr>
        <w:t>201</w:t>
      </w:r>
      <w:r w:rsidR="008F50D3" w:rsidRPr="004F79DB">
        <w:rPr>
          <w:rFonts w:ascii="Arial" w:eastAsia="Times New Roman" w:hAnsi="Arial" w:cs="Arial"/>
          <w:lang w:val="en-US"/>
        </w:rPr>
        <w:t>8</w:t>
      </w:r>
      <w:r w:rsidR="000371BA" w:rsidRPr="004F79DB">
        <w:rPr>
          <w:rFonts w:ascii="Arial" w:eastAsia="Times New Roman" w:hAnsi="Arial" w:cs="Arial"/>
          <w:lang w:val="en-US"/>
        </w:rPr>
        <w:t xml:space="preserve"> and 2017</w:t>
      </w:r>
      <w:r w:rsidRPr="004F79DB">
        <w:rPr>
          <w:rFonts w:ascii="Arial" w:eastAsia="Times New Roman" w:hAnsi="Arial" w:cs="Arial"/>
          <w:lang w:val="en-US"/>
        </w:rPr>
        <w:t xml:space="preserve"> in accordance with </w:t>
      </w:r>
      <w:r w:rsidR="000371BA" w:rsidRPr="004F79DB">
        <w:rPr>
          <w:rFonts w:ascii="Arial" w:eastAsia="Times New Roman" w:hAnsi="Arial" w:cs="Arial"/>
          <w:lang w:val="en-US"/>
        </w:rPr>
        <w:t>International</w:t>
      </w:r>
      <w:r w:rsidR="00696694" w:rsidRPr="004F79DB">
        <w:rPr>
          <w:rFonts w:ascii="Arial" w:eastAsia="Times New Roman" w:hAnsi="Arial" w:cs="Arial"/>
          <w:lang w:val="en-US"/>
        </w:rPr>
        <w:t xml:space="preserve"> </w:t>
      </w:r>
      <w:r w:rsidR="000371BA" w:rsidRPr="004F79DB">
        <w:rPr>
          <w:rFonts w:ascii="Arial" w:eastAsia="Times New Roman" w:hAnsi="Arial" w:cs="Arial"/>
          <w:lang w:val="en-US"/>
        </w:rPr>
        <w:t>Standards of Supreme Audit Institutions (ISSAIs)</w:t>
      </w:r>
      <w:r w:rsidRPr="004F79DB">
        <w:rPr>
          <w:rFonts w:ascii="Arial" w:eastAsia="Times New Roman" w:hAnsi="Arial" w:cs="Arial"/>
          <w:lang w:val="en-US"/>
        </w:rPr>
        <w:t xml:space="preserve">.  It was </w:t>
      </w:r>
      <w:r w:rsidR="000371BA" w:rsidRPr="004F79DB">
        <w:rPr>
          <w:rFonts w:ascii="Arial" w:eastAsia="Times New Roman" w:hAnsi="Arial" w:cs="Arial"/>
          <w:lang w:val="en-US"/>
        </w:rPr>
        <w:t xml:space="preserve">also conducted at </w:t>
      </w:r>
      <w:r w:rsidRPr="004F79DB">
        <w:rPr>
          <w:rFonts w:ascii="Arial" w:eastAsia="Times New Roman" w:hAnsi="Arial" w:cs="Arial"/>
          <w:lang w:val="en-US"/>
        </w:rPr>
        <w:t xml:space="preserve">determining </w:t>
      </w:r>
      <w:r w:rsidR="000371BA" w:rsidRPr="004F79DB">
        <w:rPr>
          <w:rFonts w:ascii="Arial" w:eastAsia="Times New Roman" w:hAnsi="Arial" w:cs="Arial"/>
          <w:lang w:val="en-US"/>
        </w:rPr>
        <w:t xml:space="preserve">the </w:t>
      </w:r>
      <w:r w:rsidR="00F81595" w:rsidRPr="004F79DB">
        <w:rPr>
          <w:rFonts w:ascii="Arial" w:eastAsia="Times New Roman" w:hAnsi="Arial" w:cs="Arial"/>
          <w:lang w:val="en-US"/>
        </w:rPr>
        <w:t>P</w:t>
      </w:r>
      <w:r w:rsidR="00931C6F" w:rsidRPr="004F79DB">
        <w:rPr>
          <w:rFonts w:ascii="Arial" w:eastAsia="Times New Roman" w:hAnsi="Arial" w:cs="Arial"/>
          <w:lang w:val="en-US"/>
        </w:rPr>
        <w:t>CSO</w:t>
      </w:r>
      <w:r w:rsidR="000371BA" w:rsidRPr="004F79DB">
        <w:rPr>
          <w:rFonts w:ascii="Arial" w:eastAsia="Times New Roman" w:hAnsi="Arial" w:cs="Arial"/>
          <w:lang w:val="en-US"/>
        </w:rPr>
        <w:t xml:space="preserve">’s </w:t>
      </w:r>
      <w:r w:rsidRPr="004F79DB">
        <w:rPr>
          <w:rFonts w:ascii="Arial" w:eastAsia="Times New Roman" w:hAnsi="Arial" w:cs="Arial"/>
          <w:lang w:val="en-US"/>
        </w:rPr>
        <w:t>compliance with</w:t>
      </w:r>
      <w:r w:rsidR="000371BA" w:rsidRPr="004F79DB">
        <w:rPr>
          <w:rFonts w:ascii="Arial" w:eastAsia="Times New Roman" w:hAnsi="Arial" w:cs="Arial"/>
          <w:lang w:val="en-US"/>
        </w:rPr>
        <w:t xml:space="preserve"> pertinent</w:t>
      </w:r>
      <w:r w:rsidRPr="004F79DB">
        <w:rPr>
          <w:rFonts w:ascii="Arial" w:eastAsia="Times New Roman" w:hAnsi="Arial" w:cs="Arial"/>
          <w:lang w:val="en-US"/>
        </w:rPr>
        <w:t xml:space="preserve"> laws, rules and regulations</w:t>
      </w:r>
      <w:r w:rsidR="000371BA" w:rsidRPr="004F79DB">
        <w:rPr>
          <w:rFonts w:ascii="Arial" w:eastAsia="Times New Roman" w:hAnsi="Arial" w:cs="Arial"/>
          <w:lang w:val="en-US"/>
        </w:rPr>
        <w:t xml:space="preserve"> and adherence to prescribed policies and procedures</w:t>
      </w:r>
      <w:r w:rsidR="00F7441E" w:rsidRPr="004F79DB">
        <w:rPr>
          <w:rFonts w:ascii="Arial" w:eastAsia="Times New Roman" w:hAnsi="Arial" w:cs="Arial"/>
          <w:lang w:val="en-US"/>
        </w:rPr>
        <w:t xml:space="preserve">. </w:t>
      </w:r>
    </w:p>
    <w:p w:rsidR="00E2721B" w:rsidRPr="004F79DB" w:rsidRDefault="00E2721B" w:rsidP="00E2721B">
      <w:pPr>
        <w:spacing w:after="0" w:line="240" w:lineRule="auto"/>
        <w:ind w:left="360"/>
        <w:jc w:val="both"/>
        <w:rPr>
          <w:rFonts w:ascii="Arial" w:hAnsi="Arial" w:cs="Arial"/>
        </w:rPr>
      </w:pPr>
    </w:p>
    <w:p w:rsidR="004E5226" w:rsidRPr="004F79DB" w:rsidRDefault="004E5226" w:rsidP="00E2721B">
      <w:pPr>
        <w:spacing w:after="0" w:line="240" w:lineRule="auto"/>
        <w:ind w:left="360"/>
        <w:jc w:val="both"/>
        <w:rPr>
          <w:rFonts w:ascii="Arial" w:hAnsi="Arial" w:cs="Arial"/>
        </w:rPr>
      </w:pPr>
    </w:p>
    <w:p w:rsidR="00071571" w:rsidRPr="004F79DB" w:rsidRDefault="000371BA" w:rsidP="00740BCD">
      <w:pPr>
        <w:spacing w:after="0" w:line="240" w:lineRule="auto"/>
        <w:jc w:val="both"/>
        <w:rPr>
          <w:rFonts w:ascii="Arial" w:hAnsi="Arial" w:cs="Arial"/>
          <w:b/>
        </w:rPr>
      </w:pPr>
      <w:r w:rsidRPr="004F79DB">
        <w:rPr>
          <w:rFonts w:ascii="Arial" w:hAnsi="Arial" w:cs="Arial"/>
          <w:b/>
        </w:rPr>
        <w:t>INDEPENDENT AUDITOR’S REPORT ON THE FINANCIAL STATEMENTS</w:t>
      </w:r>
    </w:p>
    <w:p w:rsidR="00E2721B" w:rsidRPr="004F79DB" w:rsidRDefault="00E2721B" w:rsidP="0084243F">
      <w:pPr>
        <w:spacing w:after="0" w:line="240" w:lineRule="auto"/>
        <w:jc w:val="both"/>
        <w:rPr>
          <w:rFonts w:ascii="Arial" w:hAnsi="Arial" w:cs="Arial"/>
        </w:rPr>
      </w:pPr>
    </w:p>
    <w:p w:rsidR="002F26E0" w:rsidRPr="004F79DB" w:rsidRDefault="002F26E0" w:rsidP="004F79DB">
      <w:pPr>
        <w:spacing w:after="0" w:line="240" w:lineRule="auto"/>
        <w:jc w:val="both"/>
        <w:rPr>
          <w:rFonts w:ascii="Arial" w:eastAsia="Arial" w:hAnsi="Arial" w:cs="Arial"/>
        </w:rPr>
      </w:pPr>
      <w:r w:rsidRPr="004F79DB">
        <w:rPr>
          <w:rFonts w:ascii="Arial" w:eastAsia="Arial" w:hAnsi="Arial" w:cs="Arial"/>
        </w:rPr>
        <w:t>We rendered a</w:t>
      </w:r>
      <w:r w:rsidR="004D0C94">
        <w:rPr>
          <w:rFonts w:ascii="Arial" w:eastAsia="Arial" w:hAnsi="Arial" w:cs="Arial"/>
        </w:rPr>
        <w:t>n</w:t>
      </w:r>
      <w:r w:rsidRPr="004F79DB">
        <w:rPr>
          <w:rFonts w:ascii="Arial" w:eastAsia="Arial" w:hAnsi="Arial" w:cs="Arial"/>
        </w:rPr>
        <w:t xml:space="preserve"> adverse opinion on the fairness of presentation of the financial statements of the PCSO in view of the following:</w:t>
      </w:r>
    </w:p>
    <w:p w:rsidR="002F26E0" w:rsidRDefault="002F26E0" w:rsidP="002F26E0">
      <w:pPr>
        <w:spacing w:after="0" w:line="240" w:lineRule="auto"/>
        <w:ind w:right="-288"/>
        <w:jc w:val="both"/>
        <w:rPr>
          <w:rFonts w:ascii="Arial" w:eastAsia="Arial" w:hAnsi="Arial" w:cs="Arial"/>
        </w:rPr>
      </w:pPr>
    </w:p>
    <w:p w:rsidR="0031565A" w:rsidRPr="0031565A" w:rsidRDefault="0031565A" w:rsidP="0031565A">
      <w:pPr>
        <w:pStyle w:val="ListParagraph"/>
        <w:numPr>
          <w:ilvl w:val="0"/>
          <w:numId w:val="41"/>
        </w:numPr>
        <w:ind w:left="720" w:hanging="720"/>
        <w:jc w:val="both"/>
        <w:rPr>
          <w:rFonts w:ascii="Arial" w:hAnsi="Arial" w:cs="Arial"/>
          <w:color w:val="FF0000"/>
          <w:sz w:val="22"/>
          <w:szCs w:val="22"/>
        </w:rPr>
      </w:pPr>
      <w:r w:rsidRPr="0031565A">
        <w:rPr>
          <w:rFonts w:ascii="Arial" w:hAnsi="Arial" w:cs="Arial"/>
          <w:sz w:val="22"/>
          <w:szCs w:val="22"/>
        </w:rPr>
        <w:t xml:space="preserve">Presumptive Monthly Retail Receipts (PMRR) Shortfalls for calendar years (CYs) 2018 and 2017 in the total amounts of P7.320 billion and </w:t>
      </w:r>
      <w:r w:rsidR="00316651">
        <w:rPr>
          <w:rFonts w:ascii="Arial" w:hAnsi="Arial" w:cs="Arial"/>
          <w:sz w:val="22"/>
          <w:szCs w:val="22"/>
        </w:rPr>
        <w:t>P</w:t>
      </w:r>
      <w:r w:rsidR="00E424E8">
        <w:rPr>
          <w:rFonts w:ascii="Arial" w:hAnsi="Arial" w:cs="Arial"/>
          <w:sz w:val="22"/>
          <w:szCs w:val="22"/>
        </w:rPr>
        <w:t>7.589</w:t>
      </w:r>
      <w:r w:rsidR="00316651">
        <w:rPr>
          <w:rFonts w:ascii="Arial" w:hAnsi="Arial" w:cs="Arial"/>
          <w:sz w:val="22"/>
          <w:szCs w:val="22"/>
        </w:rPr>
        <w:t xml:space="preserve"> billion</w:t>
      </w:r>
      <w:r w:rsidRPr="0031565A">
        <w:rPr>
          <w:rFonts w:ascii="Arial" w:hAnsi="Arial" w:cs="Arial"/>
          <w:sz w:val="22"/>
          <w:szCs w:val="22"/>
        </w:rPr>
        <w:t xml:space="preserve"> and the corresponding amount</w:t>
      </w:r>
      <w:r w:rsidR="00316651">
        <w:rPr>
          <w:rFonts w:ascii="Arial" w:hAnsi="Arial" w:cs="Arial"/>
          <w:sz w:val="22"/>
          <w:szCs w:val="22"/>
        </w:rPr>
        <w:t>s</w:t>
      </w:r>
      <w:r w:rsidRPr="0031565A">
        <w:rPr>
          <w:rFonts w:ascii="Arial" w:hAnsi="Arial" w:cs="Arial"/>
          <w:sz w:val="22"/>
          <w:szCs w:val="22"/>
        </w:rPr>
        <w:t xml:space="preserve"> of Shortfall</w:t>
      </w:r>
      <w:r w:rsidR="00452F1A">
        <w:rPr>
          <w:rFonts w:ascii="Arial" w:hAnsi="Arial" w:cs="Arial"/>
          <w:sz w:val="22"/>
          <w:szCs w:val="22"/>
        </w:rPr>
        <w:t>s</w:t>
      </w:r>
      <w:r w:rsidRPr="0031565A">
        <w:rPr>
          <w:rFonts w:ascii="Arial" w:hAnsi="Arial" w:cs="Arial"/>
          <w:sz w:val="22"/>
          <w:szCs w:val="22"/>
        </w:rPr>
        <w:t xml:space="preserve"> due to PCSO totaling P3.051 billion and P2.983 billion</w:t>
      </w:r>
      <w:r w:rsidR="00316651">
        <w:rPr>
          <w:rFonts w:ascii="Arial" w:hAnsi="Arial" w:cs="Arial"/>
          <w:sz w:val="22"/>
          <w:szCs w:val="22"/>
        </w:rPr>
        <w:t>, respectively,</w:t>
      </w:r>
      <w:r w:rsidRPr="0031565A">
        <w:rPr>
          <w:rFonts w:ascii="Arial" w:hAnsi="Arial" w:cs="Arial"/>
          <w:sz w:val="22"/>
          <w:szCs w:val="22"/>
        </w:rPr>
        <w:t xml:space="preserve"> were not recognized in the books of PCSO despite being valid revenues and receivables from the Authorized Small Town Lottery (STL) Agents (ASAs), as defined under the </w:t>
      </w:r>
      <w:r w:rsidRPr="0031565A">
        <w:rPr>
          <w:rFonts w:ascii="Arial" w:eastAsia="Calibri" w:hAnsi="Arial" w:cs="Arial"/>
          <w:sz w:val="22"/>
          <w:szCs w:val="22"/>
        </w:rPr>
        <w:t>Philippine Accounting Standard (</w:t>
      </w:r>
      <w:r w:rsidRPr="0031565A">
        <w:rPr>
          <w:rFonts w:ascii="Arial" w:hAnsi="Arial" w:cs="Arial"/>
          <w:sz w:val="22"/>
          <w:szCs w:val="22"/>
        </w:rPr>
        <w:t>PAS) 1 and the Conceptual Framework for Financial Reporting (CFFR), resulting in the understatement of revenues, Retained Earnings and receivables - STL by P7.320 billion, P</w:t>
      </w:r>
      <w:r w:rsidR="00E424E8">
        <w:rPr>
          <w:rFonts w:ascii="Arial" w:hAnsi="Arial" w:cs="Arial"/>
          <w:sz w:val="22"/>
          <w:szCs w:val="22"/>
        </w:rPr>
        <w:t>2.983</w:t>
      </w:r>
      <w:r w:rsidRPr="0031565A">
        <w:rPr>
          <w:rFonts w:ascii="Arial" w:hAnsi="Arial" w:cs="Arial"/>
          <w:sz w:val="22"/>
          <w:szCs w:val="22"/>
        </w:rPr>
        <w:t xml:space="preserve"> billion and P6.034 billion, respectively.</w:t>
      </w:r>
      <w:r w:rsidRPr="0031565A">
        <w:rPr>
          <w:rFonts w:ascii="Arial" w:hAnsi="Arial" w:cs="Arial"/>
          <w:color w:val="FF0000"/>
          <w:sz w:val="22"/>
          <w:szCs w:val="22"/>
        </w:rPr>
        <w:t xml:space="preserve"> </w:t>
      </w:r>
    </w:p>
    <w:p w:rsidR="004D0C94" w:rsidRDefault="004D0C94" w:rsidP="002F26E0">
      <w:pPr>
        <w:spacing w:after="0" w:line="240" w:lineRule="auto"/>
        <w:ind w:right="-288"/>
        <w:jc w:val="both"/>
        <w:rPr>
          <w:rFonts w:ascii="Arial" w:eastAsia="Arial" w:hAnsi="Arial" w:cs="Arial"/>
        </w:rPr>
      </w:pPr>
    </w:p>
    <w:p w:rsidR="0031565A" w:rsidRPr="0031565A" w:rsidRDefault="0031565A" w:rsidP="0031565A">
      <w:pPr>
        <w:pStyle w:val="ListParagraph"/>
        <w:numPr>
          <w:ilvl w:val="0"/>
          <w:numId w:val="41"/>
        </w:numPr>
        <w:tabs>
          <w:tab w:val="left" w:pos="1260"/>
        </w:tabs>
        <w:ind w:left="720" w:hanging="720"/>
        <w:jc w:val="both"/>
        <w:rPr>
          <w:rFonts w:ascii="Arial" w:hAnsi="Arial" w:cs="Arial"/>
        </w:rPr>
      </w:pPr>
      <w:r w:rsidRPr="0031565A">
        <w:rPr>
          <w:rFonts w:ascii="Arial" w:hAnsi="Arial" w:cs="Arial"/>
          <w:sz w:val="22"/>
          <w:szCs w:val="22"/>
        </w:rPr>
        <w:t>The faithful representation of the balance of Cash and Cash Equivalents account amounting to P9.815 billion as at December 31, 2018 was not established due to various deficiencies enumerated below, contrary to Paragraph 15 of the PAS 1 and QC12 of the C</w:t>
      </w:r>
      <w:r w:rsidR="00411FC6">
        <w:rPr>
          <w:rFonts w:ascii="Arial" w:hAnsi="Arial" w:cs="Arial"/>
          <w:sz w:val="22"/>
          <w:szCs w:val="22"/>
        </w:rPr>
        <w:t>FFR</w:t>
      </w:r>
      <w:r w:rsidRPr="0031565A">
        <w:rPr>
          <w:rFonts w:ascii="Arial" w:hAnsi="Arial" w:cs="Arial"/>
          <w:sz w:val="22"/>
          <w:szCs w:val="22"/>
        </w:rPr>
        <w:t>:</w:t>
      </w:r>
    </w:p>
    <w:p w:rsidR="0031565A" w:rsidRPr="0031565A" w:rsidRDefault="0031565A" w:rsidP="0031565A">
      <w:pPr>
        <w:pStyle w:val="ListParagraph"/>
        <w:tabs>
          <w:tab w:val="left" w:pos="1260"/>
        </w:tabs>
        <w:jc w:val="both"/>
        <w:rPr>
          <w:rFonts w:ascii="Arial" w:hAnsi="Arial" w:cs="Arial"/>
        </w:rPr>
      </w:pPr>
    </w:p>
    <w:p w:rsidR="0031565A" w:rsidRPr="0031565A" w:rsidRDefault="0031565A" w:rsidP="0031565A">
      <w:pPr>
        <w:pStyle w:val="ListParagraph"/>
        <w:numPr>
          <w:ilvl w:val="0"/>
          <w:numId w:val="46"/>
        </w:numPr>
        <w:ind w:hanging="720"/>
        <w:jc w:val="both"/>
        <w:rPr>
          <w:rFonts w:ascii="Arial" w:hAnsi="Arial" w:cs="Arial"/>
          <w:sz w:val="22"/>
          <w:szCs w:val="22"/>
        </w:rPr>
      </w:pPr>
      <w:r w:rsidRPr="0031565A">
        <w:rPr>
          <w:rFonts w:ascii="Arial" w:hAnsi="Arial" w:cs="Arial"/>
          <w:sz w:val="22"/>
          <w:szCs w:val="22"/>
        </w:rPr>
        <w:t>Variance of P11.882 million between the balance per books and the confirmed bank balances of the Operating Fund</w:t>
      </w:r>
      <w:r w:rsidR="00411FC6">
        <w:rPr>
          <w:rFonts w:ascii="Arial" w:hAnsi="Arial" w:cs="Arial"/>
          <w:sz w:val="22"/>
          <w:szCs w:val="22"/>
        </w:rPr>
        <w:t xml:space="preserve"> (OF)</w:t>
      </w:r>
      <w:r w:rsidRPr="0031565A">
        <w:rPr>
          <w:rFonts w:ascii="Arial" w:hAnsi="Arial" w:cs="Arial"/>
          <w:sz w:val="22"/>
          <w:szCs w:val="22"/>
        </w:rPr>
        <w:t xml:space="preserve">  and Main account</w:t>
      </w:r>
      <w:r w:rsidR="00411FC6">
        <w:rPr>
          <w:rFonts w:ascii="Arial" w:hAnsi="Arial" w:cs="Arial"/>
          <w:sz w:val="22"/>
          <w:szCs w:val="22"/>
        </w:rPr>
        <w:t>s</w:t>
      </w:r>
      <w:r w:rsidRPr="0031565A">
        <w:rPr>
          <w:rFonts w:ascii="Arial" w:hAnsi="Arial" w:cs="Arial"/>
          <w:sz w:val="22"/>
          <w:szCs w:val="22"/>
        </w:rPr>
        <w:t>;</w:t>
      </w:r>
    </w:p>
    <w:p w:rsidR="0031565A" w:rsidRPr="0031565A" w:rsidRDefault="0031565A" w:rsidP="0031565A">
      <w:pPr>
        <w:pStyle w:val="ListParagraph"/>
        <w:ind w:left="1440" w:hanging="720"/>
        <w:jc w:val="both"/>
        <w:rPr>
          <w:rFonts w:ascii="Arial" w:hAnsi="Arial" w:cs="Arial"/>
          <w:sz w:val="22"/>
          <w:szCs w:val="22"/>
        </w:rPr>
      </w:pPr>
    </w:p>
    <w:p w:rsidR="0031565A" w:rsidRPr="0031565A" w:rsidRDefault="0031565A" w:rsidP="0031565A">
      <w:pPr>
        <w:pStyle w:val="ListParagraph"/>
        <w:numPr>
          <w:ilvl w:val="0"/>
          <w:numId w:val="46"/>
        </w:numPr>
        <w:ind w:hanging="720"/>
        <w:jc w:val="both"/>
        <w:rPr>
          <w:rFonts w:ascii="Arial" w:hAnsi="Arial" w:cs="Arial"/>
          <w:sz w:val="22"/>
          <w:szCs w:val="22"/>
        </w:rPr>
      </w:pPr>
      <w:r w:rsidRPr="0031565A">
        <w:rPr>
          <w:rFonts w:ascii="Arial" w:hAnsi="Arial" w:cs="Arial"/>
          <w:sz w:val="22"/>
          <w:szCs w:val="22"/>
        </w:rPr>
        <w:t>Variance of P497.338 million between the balance per books and the confirmed bank balances of the Charity Fund (CF) and Prize Fund (PF) accounts;</w:t>
      </w:r>
    </w:p>
    <w:p w:rsidR="0031565A" w:rsidRPr="0031565A" w:rsidRDefault="0031565A" w:rsidP="0031565A">
      <w:pPr>
        <w:pStyle w:val="ListParagraph"/>
        <w:ind w:left="1440" w:hanging="720"/>
        <w:rPr>
          <w:rFonts w:ascii="Arial" w:hAnsi="Arial" w:cs="Arial"/>
          <w:sz w:val="22"/>
          <w:szCs w:val="22"/>
        </w:rPr>
      </w:pPr>
    </w:p>
    <w:p w:rsidR="0031565A" w:rsidRPr="0031565A" w:rsidRDefault="0031565A" w:rsidP="0031565A">
      <w:pPr>
        <w:pStyle w:val="ListParagraph"/>
        <w:numPr>
          <w:ilvl w:val="0"/>
          <w:numId w:val="46"/>
        </w:numPr>
        <w:ind w:hanging="720"/>
        <w:jc w:val="both"/>
        <w:rPr>
          <w:rFonts w:ascii="Arial" w:hAnsi="Arial" w:cs="Arial"/>
          <w:sz w:val="22"/>
          <w:szCs w:val="22"/>
        </w:rPr>
      </w:pPr>
      <w:r w:rsidRPr="0031565A">
        <w:rPr>
          <w:rFonts w:ascii="Arial" w:hAnsi="Arial" w:cs="Arial"/>
          <w:sz w:val="22"/>
          <w:szCs w:val="22"/>
        </w:rPr>
        <w:t xml:space="preserve">Closed accounts still having outstanding balances in the books amounting to P22.254 million and P18.178 million (negative); and </w:t>
      </w:r>
    </w:p>
    <w:p w:rsidR="0031565A" w:rsidRPr="0031565A" w:rsidRDefault="0031565A" w:rsidP="0031565A">
      <w:pPr>
        <w:pStyle w:val="ListParagraph"/>
        <w:rPr>
          <w:rFonts w:ascii="Arial" w:hAnsi="Arial" w:cs="Arial"/>
          <w:sz w:val="22"/>
          <w:szCs w:val="22"/>
        </w:rPr>
      </w:pPr>
    </w:p>
    <w:p w:rsidR="0031565A" w:rsidRPr="0031565A" w:rsidRDefault="0031565A" w:rsidP="0031565A">
      <w:pPr>
        <w:pStyle w:val="ListParagraph"/>
        <w:numPr>
          <w:ilvl w:val="0"/>
          <w:numId w:val="46"/>
        </w:numPr>
        <w:ind w:hanging="720"/>
        <w:jc w:val="both"/>
        <w:rPr>
          <w:rFonts w:ascii="Arial" w:hAnsi="Arial" w:cs="Arial"/>
          <w:vanish/>
          <w:sz w:val="22"/>
          <w:szCs w:val="22"/>
        </w:rPr>
      </w:pPr>
      <w:r w:rsidRPr="0031565A">
        <w:rPr>
          <w:rFonts w:ascii="Arial" w:hAnsi="Arial" w:cs="Arial"/>
          <w:sz w:val="22"/>
          <w:szCs w:val="22"/>
        </w:rPr>
        <w:t>Checks totalling P8.631 million already presented to and cleared by bank were erroneously included as unreleased checks that were reverted back to cash.</w:t>
      </w:r>
    </w:p>
    <w:p w:rsidR="0031565A" w:rsidRPr="0031565A" w:rsidRDefault="0031565A" w:rsidP="0031565A">
      <w:pPr>
        <w:spacing w:after="0" w:line="240" w:lineRule="auto"/>
        <w:ind w:left="1440" w:hanging="720"/>
        <w:rPr>
          <w:rFonts w:ascii="Arial" w:hAnsi="Arial" w:cs="Arial"/>
        </w:rPr>
      </w:pPr>
    </w:p>
    <w:p w:rsidR="004D0C94" w:rsidRPr="004F79DB" w:rsidRDefault="004D0C94" w:rsidP="002F26E0">
      <w:pPr>
        <w:spacing w:after="0" w:line="240" w:lineRule="auto"/>
        <w:ind w:right="-288"/>
        <w:jc w:val="both"/>
        <w:rPr>
          <w:rFonts w:ascii="Arial" w:eastAsia="Arial" w:hAnsi="Arial" w:cs="Arial"/>
        </w:rPr>
      </w:pPr>
    </w:p>
    <w:p w:rsidR="0031565A" w:rsidRPr="00FE1746" w:rsidRDefault="0031565A" w:rsidP="0031565A">
      <w:pPr>
        <w:pStyle w:val="ListParagraph"/>
        <w:numPr>
          <w:ilvl w:val="0"/>
          <w:numId w:val="41"/>
        </w:numPr>
        <w:tabs>
          <w:tab w:val="left" w:pos="720"/>
        </w:tabs>
        <w:ind w:left="720" w:hanging="720"/>
        <w:contextualSpacing/>
        <w:jc w:val="both"/>
        <w:rPr>
          <w:rFonts w:ascii="Arial" w:hAnsi="Arial" w:cs="Arial"/>
          <w:color w:val="000000" w:themeColor="text1"/>
          <w:sz w:val="22"/>
          <w:szCs w:val="22"/>
          <w:lang w:val="en-PH"/>
        </w:rPr>
      </w:pPr>
      <w:r w:rsidRPr="00FE1746">
        <w:rPr>
          <w:rFonts w:ascii="Arial" w:hAnsi="Arial" w:cs="Arial"/>
          <w:color w:val="000000" w:themeColor="text1"/>
          <w:sz w:val="22"/>
          <w:szCs w:val="22"/>
          <w:lang w:val="en-PH"/>
        </w:rPr>
        <w:t xml:space="preserve">Assets generated as well as the liabilities incurred from the P2.5 billion trust fund intended for the construction of the PCSO building maintained with the Land Bank of the Philippines (LBP) were not reported separately in the Statement of Financial Position as at December 31, 2018.  Instead, the equity from the said trust account in the amount of P2.603 billion was recognized under the Financial Assets at Fair Value through Other Comprehensive Income (FVOCI) account, </w:t>
      </w:r>
      <w:r w:rsidRPr="00FE1746">
        <w:rPr>
          <w:rFonts w:ascii="Arial" w:hAnsi="Arial" w:cs="Arial"/>
          <w:color w:val="000000" w:themeColor="text1"/>
          <w:sz w:val="22"/>
          <w:szCs w:val="22"/>
          <w:lang w:val="en-PH"/>
        </w:rPr>
        <w:lastRenderedPageBreak/>
        <w:t xml:space="preserve">which was tantamount to offsetting of  assets and liabilities that is not allowed under Sections 32 and 33 </w:t>
      </w:r>
      <w:r w:rsidRPr="00FE1746">
        <w:rPr>
          <w:rFonts w:ascii="Arial" w:hAnsi="Arial" w:cs="Arial"/>
          <w:color w:val="000000" w:themeColor="text1"/>
          <w:sz w:val="22"/>
          <w:szCs w:val="22"/>
        </w:rPr>
        <w:t>of PAS 1,</w:t>
      </w:r>
      <w:r w:rsidRPr="00FE1746">
        <w:rPr>
          <w:rFonts w:ascii="Arial" w:hAnsi="Arial" w:cs="Arial"/>
          <w:color w:val="000000" w:themeColor="text1"/>
          <w:sz w:val="22"/>
          <w:szCs w:val="22"/>
          <w:lang w:val="en-PH"/>
        </w:rPr>
        <w:t xml:space="preserve"> resulting in the understatement of Cash and Cash Equivalents, Receivables, Prepayments and Liabilities accounts by P509.424 million, P16.801 million, P1.549 million and P3.438 million, respectively, while the Financial Assets</w:t>
      </w:r>
      <w:r w:rsidR="00B307F7">
        <w:rPr>
          <w:rFonts w:ascii="Arial" w:hAnsi="Arial" w:cs="Arial"/>
          <w:color w:val="000000" w:themeColor="text1"/>
          <w:sz w:val="22"/>
          <w:szCs w:val="22"/>
          <w:lang w:val="en-PH"/>
        </w:rPr>
        <w:t xml:space="preserve"> account</w:t>
      </w:r>
      <w:r w:rsidRPr="00FE1746">
        <w:rPr>
          <w:rFonts w:ascii="Arial" w:hAnsi="Arial" w:cs="Arial"/>
          <w:color w:val="000000" w:themeColor="text1"/>
          <w:sz w:val="22"/>
          <w:szCs w:val="22"/>
          <w:lang w:val="en-PH"/>
        </w:rPr>
        <w:t xml:space="preserve"> was overstated by </w:t>
      </w:r>
      <w:r w:rsidR="00B307F7">
        <w:rPr>
          <w:rFonts w:ascii="Arial" w:hAnsi="Arial" w:cs="Arial"/>
          <w:color w:val="000000" w:themeColor="text1"/>
          <w:sz w:val="22"/>
          <w:szCs w:val="22"/>
          <w:lang w:val="en-PH"/>
        </w:rPr>
        <w:t xml:space="preserve">        </w:t>
      </w:r>
      <w:r w:rsidRPr="00FE1746">
        <w:rPr>
          <w:rFonts w:ascii="Arial" w:hAnsi="Arial" w:cs="Arial"/>
          <w:color w:val="000000" w:themeColor="text1"/>
          <w:sz w:val="22"/>
          <w:szCs w:val="22"/>
          <w:lang w:val="en-PH"/>
        </w:rPr>
        <w:t xml:space="preserve">P524.336 million. </w:t>
      </w:r>
    </w:p>
    <w:p w:rsidR="00FE1746" w:rsidRDefault="00FE1746" w:rsidP="004F79DB">
      <w:pPr>
        <w:spacing w:after="0" w:line="240" w:lineRule="auto"/>
        <w:ind w:left="720"/>
        <w:jc w:val="both"/>
        <w:rPr>
          <w:rFonts w:ascii="Arial" w:hAnsi="Arial" w:cs="Arial"/>
          <w:bCs/>
          <w:color w:val="000000"/>
        </w:rPr>
      </w:pPr>
    </w:p>
    <w:p w:rsidR="00FE1746" w:rsidRPr="00FE1746" w:rsidRDefault="00FE1746" w:rsidP="00FE1746">
      <w:pPr>
        <w:pStyle w:val="ListParagraph"/>
        <w:numPr>
          <w:ilvl w:val="0"/>
          <w:numId w:val="41"/>
        </w:numPr>
        <w:jc w:val="both"/>
        <w:rPr>
          <w:rFonts w:ascii="Arial" w:hAnsi="Arial" w:cs="Arial"/>
        </w:rPr>
      </w:pPr>
      <w:r w:rsidRPr="00FE1746">
        <w:rPr>
          <w:rFonts w:ascii="Arial" w:hAnsi="Arial" w:cs="Arial"/>
          <w:sz w:val="22"/>
          <w:szCs w:val="22"/>
        </w:rPr>
        <w:t>The Accounts Payable – Miscellaneous with a balance of P5.340 billion as at December 31, 2018 and Other Charity Expenses account totaling P198.977 million were overstated by P255.949 million and P23.348 million, respectively, while the Retained Earnings – Charity Fund account with balance of P2.772 billion was understated by P232.600 million as at December 31, 2018 due to erroneous recording of various charity expenses and payments, as follows:</w:t>
      </w:r>
    </w:p>
    <w:p w:rsidR="00FE1746" w:rsidRPr="00FE1746" w:rsidRDefault="00FE1746" w:rsidP="00FE1746">
      <w:pPr>
        <w:pStyle w:val="ListParagraph"/>
        <w:ind w:left="576"/>
        <w:jc w:val="both"/>
        <w:rPr>
          <w:rFonts w:ascii="Arial" w:hAnsi="Arial" w:cs="Arial"/>
          <w:sz w:val="22"/>
          <w:szCs w:val="22"/>
        </w:rPr>
      </w:pPr>
    </w:p>
    <w:p w:rsidR="00FE1746" w:rsidRPr="00FE1746" w:rsidRDefault="00FE1746" w:rsidP="00FE1746">
      <w:pPr>
        <w:pStyle w:val="ListParagraph"/>
        <w:numPr>
          <w:ilvl w:val="1"/>
          <w:numId w:val="42"/>
        </w:numPr>
        <w:tabs>
          <w:tab w:val="left" w:pos="1260"/>
          <w:tab w:val="left" w:pos="8640"/>
        </w:tabs>
        <w:ind w:left="1260" w:hanging="540"/>
        <w:jc w:val="both"/>
        <w:rPr>
          <w:rFonts w:ascii="Arial" w:hAnsi="Arial" w:cs="Arial"/>
          <w:sz w:val="22"/>
          <w:szCs w:val="22"/>
        </w:rPr>
      </w:pPr>
      <w:r w:rsidRPr="00FE1746">
        <w:rPr>
          <w:rFonts w:ascii="Arial" w:hAnsi="Arial" w:cs="Arial"/>
          <w:sz w:val="22"/>
          <w:szCs w:val="22"/>
        </w:rPr>
        <w:t>Erroneous recording of expenses of P23.348 million pertaining to Individual Partnership Program (IPP) and Endowment Fund (EF) Program which were already accrued in 2015;</w:t>
      </w:r>
    </w:p>
    <w:p w:rsidR="00FE1746" w:rsidRPr="00FE1746" w:rsidRDefault="00FE1746" w:rsidP="00FE1746">
      <w:pPr>
        <w:pStyle w:val="ListParagraph"/>
        <w:tabs>
          <w:tab w:val="left" w:pos="1260"/>
          <w:tab w:val="left" w:pos="8640"/>
        </w:tabs>
        <w:ind w:left="1260"/>
        <w:jc w:val="both"/>
        <w:rPr>
          <w:rFonts w:ascii="Arial" w:hAnsi="Arial" w:cs="Arial"/>
          <w:sz w:val="22"/>
          <w:szCs w:val="22"/>
        </w:rPr>
      </w:pPr>
    </w:p>
    <w:p w:rsidR="00FE1746" w:rsidRPr="00FE1746" w:rsidRDefault="00FE1746" w:rsidP="00FE1746">
      <w:pPr>
        <w:pStyle w:val="ListParagraph"/>
        <w:numPr>
          <w:ilvl w:val="1"/>
          <w:numId w:val="42"/>
        </w:numPr>
        <w:tabs>
          <w:tab w:val="left" w:pos="1260"/>
          <w:tab w:val="left" w:pos="8640"/>
        </w:tabs>
        <w:ind w:left="1260" w:hanging="540"/>
        <w:jc w:val="both"/>
        <w:rPr>
          <w:rFonts w:ascii="Arial" w:hAnsi="Arial" w:cs="Arial"/>
          <w:sz w:val="22"/>
          <w:szCs w:val="22"/>
        </w:rPr>
      </w:pPr>
      <w:r w:rsidRPr="00FE1746">
        <w:rPr>
          <w:rFonts w:ascii="Arial" w:hAnsi="Arial" w:cs="Arial"/>
          <w:sz w:val="22"/>
          <w:szCs w:val="22"/>
        </w:rPr>
        <w:t>Over recording of expenses amounting to P26.077 million under the Purchase of Medical Equipment Program; and</w:t>
      </w:r>
    </w:p>
    <w:p w:rsidR="00FE1746" w:rsidRPr="00FE1746" w:rsidRDefault="00FE1746" w:rsidP="00FE1746">
      <w:pPr>
        <w:pStyle w:val="ListParagraph"/>
        <w:tabs>
          <w:tab w:val="left" w:pos="1260"/>
          <w:tab w:val="left" w:pos="8640"/>
        </w:tabs>
        <w:ind w:left="1260"/>
        <w:jc w:val="both"/>
        <w:rPr>
          <w:rFonts w:ascii="Arial" w:hAnsi="Arial" w:cs="Arial"/>
          <w:sz w:val="22"/>
          <w:szCs w:val="22"/>
        </w:rPr>
      </w:pPr>
    </w:p>
    <w:p w:rsidR="00FE1746" w:rsidRPr="00FE1746" w:rsidRDefault="00FE1746" w:rsidP="00FE1746">
      <w:pPr>
        <w:pStyle w:val="ListParagraph"/>
        <w:numPr>
          <w:ilvl w:val="1"/>
          <w:numId w:val="42"/>
        </w:numPr>
        <w:tabs>
          <w:tab w:val="left" w:pos="1260"/>
          <w:tab w:val="left" w:pos="8640"/>
        </w:tabs>
        <w:ind w:left="1260" w:hanging="540"/>
        <w:jc w:val="both"/>
        <w:rPr>
          <w:rFonts w:ascii="Arial" w:hAnsi="Arial" w:cs="Arial"/>
          <w:sz w:val="22"/>
          <w:szCs w:val="22"/>
        </w:rPr>
      </w:pPr>
      <w:r w:rsidRPr="00FE1746">
        <w:rPr>
          <w:rFonts w:ascii="Arial" w:hAnsi="Arial" w:cs="Arial"/>
          <w:sz w:val="22"/>
          <w:szCs w:val="22"/>
        </w:rPr>
        <w:t>Erroneous recording of payments for mandatory contributions totaling P206.523 million.</w:t>
      </w:r>
    </w:p>
    <w:p w:rsidR="00FE1746" w:rsidRDefault="00FE1746" w:rsidP="00FE1746">
      <w:pPr>
        <w:pStyle w:val="ListParagraph"/>
        <w:tabs>
          <w:tab w:val="left" w:pos="720"/>
        </w:tabs>
        <w:contextualSpacing/>
        <w:jc w:val="both"/>
        <w:rPr>
          <w:rFonts w:ascii="Arial" w:hAnsi="Arial" w:cs="Arial"/>
          <w:bCs/>
          <w:color w:val="000000"/>
        </w:rPr>
      </w:pPr>
    </w:p>
    <w:p w:rsidR="006B6806" w:rsidRPr="006B6806" w:rsidRDefault="006B6806" w:rsidP="006B6806">
      <w:pPr>
        <w:pStyle w:val="ListParagraph"/>
        <w:numPr>
          <w:ilvl w:val="0"/>
          <w:numId w:val="41"/>
        </w:numPr>
        <w:jc w:val="both"/>
        <w:rPr>
          <w:rFonts w:ascii="Arial" w:hAnsi="Arial" w:cs="Arial"/>
          <w:bCs/>
          <w:color w:val="000000"/>
        </w:rPr>
      </w:pPr>
      <w:r w:rsidRPr="006B6806">
        <w:rPr>
          <w:rFonts w:ascii="Arial" w:hAnsi="Arial" w:cs="Arial"/>
          <w:sz w:val="22"/>
          <w:szCs w:val="22"/>
        </w:rPr>
        <w:t>Cash bonds of six (6) terminated Authorized Agent Corporations/Authorized STL Agents (AACs/ASAs) totaling P497.183 million were not yet forfeited as of December 31, 2018 despite the issuance of forfeiture order/request by the Branch Operations Sector (BOS), resulting in the overstatement of the Performance Bonds Payable account with a balance of P4.044 billion  by P497.183 million and misstatement of the balances of the other affected accounts by the corresponding amounts, which affected the faithful presentation of the balances of subject accounts in the financial statements as of December 31, 2018</w:t>
      </w:r>
      <w:r w:rsidR="00B307F7">
        <w:rPr>
          <w:rFonts w:ascii="Arial" w:hAnsi="Arial" w:cs="Arial"/>
          <w:sz w:val="22"/>
          <w:szCs w:val="22"/>
        </w:rPr>
        <w:t>.</w:t>
      </w:r>
    </w:p>
    <w:p w:rsidR="006B6806" w:rsidRPr="009511C8" w:rsidRDefault="006B6806" w:rsidP="00FE1746">
      <w:pPr>
        <w:pStyle w:val="ListParagraph"/>
        <w:tabs>
          <w:tab w:val="left" w:pos="720"/>
        </w:tabs>
        <w:contextualSpacing/>
        <w:jc w:val="both"/>
        <w:rPr>
          <w:rFonts w:ascii="Arial" w:hAnsi="Arial" w:cs="Arial"/>
          <w:bCs/>
          <w:color w:val="000000"/>
        </w:rPr>
      </w:pPr>
    </w:p>
    <w:p w:rsidR="002F26E0" w:rsidRPr="0066572C" w:rsidRDefault="002F26E0" w:rsidP="002F26E0">
      <w:pPr>
        <w:pStyle w:val="NoSpacing"/>
        <w:jc w:val="both"/>
        <w:rPr>
          <w:rFonts w:ascii="Arial" w:hAnsi="Arial" w:cs="Arial"/>
          <w:sz w:val="22"/>
          <w:szCs w:val="22"/>
        </w:rPr>
      </w:pPr>
      <w:r w:rsidRPr="0066572C">
        <w:rPr>
          <w:rFonts w:ascii="Arial" w:hAnsi="Arial" w:cs="Arial"/>
          <w:sz w:val="22"/>
          <w:szCs w:val="22"/>
          <w:lang w:val="en-PH"/>
        </w:rPr>
        <w:t>For the afore-cited observations, which caused the issuance of a</w:t>
      </w:r>
      <w:r w:rsidR="00CE79C3">
        <w:rPr>
          <w:rFonts w:ascii="Arial" w:hAnsi="Arial" w:cs="Arial"/>
          <w:sz w:val="22"/>
          <w:szCs w:val="22"/>
          <w:lang w:val="en-PH"/>
        </w:rPr>
        <w:t>n adverse</w:t>
      </w:r>
      <w:r w:rsidRPr="0066572C">
        <w:rPr>
          <w:rFonts w:ascii="Arial" w:hAnsi="Arial" w:cs="Arial"/>
          <w:sz w:val="22"/>
          <w:szCs w:val="22"/>
          <w:lang w:val="en-PH"/>
        </w:rPr>
        <w:t xml:space="preserve"> opinion, we recommended that Management:</w:t>
      </w:r>
    </w:p>
    <w:p w:rsidR="002F26E0" w:rsidRPr="0066572C" w:rsidRDefault="002F26E0" w:rsidP="002F26E0">
      <w:pPr>
        <w:spacing w:after="0" w:line="240" w:lineRule="auto"/>
        <w:jc w:val="both"/>
        <w:rPr>
          <w:rFonts w:ascii="Arial" w:hAnsi="Arial" w:cs="Arial"/>
        </w:rPr>
      </w:pPr>
    </w:p>
    <w:p w:rsidR="0031565A" w:rsidRPr="0031565A" w:rsidRDefault="0031565A" w:rsidP="0031565A">
      <w:pPr>
        <w:spacing w:after="0" w:line="240" w:lineRule="auto"/>
        <w:ind w:left="720" w:hanging="720"/>
        <w:contextualSpacing/>
        <w:jc w:val="both"/>
        <w:rPr>
          <w:rFonts w:ascii="Arial" w:hAnsi="Arial" w:cs="Arial"/>
        </w:rPr>
      </w:pPr>
      <w:r>
        <w:rPr>
          <w:rFonts w:ascii="Arial" w:hAnsi="Arial" w:cs="Arial"/>
        </w:rPr>
        <w:t xml:space="preserve">1.1 </w:t>
      </w:r>
      <w:r>
        <w:rPr>
          <w:rFonts w:ascii="Arial" w:hAnsi="Arial" w:cs="Arial"/>
        </w:rPr>
        <w:tab/>
      </w:r>
      <w:r w:rsidRPr="0031565A">
        <w:rPr>
          <w:rFonts w:ascii="Arial" w:hAnsi="Arial" w:cs="Arial"/>
        </w:rPr>
        <w:t>Direct the Accounting and Budget Department (ABD) to:</w:t>
      </w:r>
    </w:p>
    <w:p w:rsidR="0031565A" w:rsidRPr="0031565A" w:rsidRDefault="0031565A" w:rsidP="0031565A">
      <w:pPr>
        <w:pStyle w:val="ListParagraph"/>
        <w:rPr>
          <w:rFonts w:ascii="Arial" w:hAnsi="Arial" w:cs="Arial"/>
          <w:color w:val="000000" w:themeColor="text1"/>
          <w:sz w:val="22"/>
          <w:szCs w:val="22"/>
        </w:rPr>
      </w:pPr>
    </w:p>
    <w:p w:rsidR="0031565A" w:rsidRPr="0031565A" w:rsidRDefault="00593CD4" w:rsidP="00593CD4">
      <w:pPr>
        <w:pStyle w:val="ListParagraph"/>
        <w:ind w:left="1260" w:hanging="540"/>
        <w:contextualSpacing/>
        <w:jc w:val="both"/>
        <w:rPr>
          <w:rFonts w:ascii="Arial" w:hAnsi="Arial" w:cs="Arial"/>
          <w:sz w:val="22"/>
          <w:szCs w:val="22"/>
        </w:rPr>
      </w:pPr>
      <w:r>
        <w:rPr>
          <w:rFonts w:ascii="Arial" w:hAnsi="Arial" w:cs="Arial"/>
          <w:sz w:val="22"/>
          <w:szCs w:val="22"/>
        </w:rPr>
        <w:t xml:space="preserve">a. </w:t>
      </w:r>
      <w:r>
        <w:rPr>
          <w:rFonts w:ascii="Arial" w:hAnsi="Arial" w:cs="Arial"/>
          <w:sz w:val="22"/>
          <w:szCs w:val="22"/>
        </w:rPr>
        <w:tab/>
      </w:r>
      <w:r w:rsidR="0031565A" w:rsidRPr="0031565A">
        <w:rPr>
          <w:rFonts w:ascii="Arial" w:hAnsi="Arial" w:cs="Arial"/>
          <w:sz w:val="22"/>
          <w:szCs w:val="22"/>
        </w:rPr>
        <w:t xml:space="preserve">Recognize as part of the PCSO’s revenues the PMRR shortfalls incurred in CYs 2018 and 2017 and recognize as among the receivables the net amount representing unsettled PMRR shortfalls due to PCSO in 2018 and 2017.  </w:t>
      </w:r>
    </w:p>
    <w:p w:rsidR="0031565A" w:rsidRPr="0031565A" w:rsidRDefault="0031565A" w:rsidP="0031565A">
      <w:pPr>
        <w:pStyle w:val="ListParagraph"/>
        <w:suppressAutoHyphens/>
        <w:ind w:left="1260" w:hanging="540"/>
        <w:jc w:val="both"/>
        <w:rPr>
          <w:rFonts w:ascii="Arial" w:hAnsi="Arial" w:cs="Arial"/>
          <w:color w:val="000000" w:themeColor="text1"/>
          <w:sz w:val="22"/>
          <w:szCs w:val="22"/>
        </w:rPr>
      </w:pPr>
    </w:p>
    <w:p w:rsidR="0031565A" w:rsidRDefault="0031565A" w:rsidP="0031565A">
      <w:pPr>
        <w:pStyle w:val="ListParagraph"/>
        <w:numPr>
          <w:ilvl w:val="0"/>
          <w:numId w:val="42"/>
        </w:numPr>
        <w:ind w:left="1260" w:hanging="540"/>
        <w:contextualSpacing/>
        <w:jc w:val="both"/>
        <w:rPr>
          <w:rFonts w:ascii="Arial" w:hAnsi="Arial" w:cs="Arial"/>
          <w:sz w:val="22"/>
          <w:szCs w:val="22"/>
        </w:rPr>
      </w:pPr>
      <w:r w:rsidRPr="0031565A">
        <w:rPr>
          <w:rFonts w:ascii="Arial" w:hAnsi="Arial" w:cs="Arial"/>
          <w:sz w:val="22"/>
          <w:szCs w:val="22"/>
        </w:rPr>
        <w:t>Record the STL transactions on accrual basis to ensure that the same are recognized in the period in which they were earned and not when cash was collected pursuant to Paragraphs 27 and 28 of PAS 1 and the CFFR.</w:t>
      </w:r>
    </w:p>
    <w:p w:rsidR="0031565A" w:rsidRDefault="0031565A" w:rsidP="0031565A">
      <w:pPr>
        <w:pStyle w:val="ListParagraph"/>
        <w:ind w:left="1260"/>
        <w:contextualSpacing/>
        <w:jc w:val="both"/>
        <w:rPr>
          <w:rFonts w:ascii="Arial" w:hAnsi="Arial" w:cs="Arial"/>
          <w:sz w:val="22"/>
          <w:szCs w:val="22"/>
        </w:rPr>
      </w:pPr>
    </w:p>
    <w:p w:rsidR="00CE79C3" w:rsidRDefault="00CE79C3" w:rsidP="0031565A">
      <w:pPr>
        <w:pStyle w:val="ListParagraph"/>
        <w:ind w:left="1260"/>
        <w:contextualSpacing/>
        <w:jc w:val="both"/>
        <w:rPr>
          <w:rFonts w:ascii="Arial" w:hAnsi="Arial" w:cs="Arial"/>
          <w:sz w:val="22"/>
          <w:szCs w:val="22"/>
        </w:rPr>
      </w:pPr>
    </w:p>
    <w:p w:rsidR="00CE79C3" w:rsidRDefault="00CE79C3" w:rsidP="0031565A">
      <w:pPr>
        <w:pStyle w:val="ListParagraph"/>
        <w:ind w:left="1260"/>
        <w:contextualSpacing/>
        <w:jc w:val="both"/>
        <w:rPr>
          <w:rFonts w:ascii="Arial" w:hAnsi="Arial" w:cs="Arial"/>
          <w:sz w:val="22"/>
          <w:szCs w:val="22"/>
        </w:rPr>
      </w:pPr>
    </w:p>
    <w:p w:rsidR="00CE79C3" w:rsidRDefault="00CE79C3" w:rsidP="0031565A">
      <w:pPr>
        <w:pStyle w:val="ListParagraph"/>
        <w:ind w:left="1260"/>
        <w:contextualSpacing/>
        <w:jc w:val="both"/>
        <w:rPr>
          <w:rFonts w:ascii="Arial" w:hAnsi="Arial" w:cs="Arial"/>
          <w:sz w:val="22"/>
          <w:szCs w:val="22"/>
        </w:rPr>
      </w:pPr>
    </w:p>
    <w:p w:rsidR="0031565A" w:rsidRPr="00EF4855" w:rsidRDefault="00FE1746" w:rsidP="00CE79C3">
      <w:pPr>
        <w:ind w:left="720" w:hanging="720"/>
        <w:contextualSpacing/>
        <w:jc w:val="both"/>
        <w:rPr>
          <w:rFonts w:ascii="Arial" w:hAnsi="Arial" w:cs="Arial"/>
          <w:b/>
        </w:rPr>
      </w:pPr>
      <w:r>
        <w:rPr>
          <w:rFonts w:ascii="Arial" w:hAnsi="Arial" w:cs="Arial"/>
        </w:rPr>
        <w:lastRenderedPageBreak/>
        <w:t xml:space="preserve">2.1 </w:t>
      </w:r>
      <w:r>
        <w:rPr>
          <w:rFonts w:ascii="Arial" w:hAnsi="Arial" w:cs="Arial"/>
        </w:rPr>
        <w:tab/>
      </w:r>
      <w:r w:rsidR="0031565A" w:rsidRPr="00FE1746">
        <w:rPr>
          <w:rFonts w:ascii="Arial" w:hAnsi="Arial" w:cs="Arial"/>
        </w:rPr>
        <w:t>Direct the concerned accounting personnel to:</w:t>
      </w:r>
    </w:p>
    <w:p w:rsidR="0031565A" w:rsidRPr="0031565A" w:rsidRDefault="0031565A" w:rsidP="0031565A">
      <w:pPr>
        <w:pStyle w:val="ListParagraph"/>
        <w:numPr>
          <w:ilvl w:val="0"/>
          <w:numId w:val="44"/>
        </w:numPr>
        <w:ind w:left="1260" w:hanging="540"/>
        <w:contextualSpacing/>
        <w:jc w:val="both"/>
        <w:rPr>
          <w:rFonts w:ascii="Arial" w:hAnsi="Arial" w:cs="Arial"/>
          <w:sz w:val="22"/>
          <w:szCs w:val="22"/>
        </w:rPr>
      </w:pPr>
      <w:r w:rsidRPr="0031565A">
        <w:rPr>
          <w:rFonts w:ascii="Arial" w:hAnsi="Arial" w:cs="Arial"/>
          <w:sz w:val="22"/>
          <w:szCs w:val="22"/>
        </w:rPr>
        <w:t xml:space="preserve">Effect the necessary adjustments, after a thorough verification of the book reconciling items for each of the subject bank accounts, in order to present fairly the balance of the Cash in Bank account in the financial statements;  </w:t>
      </w:r>
    </w:p>
    <w:p w:rsidR="0031565A" w:rsidRPr="0031565A" w:rsidRDefault="0031565A" w:rsidP="0031565A">
      <w:pPr>
        <w:pStyle w:val="ListParagraph"/>
        <w:suppressAutoHyphens/>
        <w:ind w:left="1260" w:hanging="540"/>
        <w:jc w:val="both"/>
        <w:rPr>
          <w:rFonts w:ascii="Arial" w:hAnsi="Arial" w:cs="Arial"/>
          <w:sz w:val="22"/>
          <w:szCs w:val="22"/>
        </w:rPr>
      </w:pPr>
    </w:p>
    <w:p w:rsidR="0031565A" w:rsidRPr="0031565A" w:rsidRDefault="0031565A" w:rsidP="0031565A">
      <w:pPr>
        <w:pStyle w:val="ListParagraph"/>
        <w:numPr>
          <w:ilvl w:val="0"/>
          <w:numId w:val="44"/>
        </w:numPr>
        <w:ind w:left="1260" w:hanging="540"/>
        <w:contextualSpacing/>
        <w:jc w:val="both"/>
        <w:rPr>
          <w:rFonts w:ascii="Arial" w:hAnsi="Arial" w:cs="Arial"/>
          <w:sz w:val="22"/>
          <w:szCs w:val="22"/>
        </w:rPr>
      </w:pPr>
      <w:r w:rsidRPr="0031565A">
        <w:rPr>
          <w:rFonts w:ascii="Arial" w:hAnsi="Arial" w:cs="Arial"/>
          <w:sz w:val="22"/>
          <w:szCs w:val="22"/>
        </w:rPr>
        <w:t>Intensify the efforts in coordinating with the corresponding depository banks to thresh out the details of the bank reconciling items and investigate the cause/s of the alleged unposted deposits totaling P10.574 million under Operating Fund accounts and P</w:t>
      </w:r>
      <w:r w:rsidRPr="0031565A">
        <w:rPr>
          <w:rFonts w:ascii="Arial" w:hAnsi="Arial" w:cs="Arial"/>
          <w:sz w:val="22"/>
          <w:szCs w:val="22"/>
          <w:lang w:val="en-PH" w:eastAsia="en-PH"/>
        </w:rPr>
        <w:t>26.841 million under the CF/PF accounts so that appropriate action may be taken thereafter;</w:t>
      </w:r>
    </w:p>
    <w:p w:rsidR="0031565A" w:rsidRPr="0031565A" w:rsidRDefault="0031565A" w:rsidP="0031565A">
      <w:pPr>
        <w:pStyle w:val="ListParagraph"/>
        <w:ind w:left="1260" w:hanging="540"/>
        <w:rPr>
          <w:rFonts w:ascii="Arial" w:eastAsia="Calibri" w:hAnsi="Arial" w:cs="Arial"/>
          <w:sz w:val="22"/>
          <w:szCs w:val="22"/>
        </w:rPr>
      </w:pPr>
    </w:p>
    <w:p w:rsidR="0031565A" w:rsidRPr="0031565A" w:rsidRDefault="0031565A" w:rsidP="0031565A">
      <w:pPr>
        <w:pStyle w:val="ListParagraph"/>
        <w:numPr>
          <w:ilvl w:val="0"/>
          <w:numId w:val="44"/>
        </w:numPr>
        <w:ind w:left="1260" w:hanging="540"/>
        <w:contextualSpacing/>
        <w:jc w:val="both"/>
        <w:rPr>
          <w:rFonts w:ascii="Arial" w:hAnsi="Arial" w:cs="Arial"/>
          <w:sz w:val="22"/>
          <w:szCs w:val="22"/>
        </w:rPr>
      </w:pPr>
      <w:r w:rsidRPr="0031565A">
        <w:rPr>
          <w:rFonts w:ascii="Arial" w:hAnsi="Arial" w:cs="Arial"/>
          <w:sz w:val="22"/>
          <w:szCs w:val="22"/>
        </w:rPr>
        <w:t>Effect</w:t>
      </w:r>
      <w:r w:rsidRPr="0031565A">
        <w:rPr>
          <w:rFonts w:ascii="Arial" w:eastAsia="Calibri" w:hAnsi="Arial" w:cs="Arial"/>
          <w:sz w:val="22"/>
          <w:szCs w:val="22"/>
        </w:rPr>
        <w:t xml:space="preserve"> the necessary adjusting entries, after a thorough verification of the long-outstanding reconciling items, in order to correct the P22.254 million overstatement of the Cash and Cash Equivalents account and the negative balance of </w:t>
      </w:r>
      <w:r w:rsidRPr="0031565A">
        <w:rPr>
          <w:rFonts w:ascii="Arial" w:hAnsi="Arial" w:cs="Arial"/>
          <w:sz w:val="22"/>
          <w:szCs w:val="22"/>
        </w:rPr>
        <w:t xml:space="preserve">P18.178 million, which pertained to book balances of closed </w:t>
      </w:r>
      <w:r w:rsidR="00CE79C3">
        <w:rPr>
          <w:rFonts w:ascii="Arial" w:hAnsi="Arial" w:cs="Arial"/>
          <w:sz w:val="22"/>
          <w:szCs w:val="22"/>
        </w:rPr>
        <w:t>Philippine National Bank (</w:t>
      </w:r>
      <w:r w:rsidRPr="0031565A">
        <w:rPr>
          <w:rFonts w:ascii="Arial" w:hAnsi="Arial" w:cs="Arial"/>
          <w:sz w:val="22"/>
          <w:szCs w:val="22"/>
        </w:rPr>
        <w:t>PNB</w:t>
      </w:r>
      <w:r w:rsidR="00CE79C3">
        <w:rPr>
          <w:rFonts w:ascii="Arial" w:hAnsi="Arial" w:cs="Arial"/>
          <w:sz w:val="22"/>
          <w:szCs w:val="22"/>
        </w:rPr>
        <w:t>)</w:t>
      </w:r>
      <w:r w:rsidRPr="0031565A">
        <w:rPr>
          <w:rFonts w:ascii="Arial" w:hAnsi="Arial" w:cs="Arial"/>
          <w:sz w:val="22"/>
          <w:szCs w:val="22"/>
        </w:rPr>
        <w:t xml:space="preserve"> accounts; and </w:t>
      </w:r>
    </w:p>
    <w:p w:rsidR="0031565A" w:rsidRPr="0031565A" w:rsidRDefault="0031565A" w:rsidP="0031565A">
      <w:pPr>
        <w:pStyle w:val="ListParagraph"/>
        <w:ind w:left="1260" w:hanging="540"/>
        <w:rPr>
          <w:rFonts w:ascii="Arial" w:eastAsia="Calibri" w:hAnsi="Arial" w:cs="Arial"/>
          <w:sz w:val="22"/>
          <w:szCs w:val="22"/>
        </w:rPr>
      </w:pPr>
    </w:p>
    <w:p w:rsidR="0031565A" w:rsidRPr="0031565A" w:rsidRDefault="0031565A" w:rsidP="0031565A">
      <w:pPr>
        <w:pStyle w:val="ListParagraph"/>
        <w:numPr>
          <w:ilvl w:val="0"/>
          <w:numId w:val="44"/>
        </w:numPr>
        <w:ind w:left="1260" w:hanging="540"/>
        <w:contextualSpacing/>
        <w:jc w:val="both"/>
        <w:rPr>
          <w:rFonts w:ascii="Arial" w:hAnsi="Arial" w:cs="Arial"/>
          <w:sz w:val="22"/>
          <w:szCs w:val="22"/>
        </w:rPr>
      </w:pPr>
      <w:r w:rsidRPr="0031565A">
        <w:rPr>
          <w:rFonts w:ascii="Arial" w:hAnsi="Arial" w:cs="Arial"/>
          <w:sz w:val="22"/>
          <w:szCs w:val="22"/>
        </w:rPr>
        <w:t>Effect</w:t>
      </w:r>
      <w:r w:rsidRPr="0031565A">
        <w:rPr>
          <w:rFonts w:ascii="Arial" w:eastAsia="Calibri" w:hAnsi="Arial" w:cs="Arial"/>
          <w:sz w:val="22"/>
          <w:szCs w:val="22"/>
        </w:rPr>
        <w:t xml:space="preserve"> the necessary adjusting entries that will correct the </w:t>
      </w:r>
      <w:r w:rsidRPr="0031565A">
        <w:rPr>
          <w:rFonts w:ascii="Arial" w:hAnsi="Arial" w:cs="Arial"/>
          <w:sz w:val="22"/>
          <w:szCs w:val="22"/>
        </w:rPr>
        <w:t>P8.631</w:t>
      </w:r>
      <w:r w:rsidRPr="0031565A">
        <w:rPr>
          <w:rFonts w:ascii="Arial" w:eastAsia="Calibri" w:hAnsi="Arial" w:cs="Arial"/>
          <w:sz w:val="22"/>
          <w:szCs w:val="22"/>
        </w:rPr>
        <w:t xml:space="preserve"> million overstatement of the Cash and Cash Equivalents and Accounts Payable accounts as of December 31, 2018 brought about by the erroneous entry reverting back to cash the issued checks that were already cleared by the concerned depository banks.</w:t>
      </w:r>
    </w:p>
    <w:p w:rsidR="00FE1746" w:rsidRDefault="00FE1746" w:rsidP="0031565A">
      <w:pPr>
        <w:spacing w:after="0" w:line="240" w:lineRule="auto"/>
        <w:rPr>
          <w:rFonts w:ascii="Arial" w:eastAsia="Times New Roman" w:hAnsi="Arial" w:cs="Arial"/>
        </w:rPr>
      </w:pPr>
    </w:p>
    <w:p w:rsidR="00FE1746" w:rsidRPr="00FE1746" w:rsidRDefault="00FE1746" w:rsidP="00FE1746">
      <w:pPr>
        <w:spacing w:after="0" w:line="240" w:lineRule="auto"/>
        <w:ind w:left="720" w:hanging="720"/>
        <w:contextualSpacing/>
        <w:jc w:val="both"/>
        <w:rPr>
          <w:rFonts w:ascii="Arial" w:hAnsi="Arial" w:cs="Arial"/>
        </w:rPr>
      </w:pPr>
      <w:r w:rsidRPr="00FE1746">
        <w:rPr>
          <w:rFonts w:ascii="Arial" w:hAnsi="Arial" w:cs="Arial"/>
        </w:rPr>
        <w:t>3.1</w:t>
      </w:r>
      <w:r>
        <w:rPr>
          <w:rFonts w:ascii="Arial" w:hAnsi="Arial" w:cs="Arial"/>
          <w:b/>
        </w:rPr>
        <w:t xml:space="preserve"> </w:t>
      </w:r>
      <w:r>
        <w:rPr>
          <w:rFonts w:ascii="Arial" w:hAnsi="Arial" w:cs="Arial"/>
          <w:b/>
        </w:rPr>
        <w:tab/>
      </w:r>
      <w:r w:rsidR="008205FB" w:rsidRPr="008205FB">
        <w:rPr>
          <w:rFonts w:ascii="Arial" w:hAnsi="Arial" w:cs="Arial"/>
        </w:rPr>
        <w:t>D</w:t>
      </w:r>
      <w:r w:rsidRPr="008205FB">
        <w:rPr>
          <w:rFonts w:ascii="Arial" w:hAnsi="Arial" w:cs="Arial"/>
        </w:rPr>
        <w:t>irect the concerned accounting personnel to effect the necessary adjusting entries pertaining to the CY 2018 transactions of the trust fund with the LBP, which was intended for the construction of the PCSO building, so that the balances of the affected accounts shall faithfully represent the effects of the said transactions pursuant to Paragraph 15 of PAS 1.</w:t>
      </w:r>
    </w:p>
    <w:p w:rsidR="0031565A" w:rsidRDefault="0031565A" w:rsidP="0031565A">
      <w:pPr>
        <w:spacing w:after="0" w:line="240" w:lineRule="auto"/>
        <w:rPr>
          <w:rFonts w:ascii="Arial" w:eastAsia="Times New Roman" w:hAnsi="Arial" w:cs="Arial"/>
          <w:lang w:val="en-US" w:eastAsia="ar-SA"/>
        </w:rPr>
      </w:pPr>
    </w:p>
    <w:p w:rsidR="00FE1746" w:rsidRPr="00FE1746" w:rsidRDefault="00FE1746" w:rsidP="00FE1746">
      <w:pPr>
        <w:tabs>
          <w:tab w:val="left" w:pos="720"/>
        </w:tabs>
        <w:spacing w:after="0" w:line="240" w:lineRule="auto"/>
        <w:ind w:left="720" w:hanging="720"/>
        <w:contextualSpacing/>
        <w:jc w:val="both"/>
        <w:rPr>
          <w:rFonts w:ascii="Arial" w:hAnsi="Arial" w:cs="Arial"/>
        </w:rPr>
      </w:pPr>
      <w:r w:rsidRPr="00FE1746">
        <w:rPr>
          <w:rFonts w:ascii="Arial" w:hAnsi="Arial" w:cs="Arial"/>
        </w:rPr>
        <w:t xml:space="preserve">4.1 </w:t>
      </w:r>
      <w:r>
        <w:rPr>
          <w:rFonts w:ascii="Arial" w:hAnsi="Arial" w:cs="Arial"/>
        </w:rPr>
        <w:tab/>
      </w:r>
      <w:r w:rsidRPr="00FE1746">
        <w:rPr>
          <w:rFonts w:ascii="Arial" w:hAnsi="Arial" w:cs="Arial"/>
        </w:rPr>
        <w:t xml:space="preserve">Direct the concerned accounting personnel to immediately effect the necessary adjusting entries to correct the overstatements of P255.949 million and P23.348 million of the Accounts Payable-Miscellaneous and Charity Expenses accounts, respectively, as well as the understatement of the Retained Earnings – CF account by P232.600 million as at December 31, 2018.  </w:t>
      </w:r>
    </w:p>
    <w:p w:rsidR="00FE1746" w:rsidRPr="00FE1746" w:rsidRDefault="00FE1746" w:rsidP="00FE1746">
      <w:pPr>
        <w:pStyle w:val="ListParagraph"/>
        <w:ind w:left="1800"/>
        <w:contextualSpacing/>
        <w:jc w:val="both"/>
        <w:rPr>
          <w:rFonts w:ascii="Arial" w:hAnsi="Arial" w:cs="Arial"/>
          <w:sz w:val="22"/>
          <w:szCs w:val="22"/>
        </w:rPr>
      </w:pPr>
    </w:p>
    <w:p w:rsidR="00FE1746" w:rsidRPr="00FE1746" w:rsidRDefault="00FE1746" w:rsidP="00FE1746">
      <w:pPr>
        <w:spacing w:after="0" w:line="240" w:lineRule="auto"/>
        <w:ind w:left="720" w:hanging="720"/>
        <w:contextualSpacing/>
        <w:jc w:val="both"/>
        <w:rPr>
          <w:rFonts w:ascii="Arial" w:hAnsi="Arial" w:cs="Arial"/>
        </w:rPr>
      </w:pPr>
      <w:r w:rsidRPr="00FE1746">
        <w:rPr>
          <w:rFonts w:ascii="Arial" w:hAnsi="Arial" w:cs="Arial"/>
        </w:rPr>
        <w:t xml:space="preserve">4.2 </w:t>
      </w:r>
      <w:r>
        <w:rPr>
          <w:rFonts w:ascii="Arial" w:hAnsi="Arial" w:cs="Arial"/>
        </w:rPr>
        <w:tab/>
      </w:r>
      <w:r w:rsidRPr="00FE1746">
        <w:rPr>
          <w:rFonts w:ascii="Arial" w:hAnsi="Arial" w:cs="Arial"/>
        </w:rPr>
        <w:t xml:space="preserve">Ensure compliance with Section 111 (2), Chapter 2 of </w:t>
      </w:r>
      <w:r w:rsidR="00CE79C3">
        <w:rPr>
          <w:rFonts w:ascii="Arial" w:hAnsi="Arial" w:cs="Arial"/>
        </w:rPr>
        <w:t>Presidential Decree (</w:t>
      </w:r>
      <w:r w:rsidRPr="00FE1746">
        <w:rPr>
          <w:rFonts w:ascii="Arial" w:hAnsi="Arial" w:cs="Arial"/>
        </w:rPr>
        <w:t>PD</w:t>
      </w:r>
      <w:r w:rsidR="00CE79C3">
        <w:rPr>
          <w:rFonts w:ascii="Arial" w:hAnsi="Arial" w:cs="Arial"/>
        </w:rPr>
        <w:t xml:space="preserve">) No. </w:t>
      </w:r>
      <w:r w:rsidRPr="00FE1746">
        <w:rPr>
          <w:rFonts w:ascii="Arial" w:hAnsi="Arial" w:cs="Arial"/>
        </w:rPr>
        <w:t>1445 by directing the concerned accounting personnel to be more efficient and careful in the recording of the financial transactions of the PCSO to avoid inaccurate or misleading information.</w:t>
      </w:r>
    </w:p>
    <w:p w:rsidR="00FE1746" w:rsidRPr="00FE1746" w:rsidRDefault="00FE1746" w:rsidP="0031565A">
      <w:pPr>
        <w:spacing w:after="0" w:line="240" w:lineRule="auto"/>
        <w:rPr>
          <w:rFonts w:ascii="Arial" w:eastAsia="Times New Roman" w:hAnsi="Arial" w:cs="Arial"/>
          <w:lang w:val="en-US" w:eastAsia="ar-SA"/>
        </w:rPr>
      </w:pPr>
    </w:p>
    <w:p w:rsidR="006B6806" w:rsidRPr="006B6806" w:rsidRDefault="006B6806" w:rsidP="006B6806">
      <w:pPr>
        <w:pStyle w:val="ListParagraph"/>
        <w:numPr>
          <w:ilvl w:val="1"/>
          <w:numId w:val="49"/>
        </w:numPr>
        <w:ind w:left="720" w:hanging="720"/>
        <w:contextualSpacing/>
        <w:jc w:val="both"/>
        <w:rPr>
          <w:rFonts w:ascii="Arial" w:hAnsi="Arial" w:cs="Arial"/>
          <w:color w:val="000000" w:themeColor="text1"/>
          <w:sz w:val="22"/>
          <w:szCs w:val="22"/>
        </w:rPr>
      </w:pPr>
      <w:r w:rsidRPr="006B6806">
        <w:rPr>
          <w:rFonts w:ascii="Arial" w:hAnsi="Arial" w:cs="Arial"/>
          <w:color w:val="000000" w:themeColor="text1"/>
          <w:sz w:val="22"/>
          <w:szCs w:val="22"/>
        </w:rPr>
        <w:t xml:space="preserve">We recommended and Management agreed to direct the concerned accounting personnel to effect the necessary adjusting entries to recognize in the books the forfeitures of the cash bonds of the said six (6) terminated AACs so that the balances of the Performance/Bidder’s Bonds Payable account and other affected accounts shall be fairly presented in the financial statements.  This should be accompanied with the actual transfer of funds to the Charity Fund, pursuant to Board Resolution No. 111, series of 2018, so that the same can be utilized to fund the various charitable programs of the PCSO, particularly the </w:t>
      </w:r>
      <w:r w:rsidR="00CE79C3">
        <w:rPr>
          <w:rFonts w:ascii="Arial" w:hAnsi="Arial" w:cs="Arial"/>
          <w:color w:val="000000" w:themeColor="text1"/>
          <w:sz w:val="22"/>
          <w:szCs w:val="22"/>
        </w:rPr>
        <w:t>Individual Medical Assistance Program (</w:t>
      </w:r>
      <w:r w:rsidRPr="006B6806">
        <w:rPr>
          <w:rFonts w:ascii="Arial" w:hAnsi="Arial" w:cs="Arial"/>
          <w:color w:val="000000" w:themeColor="text1"/>
          <w:sz w:val="22"/>
          <w:szCs w:val="22"/>
        </w:rPr>
        <w:t>IMAP</w:t>
      </w:r>
      <w:r w:rsidR="00CE79C3">
        <w:rPr>
          <w:rFonts w:ascii="Arial" w:hAnsi="Arial" w:cs="Arial"/>
          <w:color w:val="000000" w:themeColor="text1"/>
          <w:sz w:val="22"/>
          <w:szCs w:val="22"/>
        </w:rPr>
        <w:t>)</w:t>
      </w:r>
      <w:r w:rsidRPr="006B6806">
        <w:rPr>
          <w:rFonts w:ascii="Arial" w:hAnsi="Arial" w:cs="Arial"/>
          <w:color w:val="000000" w:themeColor="text1"/>
          <w:sz w:val="22"/>
          <w:szCs w:val="22"/>
        </w:rPr>
        <w:t>.</w:t>
      </w:r>
    </w:p>
    <w:p w:rsidR="002F26E0" w:rsidRPr="0066572C" w:rsidRDefault="002F26E0" w:rsidP="00CE79C3">
      <w:pPr>
        <w:pStyle w:val="NoSpacing"/>
        <w:tabs>
          <w:tab w:val="left" w:pos="1260"/>
          <w:tab w:val="left" w:pos="1620"/>
        </w:tabs>
        <w:jc w:val="both"/>
        <w:rPr>
          <w:rFonts w:ascii="Arial" w:eastAsia="Times New Roman" w:hAnsi="Arial" w:cs="Arial"/>
          <w:sz w:val="22"/>
          <w:szCs w:val="22"/>
        </w:rPr>
      </w:pPr>
      <w:r w:rsidRPr="0066572C">
        <w:rPr>
          <w:rFonts w:ascii="Arial" w:eastAsia="Times New Roman" w:hAnsi="Arial" w:cs="Arial"/>
          <w:sz w:val="22"/>
          <w:szCs w:val="22"/>
        </w:rPr>
        <w:lastRenderedPageBreak/>
        <w:t>The other significant audit observations and recommendations that need immediate action are as follows:</w:t>
      </w:r>
    </w:p>
    <w:p w:rsidR="002F26E0" w:rsidRDefault="00CE1C18" w:rsidP="004F79DB">
      <w:pPr>
        <w:pStyle w:val="ListParagraph"/>
        <w:ind w:left="0"/>
        <w:contextualSpacing/>
        <w:jc w:val="both"/>
        <w:rPr>
          <w:rFonts w:ascii="Arial" w:hAnsi="Arial" w:cs="Arial"/>
          <w:b/>
          <w:sz w:val="22"/>
          <w:szCs w:val="22"/>
        </w:rPr>
      </w:pPr>
      <w:r>
        <w:rPr>
          <w:rFonts w:ascii="Arial" w:hAnsi="Arial" w:cs="Arial"/>
          <w:b/>
          <w:sz w:val="22"/>
          <w:szCs w:val="22"/>
        </w:rPr>
        <w:t xml:space="preserve">                                                  </w:t>
      </w:r>
    </w:p>
    <w:p w:rsidR="008205FB" w:rsidRPr="008205FB" w:rsidRDefault="008205FB" w:rsidP="008205FB">
      <w:pPr>
        <w:pStyle w:val="ListParagraph"/>
        <w:numPr>
          <w:ilvl w:val="0"/>
          <w:numId w:val="41"/>
        </w:numPr>
        <w:ind w:left="720" w:hanging="720"/>
        <w:jc w:val="both"/>
        <w:rPr>
          <w:rFonts w:ascii="Arial" w:hAnsi="Arial" w:cs="Arial"/>
        </w:rPr>
      </w:pPr>
      <w:r w:rsidRPr="008205FB">
        <w:rPr>
          <w:rFonts w:ascii="Arial" w:hAnsi="Arial" w:cs="Arial"/>
          <w:sz w:val="22"/>
          <w:szCs w:val="22"/>
        </w:rPr>
        <w:t xml:space="preserve">The PMRR shortfalls due to PCSO in the amount of P4.607 billion, net of the waived PMRR amounting to P665.200 million and reduced PMRR as a result of implementation of Board Resolution No. 401, series 2018 in the amount of P761.909 million, remained unsettled as of December 31, 2018 in violation of Section 18 (e) of the </w:t>
      </w:r>
      <w:r w:rsidR="00CE79C3">
        <w:rPr>
          <w:rFonts w:ascii="Arial" w:hAnsi="Arial" w:cs="Arial"/>
          <w:sz w:val="22"/>
          <w:szCs w:val="22"/>
        </w:rPr>
        <w:t>Implementing Rules and Regulations (</w:t>
      </w:r>
      <w:r w:rsidRPr="008205FB">
        <w:rPr>
          <w:rFonts w:ascii="Arial" w:hAnsi="Arial" w:cs="Arial"/>
          <w:sz w:val="22"/>
          <w:szCs w:val="22"/>
        </w:rPr>
        <w:t>IRR</w:t>
      </w:r>
      <w:r w:rsidR="00CE79C3">
        <w:rPr>
          <w:rFonts w:ascii="Arial" w:hAnsi="Arial" w:cs="Arial"/>
          <w:sz w:val="22"/>
          <w:szCs w:val="22"/>
        </w:rPr>
        <w:t>)</w:t>
      </w:r>
      <w:r w:rsidRPr="008205FB">
        <w:rPr>
          <w:rFonts w:ascii="Arial" w:hAnsi="Arial" w:cs="Arial"/>
          <w:sz w:val="22"/>
          <w:szCs w:val="22"/>
        </w:rPr>
        <w:t xml:space="preserve"> for the STL.</w:t>
      </w:r>
    </w:p>
    <w:p w:rsidR="008205FB" w:rsidRDefault="008205FB">
      <w:pPr>
        <w:spacing w:after="0" w:line="240" w:lineRule="auto"/>
        <w:rPr>
          <w:rFonts w:ascii="Arial" w:hAnsi="Arial" w:cs="Arial"/>
          <w:b/>
        </w:rPr>
      </w:pPr>
    </w:p>
    <w:p w:rsidR="008205FB" w:rsidRPr="008205FB" w:rsidRDefault="008205FB" w:rsidP="008205FB">
      <w:pPr>
        <w:spacing w:after="0" w:line="240" w:lineRule="auto"/>
        <w:ind w:left="720" w:hanging="720"/>
        <w:jc w:val="both"/>
        <w:rPr>
          <w:rFonts w:ascii="Arial" w:hAnsi="Arial" w:cs="Arial"/>
        </w:rPr>
      </w:pPr>
      <w:r>
        <w:rPr>
          <w:rFonts w:ascii="Arial" w:hAnsi="Arial" w:cs="Arial"/>
        </w:rPr>
        <w:t xml:space="preserve">6.1 </w:t>
      </w:r>
      <w:r>
        <w:rPr>
          <w:rFonts w:ascii="Arial" w:hAnsi="Arial" w:cs="Arial"/>
        </w:rPr>
        <w:tab/>
      </w:r>
      <w:r w:rsidRPr="008205FB">
        <w:rPr>
          <w:rFonts w:ascii="Arial" w:hAnsi="Arial" w:cs="Arial"/>
        </w:rPr>
        <w:t xml:space="preserve">We recommended that Management intensify collection of the PMRR shortfalls due from the concerned AACs/ASAs in the total amount of P4.607 billion so that the same can be utilized for the various charitable programs of the PCSO, particularly the IMAP.  Otherwise, implement Section 27 (f &amp; g) of the Revised IRR for STL and suspend and/or revoke their Authorities to Operate (ATO) and forfeit their cash bonds corresponding to the amount of their PMRR Shortfalls.  </w:t>
      </w:r>
    </w:p>
    <w:p w:rsidR="008205FB" w:rsidRDefault="008205FB" w:rsidP="008205FB">
      <w:pPr>
        <w:spacing w:after="0" w:line="240" w:lineRule="auto"/>
        <w:ind w:left="720" w:hanging="720"/>
        <w:rPr>
          <w:rFonts w:ascii="Arial" w:hAnsi="Arial" w:cs="Arial"/>
        </w:rPr>
      </w:pPr>
    </w:p>
    <w:p w:rsidR="008205FB" w:rsidRPr="008205FB" w:rsidRDefault="008205FB" w:rsidP="008205FB">
      <w:pPr>
        <w:pStyle w:val="ListParagraph"/>
        <w:numPr>
          <w:ilvl w:val="0"/>
          <w:numId w:val="41"/>
        </w:numPr>
        <w:ind w:left="720" w:hanging="720"/>
        <w:jc w:val="both"/>
        <w:rPr>
          <w:rFonts w:ascii="Arial" w:hAnsi="Arial" w:cs="Arial"/>
          <w:sz w:val="22"/>
          <w:szCs w:val="22"/>
        </w:rPr>
      </w:pPr>
      <w:r w:rsidRPr="008205FB">
        <w:rPr>
          <w:rFonts w:ascii="Arial" w:hAnsi="Arial" w:cs="Arial"/>
          <w:sz w:val="22"/>
          <w:szCs w:val="22"/>
        </w:rPr>
        <w:t xml:space="preserve">Unremitted shortfalls in the PMRR as of December 31, 2018 were reduced by a total amount of P1.427 billion due to: (a) waived PMRR shortfalls due to PCSO amounting to P665.200 million based on various Board Resolutions; and </w:t>
      </w:r>
      <w:r w:rsidR="00410B96">
        <w:rPr>
          <w:rFonts w:ascii="Arial" w:hAnsi="Arial" w:cs="Arial"/>
          <w:sz w:val="22"/>
          <w:szCs w:val="22"/>
        </w:rPr>
        <w:t xml:space="preserve">            </w:t>
      </w:r>
      <w:r w:rsidRPr="008205FB">
        <w:rPr>
          <w:rFonts w:ascii="Arial" w:hAnsi="Arial" w:cs="Arial"/>
          <w:sz w:val="22"/>
          <w:szCs w:val="22"/>
        </w:rPr>
        <w:t>(b) reduced PMRR as a result of implementation of Board Resolution No. 401, series 2018 in the amount of P761.909 million.</w:t>
      </w:r>
    </w:p>
    <w:p w:rsidR="008205FB" w:rsidRPr="008205FB" w:rsidRDefault="008205FB" w:rsidP="008205FB">
      <w:pPr>
        <w:spacing w:after="0" w:line="240" w:lineRule="auto"/>
        <w:ind w:left="720" w:hanging="720"/>
        <w:rPr>
          <w:rFonts w:ascii="Arial" w:hAnsi="Arial" w:cs="Arial"/>
        </w:rPr>
      </w:pPr>
    </w:p>
    <w:p w:rsidR="008205FB" w:rsidRPr="008205FB" w:rsidRDefault="008205FB" w:rsidP="008205FB">
      <w:pPr>
        <w:ind w:left="720" w:hanging="720"/>
        <w:jc w:val="both"/>
        <w:rPr>
          <w:rFonts w:ascii="Arial" w:hAnsi="Arial" w:cs="Arial"/>
          <w:color w:val="000000" w:themeColor="text1"/>
        </w:rPr>
      </w:pPr>
      <w:r w:rsidRPr="008205FB">
        <w:rPr>
          <w:rFonts w:ascii="Arial" w:hAnsi="Arial" w:cs="Arial"/>
          <w:color w:val="000000" w:themeColor="text1"/>
        </w:rPr>
        <w:t xml:space="preserve">7.1 </w:t>
      </w:r>
      <w:r>
        <w:rPr>
          <w:rFonts w:ascii="Arial" w:hAnsi="Arial" w:cs="Arial"/>
          <w:color w:val="000000" w:themeColor="text1"/>
        </w:rPr>
        <w:tab/>
      </w:r>
      <w:r w:rsidRPr="008205FB">
        <w:rPr>
          <w:rFonts w:ascii="Arial" w:hAnsi="Arial" w:cs="Arial"/>
          <w:color w:val="000000" w:themeColor="text1"/>
        </w:rPr>
        <w:t>We recommended that Management:</w:t>
      </w:r>
    </w:p>
    <w:p w:rsidR="008205FB" w:rsidRPr="008205FB" w:rsidRDefault="008205FB" w:rsidP="008205FB">
      <w:pPr>
        <w:pStyle w:val="ListParagraph"/>
        <w:numPr>
          <w:ilvl w:val="1"/>
          <w:numId w:val="42"/>
        </w:numPr>
        <w:ind w:left="1260" w:hanging="540"/>
        <w:jc w:val="both"/>
        <w:rPr>
          <w:rFonts w:ascii="Arial" w:hAnsi="Arial" w:cs="Arial"/>
          <w:color w:val="000000" w:themeColor="text1"/>
          <w:sz w:val="22"/>
          <w:szCs w:val="22"/>
        </w:rPr>
      </w:pPr>
      <w:r w:rsidRPr="008205FB">
        <w:rPr>
          <w:rFonts w:ascii="Arial" w:hAnsi="Arial" w:cs="Arial"/>
          <w:color w:val="000000" w:themeColor="text1"/>
          <w:sz w:val="22"/>
          <w:szCs w:val="22"/>
        </w:rPr>
        <w:t xml:space="preserve">Nullify the waiver given to the subject AACs and restore the PMRR shortfalls due from them in the total amount of P665.200 million considering that the PCSO Board of Directors has no authority to condone or waive valid claims by PCSO pursuant to Section 36.1 of PD No. 1445/Section 20(1), Chapter 4, Subtitle B, Title I, Book V of </w:t>
      </w:r>
      <w:r w:rsidR="00410B96">
        <w:rPr>
          <w:rFonts w:ascii="Arial" w:hAnsi="Arial" w:cs="Arial"/>
          <w:color w:val="000000" w:themeColor="text1"/>
          <w:sz w:val="22"/>
          <w:szCs w:val="22"/>
        </w:rPr>
        <w:t>Executive Order (</w:t>
      </w:r>
      <w:r w:rsidRPr="008205FB">
        <w:rPr>
          <w:rFonts w:ascii="Arial" w:hAnsi="Arial" w:cs="Arial"/>
          <w:color w:val="000000" w:themeColor="text1"/>
          <w:sz w:val="22"/>
          <w:szCs w:val="22"/>
        </w:rPr>
        <w:t>EO</w:t>
      </w:r>
      <w:r w:rsidR="00410B96">
        <w:rPr>
          <w:rFonts w:ascii="Arial" w:hAnsi="Arial" w:cs="Arial"/>
          <w:color w:val="000000" w:themeColor="text1"/>
          <w:sz w:val="22"/>
          <w:szCs w:val="22"/>
        </w:rPr>
        <w:t>)</w:t>
      </w:r>
      <w:r w:rsidRPr="008205FB">
        <w:rPr>
          <w:rFonts w:ascii="Arial" w:hAnsi="Arial" w:cs="Arial"/>
          <w:color w:val="000000" w:themeColor="text1"/>
          <w:sz w:val="22"/>
          <w:szCs w:val="22"/>
        </w:rPr>
        <w:t xml:space="preserve"> No. 292 or the Administrative Code of 1987; and</w:t>
      </w:r>
    </w:p>
    <w:p w:rsidR="008205FB" w:rsidRPr="008205FB" w:rsidRDefault="008205FB" w:rsidP="008205FB">
      <w:pPr>
        <w:pStyle w:val="ListParagraph"/>
        <w:ind w:left="1260" w:hanging="540"/>
        <w:jc w:val="both"/>
        <w:rPr>
          <w:rFonts w:ascii="Arial" w:hAnsi="Arial" w:cs="Arial"/>
          <w:color w:val="000000" w:themeColor="text1"/>
          <w:sz w:val="22"/>
          <w:szCs w:val="22"/>
        </w:rPr>
      </w:pPr>
    </w:p>
    <w:p w:rsidR="008205FB" w:rsidRDefault="008205FB" w:rsidP="008205FB">
      <w:pPr>
        <w:pStyle w:val="ListParagraph"/>
        <w:numPr>
          <w:ilvl w:val="1"/>
          <w:numId w:val="42"/>
        </w:numPr>
        <w:ind w:left="1260" w:hanging="540"/>
        <w:jc w:val="both"/>
        <w:rPr>
          <w:rFonts w:ascii="Arial" w:hAnsi="Arial" w:cs="Arial"/>
          <w:color w:val="000000" w:themeColor="text1"/>
          <w:sz w:val="22"/>
          <w:szCs w:val="22"/>
        </w:rPr>
      </w:pPr>
      <w:r w:rsidRPr="008205FB">
        <w:rPr>
          <w:rFonts w:ascii="Arial" w:hAnsi="Arial" w:cs="Arial"/>
          <w:color w:val="000000" w:themeColor="text1"/>
          <w:sz w:val="22"/>
          <w:szCs w:val="22"/>
        </w:rPr>
        <w:t xml:space="preserve">Consider the possibility of recalling </w:t>
      </w:r>
      <w:r w:rsidR="00410B96">
        <w:rPr>
          <w:rFonts w:ascii="Arial" w:hAnsi="Arial" w:cs="Arial"/>
          <w:color w:val="000000" w:themeColor="text1"/>
          <w:sz w:val="22"/>
          <w:szCs w:val="22"/>
        </w:rPr>
        <w:t>Board Resolution (</w:t>
      </w:r>
      <w:r w:rsidRPr="008205FB">
        <w:rPr>
          <w:rFonts w:ascii="Arial" w:hAnsi="Arial" w:cs="Arial"/>
          <w:color w:val="000000" w:themeColor="text1"/>
          <w:sz w:val="22"/>
          <w:szCs w:val="22"/>
        </w:rPr>
        <w:t>BR</w:t>
      </w:r>
      <w:r w:rsidR="00410B96">
        <w:rPr>
          <w:rFonts w:ascii="Arial" w:hAnsi="Arial" w:cs="Arial"/>
          <w:color w:val="000000" w:themeColor="text1"/>
          <w:sz w:val="22"/>
          <w:szCs w:val="22"/>
        </w:rPr>
        <w:t>)</w:t>
      </w:r>
      <w:r w:rsidRPr="008205FB">
        <w:rPr>
          <w:rFonts w:ascii="Arial" w:hAnsi="Arial" w:cs="Arial"/>
          <w:color w:val="000000" w:themeColor="text1"/>
          <w:sz w:val="22"/>
          <w:szCs w:val="22"/>
        </w:rPr>
        <w:t xml:space="preserve"> No. 0401, series of 2018 and instead, follow the provisions in the STL Agency Agreement until its renewal, in view of the undue disadvantage suffered by PCSO on account of its issuance.</w:t>
      </w:r>
    </w:p>
    <w:p w:rsidR="008205FB" w:rsidRPr="008205FB" w:rsidRDefault="008205FB" w:rsidP="008205FB">
      <w:pPr>
        <w:pStyle w:val="ListParagraph"/>
        <w:ind w:left="1260"/>
        <w:jc w:val="both"/>
        <w:rPr>
          <w:rFonts w:ascii="Arial" w:hAnsi="Arial" w:cs="Arial"/>
          <w:color w:val="000000" w:themeColor="text1"/>
          <w:sz w:val="22"/>
          <w:szCs w:val="22"/>
        </w:rPr>
      </w:pPr>
    </w:p>
    <w:p w:rsidR="008205FB" w:rsidRPr="008205FB" w:rsidRDefault="008205FB" w:rsidP="008205FB">
      <w:pPr>
        <w:pStyle w:val="ListParagraph"/>
        <w:numPr>
          <w:ilvl w:val="0"/>
          <w:numId w:val="41"/>
        </w:numPr>
        <w:ind w:left="720" w:hanging="720"/>
        <w:jc w:val="both"/>
        <w:rPr>
          <w:rFonts w:ascii="Arial" w:hAnsi="Arial" w:cs="Arial"/>
          <w:color w:val="000000" w:themeColor="text1"/>
          <w:sz w:val="22"/>
          <w:szCs w:val="22"/>
        </w:rPr>
      </w:pPr>
      <w:r w:rsidRPr="008205FB">
        <w:rPr>
          <w:rFonts w:ascii="Arial" w:hAnsi="Arial" w:cs="Arial"/>
          <w:color w:val="000000" w:themeColor="text1"/>
          <w:sz w:val="22"/>
          <w:szCs w:val="22"/>
        </w:rPr>
        <w:t>The total amount of P684.302 million, consisting of forfeited prizes for Keno games during CYs 2015 to 2017 in the total amount of P184.302 million as well as the remaining balance of the 2017 unutilized operating fund of P500 million, were not yet transferred to the Charity Fund, contrary to Sections 6.A and 6.D of Republic Act (RA) No. 1169, otherwise known as the PCSO Charter, which could have provided the much-needed fund for the various charitable programs of the PCSO, most specially the IMAP.</w:t>
      </w:r>
    </w:p>
    <w:p w:rsidR="008205FB" w:rsidRDefault="008205FB" w:rsidP="008205FB">
      <w:pPr>
        <w:spacing w:after="0" w:line="240" w:lineRule="auto"/>
        <w:ind w:left="720" w:hanging="720"/>
        <w:rPr>
          <w:rFonts w:ascii="Arial" w:hAnsi="Arial" w:cs="Arial"/>
        </w:rPr>
      </w:pPr>
    </w:p>
    <w:p w:rsidR="008205FB" w:rsidRPr="008205FB" w:rsidRDefault="008205FB" w:rsidP="008205FB">
      <w:pPr>
        <w:spacing w:after="0" w:line="240" w:lineRule="auto"/>
        <w:ind w:left="720" w:hanging="720"/>
        <w:jc w:val="both"/>
        <w:rPr>
          <w:rFonts w:ascii="Arial" w:hAnsi="Arial" w:cs="Arial"/>
          <w:i/>
        </w:rPr>
      </w:pPr>
      <w:r>
        <w:rPr>
          <w:rFonts w:ascii="Arial" w:hAnsi="Arial" w:cs="Arial"/>
          <w:color w:val="000000" w:themeColor="text1"/>
        </w:rPr>
        <w:t xml:space="preserve">8.1 </w:t>
      </w:r>
      <w:r>
        <w:rPr>
          <w:rFonts w:ascii="Arial" w:hAnsi="Arial" w:cs="Arial"/>
          <w:color w:val="000000" w:themeColor="text1"/>
        </w:rPr>
        <w:tab/>
      </w:r>
      <w:r w:rsidRPr="008205FB">
        <w:rPr>
          <w:rFonts w:ascii="Arial" w:hAnsi="Arial" w:cs="Arial"/>
          <w:color w:val="000000" w:themeColor="text1"/>
        </w:rPr>
        <w:t xml:space="preserve">We recommended that Management direct the concerned officials of the PCSO to immediately transfer to the CF the total amount of </w:t>
      </w:r>
      <w:r w:rsidRPr="008205FB">
        <w:rPr>
          <w:rFonts w:ascii="Arial" w:hAnsi="Arial" w:cs="Arial"/>
        </w:rPr>
        <w:t>P684.302 million, representing forfeited prizes for Keno games and remaining unutilized CY 2017 operating fund pursuant to Sections 6.A and 6.D of RA No. 1169 to augment the funds that may be utilized for the various charity programs of the PCSO, particularly the IMAP.</w:t>
      </w:r>
      <w:r w:rsidRPr="008205FB">
        <w:rPr>
          <w:rFonts w:ascii="Arial" w:hAnsi="Arial" w:cs="Arial"/>
          <w:i/>
        </w:rPr>
        <w:t xml:space="preserve"> </w:t>
      </w:r>
    </w:p>
    <w:p w:rsidR="002F26E0" w:rsidRDefault="002F26E0" w:rsidP="004F79DB">
      <w:pPr>
        <w:pStyle w:val="ListParagraph"/>
        <w:ind w:left="0"/>
        <w:contextualSpacing/>
        <w:jc w:val="both"/>
        <w:rPr>
          <w:rFonts w:ascii="Arial" w:hAnsi="Arial" w:cs="Arial"/>
          <w:b/>
          <w:sz w:val="22"/>
          <w:szCs w:val="22"/>
        </w:rPr>
      </w:pPr>
      <w:r w:rsidRPr="001230BA">
        <w:rPr>
          <w:rFonts w:ascii="Arial" w:hAnsi="Arial" w:cs="Arial"/>
          <w:b/>
          <w:sz w:val="22"/>
          <w:szCs w:val="22"/>
        </w:rPr>
        <w:lastRenderedPageBreak/>
        <w:t xml:space="preserve">SUMMARY OF TOTAL SUSPENSIONS, DISALLOWANCES AND CHARGES </w:t>
      </w:r>
    </w:p>
    <w:p w:rsidR="002F26E0" w:rsidRDefault="002F26E0" w:rsidP="004F79DB">
      <w:pPr>
        <w:pStyle w:val="ListParagraph"/>
        <w:ind w:left="0"/>
        <w:contextualSpacing/>
        <w:jc w:val="both"/>
        <w:rPr>
          <w:rFonts w:ascii="Arial" w:hAnsi="Arial" w:cs="Arial"/>
          <w:b/>
          <w:sz w:val="22"/>
          <w:szCs w:val="22"/>
        </w:rPr>
      </w:pPr>
    </w:p>
    <w:p w:rsidR="002F26E0" w:rsidRDefault="002F26E0" w:rsidP="004F79DB">
      <w:pPr>
        <w:spacing w:after="0" w:line="240" w:lineRule="auto"/>
        <w:jc w:val="both"/>
        <w:rPr>
          <w:rFonts w:ascii="Arial" w:eastAsia="Arial" w:hAnsi="Arial" w:cs="Arial"/>
          <w:color w:val="000000"/>
        </w:rPr>
      </w:pPr>
      <w:r>
        <w:rPr>
          <w:rFonts w:ascii="Arial" w:eastAsia="Arial" w:hAnsi="Arial" w:cs="Arial"/>
          <w:color w:val="000000"/>
        </w:rPr>
        <w:t>As of December 31, 2018, there were no unsettled audit charges, while the unsettled audit suspension and audit disallowances amounted to P</w:t>
      </w:r>
      <w:r w:rsidRPr="00E843A2">
        <w:rPr>
          <w:rFonts w:ascii="Arial" w:eastAsia="Arial" w:hAnsi="Arial" w:cs="Arial"/>
          <w:color w:val="000000"/>
        </w:rPr>
        <w:t>4</w:t>
      </w:r>
      <w:r>
        <w:rPr>
          <w:rFonts w:ascii="Arial" w:eastAsia="Arial" w:hAnsi="Arial" w:cs="Arial"/>
          <w:color w:val="000000"/>
        </w:rPr>
        <w:t>.</w:t>
      </w:r>
      <w:r w:rsidRPr="00E843A2">
        <w:rPr>
          <w:rFonts w:ascii="Arial" w:eastAsia="Arial" w:hAnsi="Arial" w:cs="Arial"/>
          <w:color w:val="000000"/>
        </w:rPr>
        <w:t>350</w:t>
      </w:r>
      <w:r>
        <w:rPr>
          <w:rFonts w:ascii="Arial" w:eastAsia="Arial" w:hAnsi="Arial" w:cs="Arial"/>
          <w:color w:val="000000"/>
        </w:rPr>
        <w:t xml:space="preserve"> million and </w:t>
      </w:r>
      <w:r w:rsidR="008205FB">
        <w:rPr>
          <w:rFonts w:ascii="Arial" w:eastAsia="Arial" w:hAnsi="Arial" w:cs="Arial"/>
          <w:color w:val="000000"/>
        </w:rPr>
        <w:t xml:space="preserve">                    </w:t>
      </w:r>
      <w:r>
        <w:rPr>
          <w:rFonts w:ascii="Arial" w:eastAsia="Arial" w:hAnsi="Arial" w:cs="Arial"/>
          <w:color w:val="000000"/>
        </w:rPr>
        <w:t>P</w:t>
      </w:r>
      <w:r w:rsidR="008205FB">
        <w:rPr>
          <w:rFonts w:ascii="Arial" w:eastAsia="Arial" w:hAnsi="Arial" w:cs="Arial"/>
          <w:color w:val="000000"/>
        </w:rPr>
        <w:t>2.</w:t>
      </w:r>
      <w:r w:rsidRPr="00E843A2">
        <w:rPr>
          <w:rFonts w:ascii="Arial" w:eastAsia="Arial" w:hAnsi="Arial" w:cs="Arial"/>
          <w:color w:val="000000"/>
        </w:rPr>
        <w:t>06</w:t>
      </w:r>
      <w:r w:rsidR="00B00E70">
        <w:rPr>
          <w:rFonts w:ascii="Arial" w:eastAsia="Arial" w:hAnsi="Arial" w:cs="Arial"/>
          <w:color w:val="000000"/>
        </w:rPr>
        <w:t>8</w:t>
      </w:r>
      <w:r>
        <w:rPr>
          <w:rFonts w:ascii="Arial" w:hAnsi="Arial" w:cs="Arial"/>
          <w:color w:val="000000"/>
          <w:sz w:val="20"/>
          <w:szCs w:val="20"/>
          <w:lang w:val="en-US"/>
        </w:rPr>
        <w:t xml:space="preserve"> </w:t>
      </w:r>
      <w:r w:rsidR="008205FB">
        <w:rPr>
          <w:rFonts w:ascii="Arial" w:eastAsia="Arial" w:hAnsi="Arial" w:cs="Arial"/>
          <w:color w:val="000000"/>
        </w:rPr>
        <w:t>b</w:t>
      </w:r>
      <w:r>
        <w:rPr>
          <w:rFonts w:ascii="Arial" w:eastAsia="Arial" w:hAnsi="Arial" w:cs="Arial"/>
          <w:color w:val="000000"/>
        </w:rPr>
        <w:t>illion, respectively. The details ar</w:t>
      </w:r>
      <w:r w:rsidR="00A50DA5">
        <w:rPr>
          <w:rFonts w:ascii="Arial" w:eastAsia="Arial" w:hAnsi="Arial" w:cs="Arial"/>
          <w:color w:val="000000"/>
        </w:rPr>
        <w:t xml:space="preserve">e presented in Part </w:t>
      </w:r>
      <w:r w:rsidR="008205FB">
        <w:rPr>
          <w:rFonts w:ascii="Arial" w:eastAsia="Arial" w:hAnsi="Arial" w:cs="Arial"/>
          <w:color w:val="000000"/>
        </w:rPr>
        <w:t>IV</w:t>
      </w:r>
      <w:r w:rsidR="009248C9">
        <w:rPr>
          <w:rFonts w:ascii="Arial" w:eastAsia="Arial" w:hAnsi="Arial" w:cs="Arial"/>
          <w:color w:val="000000"/>
        </w:rPr>
        <w:t>, Annex A</w:t>
      </w:r>
      <w:r>
        <w:rPr>
          <w:rFonts w:ascii="Arial" w:eastAsia="Arial" w:hAnsi="Arial" w:cs="Arial"/>
          <w:color w:val="000000"/>
        </w:rPr>
        <w:t xml:space="preserve"> of this Report.</w:t>
      </w:r>
    </w:p>
    <w:p w:rsidR="002F26E0" w:rsidRDefault="002F26E0" w:rsidP="004F79DB">
      <w:pPr>
        <w:spacing w:after="0" w:line="240" w:lineRule="auto"/>
        <w:jc w:val="both"/>
        <w:rPr>
          <w:rFonts w:ascii="Arial" w:eastAsia="Arial" w:hAnsi="Arial" w:cs="Arial"/>
          <w:color w:val="000000"/>
        </w:rPr>
      </w:pPr>
    </w:p>
    <w:p w:rsidR="002F26E0" w:rsidRDefault="002F26E0" w:rsidP="004F79DB">
      <w:pPr>
        <w:spacing w:after="0" w:line="240" w:lineRule="auto"/>
        <w:jc w:val="both"/>
        <w:rPr>
          <w:rFonts w:ascii="Arial" w:eastAsia="Arial" w:hAnsi="Arial" w:cs="Arial"/>
          <w:color w:val="000000"/>
        </w:rPr>
      </w:pPr>
    </w:p>
    <w:p w:rsidR="002F26E0" w:rsidRPr="00A85E84" w:rsidRDefault="002F26E0" w:rsidP="004F79DB">
      <w:pPr>
        <w:spacing w:after="0" w:line="240" w:lineRule="auto"/>
        <w:jc w:val="both"/>
        <w:rPr>
          <w:rFonts w:ascii="Arial" w:hAnsi="Arial" w:cs="Arial"/>
          <w:b/>
        </w:rPr>
      </w:pPr>
      <w:r w:rsidRPr="00A85E84">
        <w:rPr>
          <w:rFonts w:ascii="Arial" w:hAnsi="Arial" w:cs="Arial"/>
          <w:b/>
        </w:rPr>
        <w:t>S</w:t>
      </w:r>
      <w:r>
        <w:rPr>
          <w:rFonts w:ascii="Arial" w:hAnsi="Arial" w:cs="Arial"/>
          <w:b/>
        </w:rPr>
        <w:t>TATUS OF IMPLEMENTATION OF PRIOR YEAR’S AUDIT RECOMMENDATIONS</w:t>
      </w:r>
    </w:p>
    <w:p w:rsidR="002F26E0" w:rsidRPr="00A85E84" w:rsidRDefault="002F26E0" w:rsidP="004F79DB">
      <w:pPr>
        <w:spacing w:after="0" w:line="240" w:lineRule="auto"/>
        <w:jc w:val="both"/>
        <w:rPr>
          <w:rFonts w:ascii="Arial" w:hAnsi="Arial" w:cs="Arial"/>
          <w:b/>
        </w:rPr>
      </w:pPr>
    </w:p>
    <w:p w:rsidR="002F26E0" w:rsidRDefault="00410B96" w:rsidP="00410B96">
      <w:pPr>
        <w:spacing w:after="0" w:line="240" w:lineRule="auto"/>
        <w:jc w:val="both"/>
        <w:rPr>
          <w:rFonts w:ascii="Arial" w:hAnsi="Arial" w:cs="Arial"/>
        </w:rPr>
      </w:pPr>
      <w:r w:rsidRPr="00733DEC">
        <w:rPr>
          <w:rFonts w:ascii="Arial" w:hAnsi="Arial" w:cs="Arial"/>
        </w:rPr>
        <w:t xml:space="preserve">Out of the 70 audit recommendations embodied in the previous year’s Annual Audit Report, 22 were fully implemented, 45 were partially implemented and </w:t>
      </w:r>
      <w:r w:rsidR="00B00E70">
        <w:rPr>
          <w:rFonts w:ascii="Arial" w:hAnsi="Arial" w:cs="Arial"/>
        </w:rPr>
        <w:t>three (</w:t>
      </w:r>
      <w:r w:rsidRPr="00733DEC">
        <w:rPr>
          <w:rFonts w:ascii="Arial" w:hAnsi="Arial" w:cs="Arial"/>
        </w:rPr>
        <w:t>3</w:t>
      </w:r>
      <w:r w:rsidR="00B00E70">
        <w:rPr>
          <w:rFonts w:ascii="Arial" w:hAnsi="Arial" w:cs="Arial"/>
        </w:rPr>
        <w:t>)</w:t>
      </w:r>
      <w:r w:rsidRPr="00733DEC">
        <w:rPr>
          <w:rFonts w:ascii="Arial" w:hAnsi="Arial" w:cs="Arial"/>
        </w:rPr>
        <w:t xml:space="preserve"> were not implemen</w:t>
      </w:r>
      <w:r>
        <w:rPr>
          <w:rFonts w:ascii="Arial" w:hAnsi="Arial" w:cs="Arial"/>
        </w:rPr>
        <w:t>ted. Details are presented in Part III of this Report.</w:t>
      </w:r>
    </w:p>
    <w:sectPr w:rsidR="002F26E0" w:rsidSect="007B4A3E">
      <w:footerReference w:type="default" r:id="rId7"/>
      <w:pgSz w:w="12240" w:h="15840" w:code="1"/>
      <w:pgMar w:top="1440" w:right="1440" w:bottom="1440" w:left="1440" w:header="720" w:footer="720" w:gutter="72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3F1" w:rsidRDefault="009D53F1" w:rsidP="0033594F">
      <w:pPr>
        <w:spacing w:after="0" w:line="240" w:lineRule="auto"/>
      </w:pPr>
      <w:r>
        <w:separator/>
      </w:r>
    </w:p>
  </w:endnote>
  <w:endnote w:type="continuationSeparator" w:id="0">
    <w:p w:rsidR="009D53F1" w:rsidRDefault="009D53F1" w:rsidP="00335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94F" w:rsidRPr="00407C3F" w:rsidRDefault="006727F8">
    <w:pPr>
      <w:pStyle w:val="Footer"/>
      <w:jc w:val="right"/>
      <w:rPr>
        <w:rFonts w:ascii="Arial" w:hAnsi="Arial" w:cs="Arial"/>
        <w:sz w:val="20"/>
        <w:szCs w:val="20"/>
      </w:rPr>
    </w:pPr>
    <w:r w:rsidRPr="00407C3F">
      <w:rPr>
        <w:rFonts w:ascii="Arial" w:hAnsi="Arial" w:cs="Arial"/>
        <w:sz w:val="20"/>
        <w:szCs w:val="20"/>
      </w:rPr>
      <w:fldChar w:fldCharType="begin"/>
    </w:r>
    <w:r w:rsidR="0033594F" w:rsidRPr="00407C3F">
      <w:rPr>
        <w:rFonts w:ascii="Arial" w:hAnsi="Arial" w:cs="Arial"/>
        <w:sz w:val="20"/>
        <w:szCs w:val="20"/>
      </w:rPr>
      <w:instrText xml:space="preserve"> PAGE   \* MERGEFORMAT </w:instrText>
    </w:r>
    <w:r w:rsidRPr="00407C3F">
      <w:rPr>
        <w:rFonts w:ascii="Arial" w:hAnsi="Arial" w:cs="Arial"/>
        <w:sz w:val="20"/>
        <w:szCs w:val="20"/>
      </w:rPr>
      <w:fldChar w:fldCharType="separate"/>
    </w:r>
    <w:r w:rsidR="00B66D78">
      <w:rPr>
        <w:rFonts w:ascii="Arial" w:hAnsi="Arial" w:cs="Arial"/>
        <w:noProof/>
        <w:sz w:val="20"/>
        <w:szCs w:val="20"/>
      </w:rPr>
      <w:t>i</w:t>
    </w:r>
    <w:r w:rsidRPr="00407C3F">
      <w:rPr>
        <w:rFonts w:ascii="Arial" w:hAnsi="Arial" w:cs="Arial"/>
        <w:noProof/>
        <w:sz w:val="20"/>
        <w:szCs w:val="20"/>
      </w:rPr>
      <w:fldChar w:fldCharType="end"/>
    </w:r>
  </w:p>
  <w:p w:rsidR="0033594F" w:rsidRDefault="003359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3F1" w:rsidRDefault="009D53F1" w:rsidP="0033594F">
      <w:pPr>
        <w:spacing w:after="0" w:line="240" w:lineRule="auto"/>
      </w:pPr>
      <w:r>
        <w:separator/>
      </w:r>
    </w:p>
  </w:footnote>
  <w:footnote w:type="continuationSeparator" w:id="0">
    <w:p w:rsidR="009D53F1" w:rsidRDefault="009D53F1" w:rsidP="003359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07FAA"/>
    <w:multiLevelType w:val="multilevel"/>
    <w:tmpl w:val="1E04FBB8"/>
    <w:lvl w:ilvl="0">
      <w:start w:val="5"/>
      <w:numFmt w:val="decimal"/>
      <w:lvlText w:val="%1."/>
      <w:lvlJc w:val="left"/>
      <w:pPr>
        <w:ind w:left="360" w:hanging="360"/>
      </w:pPr>
      <w:rPr>
        <w:rFonts w:hint="default"/>
      </w:rPr>
    </w:lvl>
    <w:lvl w:ilvl="1">
      <w:start w:val="1"/>
      <w:numFmt w:val="decimal"/>
      <w:lvlText w:val="%1.%2"/>
      <w:lvlJc w:val="left"/>
      <w:pPr>
        <w:ind w:left="2160" w:hanging="360"/>
      </w:pPr>
      <w:rPr>
        <w:rFonts w:hint="default"/>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
    <w:nsid w:val="03C54EF5"/>
    <w:multiLevelType w:val="hybridMultilevel"/>
    <w:tmpl w:val="9878CC80"/>
    <w:lvl w:ilvl="0" w:tplc="FE7C79CC">
      <w:start w:val="4"/>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7285B"/>
    <w:multiLevelType w:val="hybridMultilevel"/>
    <w:tmpl w:val="788618FE"/>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nsid w:val="068E27B2"/>
    <w:multiLevelType w:val="multilevel"/>
    <w:tmpl w:val="23280C28"/>
    <w:lvl w:ilvl="0">
      <w:start w:val="1"/>
      <w:numFmt w:val="decimal"/>
      <w:lvlText w:val="%1."/>
      <w:lvlJc w:val="left"/>
      <w:pPr>
        <w:ind w:left="540" w:hanging="540"/>
      </w:pPr>
      <w:rPr>
        <w:rFonts w:hint="default"/>
      </w:rPr>
    </w:lvl>
    <w:lvl w:ilvl="1">
      <w:start w:val="6"/>
      <w:numFmt w:val="decimal"/>
      <w:lvlText w:val="%1.%2."/>
      <w:lvlJc w:val="left"/>
      <w:pPr>
        <w:ind w:left="765" w:hanging="72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1215" w:hanging="108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665" w:hanging="144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2115" w:hanging="1800"/>
      </w:pPr>
      <w:rPr>
        <w:rFonts w:hint="default"/>
      </w:rPr>
    </w:lvl>
    <w:lvl w:ilvl="8">
      <w:start w:val="1"/>
      <w:numFmt w:val="decimal"/>
      <w:lvlText w:val="%1.%2.%3.%4.%5.%6.%7.%8.%9."/>
      <w:lvlJc w:val="left"/>
      <w:pPr>
        <w:ind w:left="2160" w:hanging="1800"/>
      </w:pPr>
      <w:rPr>
        <w:rFonts w:hint="default"/>
      </w:rPr>
    </w:lvl>
  </w:abstractNum>
  <w:abstractNum w:abstractNumId="4">
    <w:nsid w:val="0E325081"/>
    <w:multiLevelType w:val="hybridMultilevel"/>
    <w:tmpl w:val="BFEA0BFA"/>
    <w:lvl w:ilvl="0" w:tplc="BD8C172E">
      <w:start w:val="1"/>
      <w:numFmt w:val="lowerLetter"/>
      <w:lvlText w:val="%1."/>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0EF212F6"/>
    <w:multiLevelType w:val="hybridMultilevel"/>
    <w:tmpl w:val="4A76F72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4447EF"/>
    <w:multiLevelType w:val="multilevel"/>
    <w:tmpl w:val="302C59C4"/>
    <w:lvl w:ilvl="0">
      <w:start w:val="1"/>
      <w:numFmt w:val="decimal"/>
      <w:lvlText w:val="%1."/>
      <w:lvlJc w:val="left"/>
      <w:pPr>
        <w:ind w:left="576" w:hanging="576"/>
      </w:pPr>
      <w:rPr>
        <w:rFonts w:hint="default"/>
        <w:color w:val="000000" w:themeColor="text1"/>
        <w:sz w:val="22"/>
        <w:szCs w:val="22"/>
      </w:rPr>
    </w:lvl>
    <w:lvl w:ilvl="1">
      <w:start w:val="1"/>
      <w:numFmt w:val="decimal"/>
      <w:lvlText w:val="%1.%2"/>
      <w:lvlJc w:val="left"/>
      <w:pPr>
        <w:ind w:left="1296" w:hanging="720"/>
      </w:pPr>
      <w:rPr>
        <w:rFonts w:ascii="Arial" w:hAnsi="Arial" w:cs="Arial" w:hint="default"/>
        <w:b w:val="0"/>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DE2FBA"/>
    <w:multiLevelType w:val="multilevel"/>
    <w:tmpl w:val="6B1A30B8"/>
    <w:lvl w:ilvl="0">
      <w:start w:val="1"/>
      <w:numFmt w:val="decimal"/>
      <w:lvlText w:val="%1."/>
      <w:lvlJc w:val="left"/>
      <w:pPr>
        <w:ind w:left="1440" w:hanging="360"/>
      </w:pPr>
      <w:rPr>
        <w:rFonts w:hint="default"/>
        <w:sz w:val="22"/>
        <w:szCs w:val="22"/>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nsid w:val="15BE5170"/>
    <w:multiLevelType w:val="hybridMultilevel"/>
    <w:tmpl w:val="A87C17EC"/>
    <w:lvl w:ilvl="0" w:tplc="97B81A2E">
      <w:start w:val="1"/>
      <w:numFmt w:val="decimal"/>
      <w:lvlText w:val="%1."/>
      <w:lvlJc w:val="righ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16EE52E2"/>
    <w:multiLevelType w:val="hybridMultilevel"/>
    <w:tmpl w:val="C04E18AE"/>
    <w:lvl w:ilvl="0" w:tplc="68CE14AE">
      <w:start w:val="1"/>
      <w:numFmt w:val="decimal"/>
      <w:lvlText w:val="3.9.%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0">
    <w:nsid w:val="178216C3"/>
    <w:multiLevelType w:val="multilevel"/>
    <w:tmpl w:val="4D36695E"/>
    <w:lvl w:ilvl="0">
      <w:start w:val="3"/>
      <w:numFmt w:val="decimal"/>
      <w:lvlText w:val="%1."/>
      <w:lvlJc w:val="left"/>
      <w:pPr>
        <w:ind w:left="720" w:hanging="360"/>
      </w:pPr>
      <w:rPr>
        <w:rFonts w:hint="default"/>
      </w:rPr>
    </w:lvl>
    <w:lvl w:ilvl="1">
      <w:start w:val="1"/>
      <w:numFmt w:val="decimal"/>
      <w:isLgl/>
      <w:lvlText w:val="%1.%2"/>
      <w:lvlJc w:val="left"/>
      <w:pPr>
        <w:ind w:left="1080" w:hanging="360"/>
      </w:pPr>
      <w:rPr>
        <w:rFonts w:eastAsia="Calibri" w:cs="Arial" w:hint="default"/>
        <w:b w:val="0"/>
        <w:i w:val="0"/>
        <w:color w:val="000000"/>
      </w:rPr>
    </w:lvl>
    <w:lvl w:ilvl="2">
      <w:start w:val="1"/>
      <w:numFmt w:val="decimal"/>
      <w:isLgl/>
      <w:lvlText w:val="%1.%2.%3"/>
      <w:lvlJc w:val="left"/>
      <w:pPr>
        <w:ind w:left="1800" w:hanging="720"/>
      </w:pPr>
      <w:rPr>
        <w:rFonts w:eastAsia="Calibri" w:cs="Arial" w:hint="default"/>
        <w:color w:val="000000"/>
      </w:rPr>
    </w:lvl>
    <w:lvl w:ilvl="3">
      <w:start w:val="1"/>
      <w:numFmt w:val="decimal"/>
      <w:isLgl/>
      <w:lvlText w:val="%1.%2.%3.%4"/>
      <w:lvlJc w:val="left"/>
      <w:pPr>
        <w:ind w:left="2160" w:hanging="720"/>
      </w:pPr>
      <w:rPr>
        <w:rFonts w:eastAsia="Calibri" w:cs="Arial" w:hint="default"/>
        <w:color w:val="000000"/>
      </w:rPr>
    </w:lvl>
    <w:lvl w:ilvl="4">
      <w:start w:val="1"/>
      <w:numFmt w:val="decimal"/>
      <w:isLgl/>
      <w:lvlText w:val="%1.%2.%3.%4.%5"/>
      <w:lvlJc w:val="left"/>
      <w:pPr>
        <w:ind w:left="2880" w:hanging="1080"/>
      </w:pPr>
      <w:rPr>
        <w:rFonts w:eastAsia="Calibri" w:cs="Arial" w:hint="default"/>
        <w:color w:val="000000"/>
      </w:rPr>
    </w:lvl>
    <w:lvl w:ilvl="5">
      <w:start w:val="1"/>
      <w:numFmt w:val="decimal"/>
      <w:isLgl/>
      <w:lvlText w:val="%1.%2.%3.%4.%5.%6"/>
      <w:lvlJc w:val="left"/>
      <w:pPr>
        <w:ind w:left="3240" w:hanging="1080"/>
      </w:pPr>
      <w:rPr>
        <w:rFonts w:eastAsia="Calibri" w:cs="Arial" w:hint="default"/>
        <w:color w:val="000000"/>
      </w:rPr>
    </w:lvl>
    <w:lvl w:ilvl="6">
      <w:start w:val="1"/>
      <w:numFmt w:val="decimal"/>
      <w:isLgl/>
      <w:lvlText w:val="%1.%2.%3.%4.%5.%6.%7"/>
      <w:lvlJc w:val="left"/>
      <w:pPr>
        <w:ind w:left="3960" w:hanging="1440"/>
      </w:pPr>
      <w:rPr>
        <w:rFonts w:eastAsia="Calibri" w:cs="Arial" w:hint="default"/>
        <w:color w:val="000000"/>
      </w:rPr>
    </w:lvl>
    <w:lvl w:ilvl="7">
      <w:start w:val="1"/>
      <w:numFmt w:val="decimal"/>
      <w:isLgl/>
      <w:lvlText w:val="%1.%2.%3.%4.%5.%6.%7.%8"/>
      <w:lvlJc w:val="left"/>
      <w:pPr>
        <w:ind w:left="4320" w:hanging="1440"/>
      </w:pPr>
      <w:rPr>
        <w:rFonts w:eastAsia="Calibri" w:cs="Arial" w:hint="default"/>
        <w:color w:val="000000"/>
      </w:rPr>
    </w:lvl>
    <w:lvl w:ilvl="8">
      <w:start w:val="1"/>
      <w:numFmt w:val="decimal"/>
      <w:isLgl/>
      <w:lvlText w:val="%1.%2.%3.%4.%5.%6.%7.%8.%9"/>
      <w:lvlJc w:val="left"/>
      <w:pPr>
        <w:ind w:left="5040" w:hanging="1800"/>
      </w:pPr>
      <w:rPr>
        <w:rFonts w:eastAsia="Calibri" w:cs="Arial" w:hint="default"/>
        <w:color w:val="000000"/>
      </w:rPr>
    </w:lvl>
  </w:abstractNum>
  <w:abstractNum w:abstractNumId="11">
    <w:nsid w:val="17B65EAD"/>
    <w:multiLevelType w:val="multilevel"/>
    <w:tmpl w:val="EB0A76EC"/>
    <w:lvl w:ilvl="0">
      <w:start w:val="1"/>
      <w:numFmt w:val="decimal"/>
      <w:lvlText w:val="%1."/>
      <w:lvlJc w:val="left"/>
      <w:pPr>
        <w:ind w:left="720" w:hanging="360"/>
      </w:pPr>
      <w:rPr>
        <w:rFonts w:ascii="Arial" w:eastAsia="SimSun" w:hAnsi="Arial" w:cs="Arial" w:hint="default"/>
        <w:b w:val="0"/>
        <w:color w:val="000000"/>
        <w:sz w:val="22"/>
        <w:szCs w:val="22"/>
      </w:rPr>
    </w:lvl>
    <w:lvl w:ilvl="1">
      <w:start w:val="1"/>
      <w:numFmt w:val="decimal"/>
      <w:isLgl/>
      <w:lvlText w:val="%1.%2"/>
      <w:lvlJc w:val="left"/>
      <w:pPr>
        <w:ind w:left="720" w:hanging="360"/>
      </w:pPr>
      <w:rPr>
        <w:rFonts w:ascii="Arial" w:hAnsi="Arial" w:cs="Arial"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7E143E9"/>
    <w:multiLevelType w:val="hybridMultilevel"/>
    <w:tmpl w:val="A9C0985C"/>
    <w:lvl w:ilvl="0" w:tplc="974E1D3A">
      <w:start w:val="1"/>
      <w:numFmt w:val="lowerLetter"/>
      <w:lvlText w:val="%1."/>
      <w:lvlJc w:val="left"/>
      <w:pPr>
        <w:ind w:left="1440" w:hanging="360"/>
      </w:pPr>
      <w:rPr>
        <w:rFonts w:hint="default"/>
        <w:sz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3">
    <w:nsid w:val="1BA24DC8"/>
    <w:multiLevelType w:val="hybridMultilevel"/>
    <w:tmpl w:val="02CEDF9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1EFC505E"/>
    <w:multiLevelType w:val="hybridMultilevel"/>
    <w:tmpl w:val="4E3E039C"/>
    <w:lvl w:ilvl="0" w:tplc="8098F0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0E22CE"/>
    <w:multiLevelType w:val="multilevel"/>
    <w:tmpl w:val="302C59C4"/>
    <w:lvl w:ilvl="0">
      <w:start w:val="1"/>
      <w:numFmt w:val="decimal"/>
      <w:lvlText w:val="%1."/>
      <w:lvlJc w:val="left"/>
      <w:pPr>
        <w:ind w:left="576" w:hanging="576"/>
      </w:pPr>
      <w:rPr>
        <w:rFonts w:hint="default"/>
        <w:color w:val="000000" w:themeColor="text1"/>
        <w:sz w:val="22"/>
        <w:szCs w:val="22"/>
      </w:rPr>
    </w:lvl>
    <w:lvl w:ilvl="1">
      <w:start w:val="1"/>
      <w:numFmt w:val="decimal"/>
      <w:lvlText w:val="%1.%2"/>
      <w:lvlJc w:val="left"/>
      <w:pPr>
        <w:ind w:left="1296" w:hanging="720"/>
      </w:pPr>
      <w:rPr>
        <w:rFonts w:ascii="Arial" w:hAnsi="Arial" w:cs="Arial" w:hint="default"/>
        <w:b w:val="0"/>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14F0334"/>
    <w:multiLevelType w:val="multilevel"/>
    <w:tmpl w:val="B14C4C40"/>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nsid w:val="21544441"/>
    <w:multiLevelType w:val="hybridMultilevel"/>
    <w:tmpl w:val="4B9E4948"/>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nsid w:val="21614539"/>
    <w:multiLevelType w:val="hybridMultilevel"/>
    <w:tmpl w:val="D588391A"/>
    <w:lvl w:ilvl="0" w:tplc="27C629A6">
      <w:start w:val="2"/>
      <w:numFmt w:val="decimal"/>
      <w:lvlText w:val="%1."/>
      <w:lvlJc w:val="right"/>
      <w:pPr>
        <w:ind w:left="216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AF6D59"/>
    <w:multiLevelType w:val="hybridMultilevel"/>
    <w:tmpl w:val="8A7AF2F8"/>
    <w:lvl w:ilvl="0" w:tplc="20966392">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71378E"/>
    <w:multiLevelType w:val="multilevel"/>
    <w:tmpl w:val="9A6A74BE"/>
    <w:name w:val="WW8Num322"/>
    <w:lvl w:ilvl="0">
      <w:start w:val="2"/>
      <w:numFmt w:val="upperRoman"/>
      <w:lvlText w:val="%1."/>
      <w:lvlJc w:val="left"/>
      <w:pPr>
        <w:ind w:left="1080" w:hanging="360"/>
      </w:pPr>
      <w:rPr>
        <w:rFonts w:ascii="Arial" w:hAnsi="Arial" w:cs="Arial" w:hint="default"/>
        <w:b/>
        <w:i w:val="0"/>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nsid w:val="27F9377D"/>
    <w:multiLevelType w:val="multilevel"/>
    <w:tmpl w:val="98F20752"/>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2">
    <w:nsid w:val="29BE1EAC"/>
    <w:multiLevelType w:val="multilevel"/>
    <w:tmpl w:val="38547750"/>
    <w:lvl w:ilvl="0">
      <w:start w:val="1"/>
      <w:numFmt w:val="decimal"/>
      <w:lvlText w:val="%1."/>
      <w:lvlJc w:val="left"/>
      <w:pPr>
        <w:ind w:left="720" w:hanging="360"/>
      </w:pPr>
      <w:rPr>
        <w:rFonts w:hint="default"/>
      </w:rPr>
    </w:lvl>
    <w:lvl w:ilvl="1">
      <w:start w:val="6"/>
      <w:numFmt w:val="decimal"/>
      <w:isLgl/>
      <w:lvlText w:val="%1.%2."/>
      <w:lvlJc w:val="left"/>
      <w:pPr>
        <w:ind w:left="1215" w:hanging="720"/>
      </w:pPr>
      <w:rPr>
        <w:rFonts w:hint="default"/>
      </w:rPr>
    </w:lvl>
    <w:lvl w:ilvl="2">
      <w:start w:val="2"/>
      <w:numFmt w:val="decimal"/>
      <w:isLgl/>
      <w:lvlText w:val="%1.%2.%3."/>
      <w:lvlJc w:val="left"/>
      <w:pPr>
        <w:ind w:left="1350"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475" w:hanging="144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3105" w:hanging="1800"/>
      </w:pPr>
      <w:rPr>
        <w:rFonts w:hint="default"/>
      </w:rPr>
    </w:lvl>
    <w:lvl w:ilvl="8">
      <w:start w:val="1"/>
      <w:numFmt w:val="decimal"/>
      <w:isLgl/>
      <w:lvlText w:val="%1.%2.%3.%4.%5.%6.%7.%8.%9."/>
      <w:lvlJc w:val="left"/>
      <w:pPr>
        <w:ind w:left="3240" w:hanging="1800"/>
      </w:pPr>
      <w:rPr>
        <w:rFonts w:hint="default"/>
      </w:rPr>
    </w:lvl>
  </w:abstractNum>
  <w:abstractNum w:abstractNumId="23">
    <w:nsid w:val="2AFF3D02"/>
    <w:multiLevelType w:val="hybridMultilevel"/>
    <w:tmpl w:val="CA2806E0"/>
    <w:lvl w:ilvl="0" w:tplc="F7C4C818">
      <w:start w:val="1"/>
      <w:numFmt w:val="lowerLetter"/>
      <w:lvlText w:val="%1."/>
      <w:lvlJc w:val="left"/>
      <w:pPr>
        <w:ind w:left="1440" w:hanging="360"/>
      </w:pPr>
      <w:rPr>
        <w:rFonts w:hint="default"/>
        <w:b/>
        <w:color w:val="000000" w:themeColor="text1"/>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4">
    <w:nsid w:val="32EC5097"/>
    <w:multiLevelType w:val="hybridMultilevel"/>
    <w:tmpl w:val="9FB46CF2"/>
    <w:lvl w:ilvl="0" w:tplc="66B23DD6">
      <w:start w:val="1"/>
      <w:numFmt w:val="decimal"/>
      <w:lvlText w:val="%1."/>
      <w:lvlJc w:val="left"/>
      <w:pPr>
        <w:ind w:left="1080" w:hanging="360"/>
      </w:pPr>
      <w:rPr>
        <w:rFonts w:hint="default"/>
      </w:rPr>
    </w:lvl>
    <w:lvl w:ilvl="1" w:tplc="DED40D36">
      <w:start w:val="1"/>
      <w:numFmt w:val="lowerLetter"/>
      <w:lvlText w:val="%2."/>
      <w:lvlJc w:val="left"/>
      <w:pPr>
        <w:ind w:left="1800" w:hanging="360"/>
      </w:pPr>
      <w:rPr>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75A3A75"/>
    <w:multiLevelType w:val="hybridMultilevel"/>
    <w:tmpl w:val="A31AC798"/>
    <w:lvl w:ilvl="0" w:tplc="2AAA20BE">
      <w:start w:val="1"/>
      <w:numFmt w:val="decimal"/>
      <w:lvlText w:val="4.5.%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8641351"/>
    <w:multiLevelType w:val="hybridMultilevel"/>
    <w:tmpl w:val="782EF80C"/>
    <w:lvl w:ilvl="0" w:tplc="5D366726">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E61B9A"/>
    <w:multiLevelType w:val="hybridMultilevel"/>
    <w:tmpl w:val="2676E57E"/>
    <w:lvl w:ilvl="0" w:tplc="AF1A1A8E">
      <w:start w:val="1"/>
      <w:numFmt w:val="lowerLetter"/>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ED7924"/>
    <w:multiLevelType w:val="hybridMultilevel"/>
    <w:tmpl w:val="FFA290DC"/>
    <w:lvl w:ilvl="0" w:tplc="70D63EEA">
      <w:start w:val="1"/>
      <w:numFmt w:val="decimal"/>
      <w:lvlText w:val="2.4.%1"/>
      <w:lvlJc w:val="left"/>
      <w:pPr>
        <w:ind w:left="1620" w:hanging="360"/>
      </w:pPr>
      <w:rPr>
        <w:rFonts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nsid w:val="41BD2322"/>
    <w:multiLevelType w:val="hybridMultilevel"/>
    <w:tmpl w:val="76983D7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28E08C3"/>
    <w:multiLevelType w:val="hybridMultilevel"/>
    <w:tmpl w:val="7FD6D186"/>
    <w:lvl w:ilvl="0" w:tplc="B5EE196C">
      <w:start w:val="3"/>
      <w:numFmt w:val="decimal"/>
      <w:lvlText w:val="%1."/>
      <w:lvlJc w:val="righ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3764D43"/>
    <w:multiLevelType w:val="hybridMultilevel"/>
    <w:tmpl w:val="21B0A4D6"/>
    <w:lvl w:ilvl="0" w:tplc="5AFCEB2C">
      <w:start w:val="1"/>
      <w:numFmt w:val="decimal"/>
      <w:lvlText w:val="%1.6.2"/>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3EB4485"/>
    <w:multiLevelType w:val="multilevel"/>
    <w:tmpl w:val="CB9EEC96"/>
    <w:lvl w:ilvl="0">
      <w:start w:val="1"/>
      <w:numFmt w:val="decimal"/>
      <w:lvlText w:val="%1."/>
      <w:lvlJc w:val="left"/>
      <w:pPr>
        <w:ind w:left="576" w:hanging="576"/>
      </w:pPr>
      <w:rPr>
        <w:rFonts w:hint="default"/>
      </w:rPr>
    </w:lvl>
    <w:lvl w:ilvl="1">
      <w:start w:val="1"/>
      <w:numFmt w:val="decimal"/>
      <w:lvlText w:val="%1.%2"/>
      <w:lvlJc w:val="left"/>
      <w:pPr>
        <w:ind w:left="1296" w:hanging="720"/>
      </w:pPr>
      <w:rPr>
        <w:rFonts w:ascii="Arial" w:hAnsi="Arial" w:cs="Arial" w:hint="default"/>
        <w:b w:val="0"/>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47C5A69"/>
    <w:multiLevelType w:val="multilevel"/>
    <w:tmpl w:val="20FCEDC4"/>
    <w:lvl w:ilvl="0">
      <w:start w:val="1"/>
      <w:numFmt w:val="decimal"/>
      <w:lvlText w:val="%1."/>
      <w:lvlJc w:val="left"/>
      <w:pPr>
        <w:ind w:left="720" w:hanging="360"/>
      </w:pPr>
      <w:rPr>
        <w:rFonts w:ascii="Arial" w:hAnsi="Arial" w:cs="Arial" w:hint="default"/>
        <w:b/>
        <w:sz w:val="22"/>
        <w:szCs w:val="22"/>
      </w:rPr>
    </w:lvl>
    <w:lvl w:ilvl="1">
      <w:start w:val="1"/>
      <w:numFmt w:val="decimal"/>
      <w:isLgl/>
      <w:lvlText w:val="%1.%2"/>
      <w:lvlJc w:val="left"/>
      <w:pPr>
        <w:ind w:left="1170" w:hanging="360"/>
      </w:pPr>
      <w:rPr>
        <w:rFonts w:ascii="Arial" w:hAnsi="Arial" w:cs="Arial" w:hint="default"/>
        <w:b w:val="0"/>
        <w:i w:val="0"/>
        <w:color w:val="auto"/>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4">
    <w:nsid w:val="59182C06"/>
    <w:multiLevelType w:val="multilevel"/>
    <w:tmpl w:val="9C4EF236"/>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5">
    <w:nsid w:val="5CAB2F91"/>
    <w:multiLevelType w:val="singleLevel"/>
    <w:tmpl w:val="AC8E355E"/>
    <w:lvl w:ilvl="0">
      <w:start w:val="1"/>
      <w:numFmt w:val="lowerLetter"/>
      <w:lvlText w:val="%1."/>
      <w:lvlJc w:val="left"/>
      <w:pPr>
        <w:tabs>
          <w:tab w:val="num" w:pos="425"/>
        </w:tabs>
        <w:ind w:left="425" w:hanging="425"/>
      </w:pPr>
      <w:rPr>
        <w:rFonts w:ascii="Arial" w:hAnsi="Arial" w:cs="Arial" w:hint="default"/>
        <w:b w:val="0"/>
        <w:sz w:val="22"/>
        <w:szCs w:val="22"/>
      </w:rPr>
    </w:lvl>
  </w:abstractNum>
  <w:abstractNum w:abstractNumId="36">
    <w:nsid w:val="5CAB315C"/>
    <w:multiLevelType w:val="singleLevel"/>
    <w:tmpl w:val="D8BAE268"/>
    <w:lvl w:ilvl="0">
      <w:start w:val="1"/>
      <w:numFmt w:val="lowerLetter"/>
      <w:lvlText w:val="%1."/>
      <w:lvlJc w:val="left"/>
      <w:pPr>
        <w:tabs>
          <w:tab w:val="num" w:pos="425"/>
        </w:tabs>
        <w:ind w:left="425" w:hanging="425"/>
      </w:pPr>
      <w:rPr>
        <w:rFonts w:hint="default"/>
        <w:b w:val="0"/>
      </w:rPr>
    </w:lvl>
  </w:abstractNum>
  <w:abstractNum w:abstractNumId="37">
    <w:nsid w:val="5D931CEB"/>
    <w:multiLevelType w:val="hybridMultilevel"/>
    <w:tmpl w:val="54F248FC"/>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8">
    <w:nsid w:val="619613D3"/>
    <w:multiLevelType w:val="hybridMultilevel"/>
    <w:tmpl w:val="25FA4CFA"/>
    <w:lvl w:ilvl="0" w:tplc="864EEF82">
      <w:start w:val="1"/>
      <w:numFmt w:val="lowerLetter"/>
      <w:lvlText w:val="%1."/>
      <w:lvlJc w:val="left"/>
      <w:pPr>
        <w:ind w:left="1440" w:hanging="360"/>
      </w:pPr>
      <w:rPr>
        <w:rFonts w:hint="default"/>
        <w:b w:val="0"/>
        <w:color w:val="000000" w:themeColor="text1"/>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9">
    <w:nsid w:val="63753E07"/>
    <w:multiLevelType w:val="hybridMultilevel"/>
    <w:tmpl w:val="1324B192"/>
    <w:lvl w:ilvl="0" w:tplc="B254B728">
      <w:start w:val="1"/>
      <w:numFmt w:val="lowerLetter"/>
      <w:lvlText w:val="%1."/>
      <w:lvlJc w:val="left"/>
      <w:pPr>
        <w:ind w:left="1440" w:hanging="144"/>
      </w:pPr>
      <w:rPr>
        <w:rFonts w:hint="default"/>
        <w:b w:val="0"/>
      </w:rPr>
    </w:lvl>
    <w:lvl w:ilvl="1" w:tplc="34090019">
      <w:start w:val="1"/>
      <w:numFmt w:val="lowerLetter"/>
      <w:lvlText w:val="%2."/>
      <w:lvlJc w:val="left"/>
      <w:pPr>
        <w:ind w:left="1872" w:hanging="360"/>
      </w:pPr>
    </w:lvl>
    <w:lvl w:ilvl="2" w:tplc="3409001B" w:tentative="1">
      <w:start w:val="1"/>
      <w:numFmt w:val="lowerRoman"/>
      <w:lvlText w:val="%3."/>
      <w:lvlJc w:val="right"/>
      <w:pPr>
        <w:ind w:left="2592" w:hanging="180"/>
      </w:pPr>
    </w:lvl>
    <w:lvl w:ilvl="3" w:tplc="3409000F" w:tentative="1">
      <w:start w:val="1"/>
      <w:numFmt w:val="decimal"/>
      <w:lvlText w:val="%4."/>
      <w:lvlJc w:val="left"/>
      <w:pPr>
        <w:ind w:left="3312" w:hanging="360"/>
      </w:pPr>
    </w:lvl>
    <w:lvl w:ilvl="4" w:tplc="34090019" w:tentative="1">
      <w:start w:val="1"/>
      <w:numFmt w:val="lowerLetter"/>
      <w:lvlText w:val="%5."/>
      <w:lvlJc w:val="left"/>
      <w:pPr>
        <w:ind w:left="4032" w:hanging="360"/>
      </w:pPr>
    </w:lvl>
    <w:lvl w:ilvl="5" w:tplc="3409001B" w:tentative="1">
      <w:start w:val="1"/>
      <w:numFmt w:val="lowerRoman"/>
      <w:lvlText w:val="%6."/>
      <w:lvlJc w:val="right"/>
      <w:pPr>
        <w:ind w:left="4752" w:hanging="180"/>
      </w:pPr>
    </w:lvl>
    <w:lvl w:ilvl="6" w:tplc="3409000F" w:tentative="1">
      <w:start w:val="1"/>
      <w:numFmt w:val="decimal"/>
      <w:lvlText w:val="%7."/>
      <w:lvlJc w:val="left"/>
      <w:pPr>
        <w:ind w:left="5472" w:hanging="360"/>
      </w:pPr>
    </w:lvl>
    <w:lvl w:ilvl="7" w:tplc="34090019" w:tentative="1">
      <w:start w:val="1"/>
      <w:numFmt w:val="lowerLetter"/>
      <w:lvlText w:val="%8."/>
      <w:lvlJc w:val="left"/>
      <w:pPr>
        <w:ind w:left="6192" w:hanging="360"/>
      </w:pPr>
    </w:lvl>
    <w:lvl w:ilvl="8" w:tplc="3409001B" w:tentative="1">
      <w:start w:val="1"/>
      <w:numFmt w:val="lowerRoman"/>
      <w:lvlText w:val="%9."/>
      <w:lvlJc w:val="right"/>
      <w:pPr>
        <w:ind w:left="6912" w:hanging="180"/>
      </w:pPr>
    </w:lvl>
  </w:abstractNum>
  <w:abstractNum w:abstractNumId="40">
    <w:nsid w:val="641707A3"/>
    <w:multiLevelType w:val="hybridMultilevel"/>
    <w:tmpl w:val="C99A9F22"/>
    <w:lvl w:ilvl="0" w:tplc="8B0E067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41D66A3"/>
    <w:multiLevelType w:val="multilevel"/>
    <w:tmpl w:val="CD40A7BA"/>
    <w:lvl w:ilvl="0">
      <w:start w:val="11"/>
      <w:numFmt w:val="decimal"/>
      <w:lvlText w:val="%1."/>
      <w:lvlJc w:val="left"/>
      <w:pPr>
        <w:ind w:left="576" w:hanging="576"/>
      </w:pPr>
      <w:rPr>
        <w:rFonts w:hint="default"/>
        <w:b/>
        <w:sz w:val="22"/>
        <w:szCs w:val="22"/>
      </w:rPr>
    </w:lvl>
    <w:lvl w:ilvl="1">
      <w:start w:val="1"/>
      <w:numFmt w:val="decimal"/>
      <w:lvlText w:val="6. %2"/>
      <w:lvlJc w:val="left"/>
      <w:pPr>
        <w:ind w:left="2790" w:hanging="720"/>
      </w:pPr>
      <w:rPr>
        <w:rFonts w:hint="default"/>
        <w:b w:val="0"/>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EB85D7D"/>
    <w:multiLevelType w:val="hybridMultilevel"/>
    <w:tmpl w:val="43265C5C"/>
    <w:lvl w:ilvl="0" w:tplc="BF7C7B7C">
      <w:start w:val="1"/>
      <w:numFmt w:val="lowerLetter"/>
      <w:lvlText w:val="5.%1"/>
      <w:lvlJc w:val="right"/>
      <w:pPr>
        <w:ind w:left="720" w:hanging="360"/>
      </w:pPr>
      <w:rPr>
        <w:rFonts w:hint="default"/>
      </w:rPr>
    </w:lvl>
    <w:lvl w:ilvl="1" w:tplc="AB8CA9BC">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1F2738"/>
    <w:multiLevelType w:val="multilevel"/>
    <w:tmpl w:val="0AA252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746054FE"/>
    <w:multiLevelType w:val="hybridMultilevel"/>
    <w:tmpl w:val="AE5EEC58"/>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5">
    <w:nsid w:val="766B30BB"/>
    <w:multiLevelType w:val="hybridMultilevel"/>
    <w:tmpl w:val="C6E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6DB1196"/>
    <w:multiLevelType w:val="multilevel"/>
    <w:tmpl w:val="5C8E2252"/>
    <w:lvl w:ilvl="0">
      <w:start w:val="1"/>
      <w:numFmt w:val="upperRoman"/>
      <w:lvlText w:val="%1."/>
      <w:lvlJc w:val="left"/>
      <w:pPr>
        <w:ind w:left="2160" w:hanging="720"/>
      </w:pPr>
      <w:rPr>
        <w:rFonts w:hint="default"/>
      </w:rPr>
    </w:lvl>
    <w:lvl w:ilvl="1">
      <w:start w:val="1"/>
      <w:numFmt w:val="decimal"/>
      <w:isLgl/>
      <w:lvlText w:val="%1.%2"/>
      <w:lvlJc w:val="left"/>
      <w:pPr>
        <w:ind w:left="1800" w:hanging="360"/>
      </w:pPr>
      <w:rPr>
        <w:rFonts w:ascii="Arial" w:hAnsi="Arial" w:cs="Arial" w:hint="default"/>
        <w:sz w:val="22"/>
        <w:szCs w:val="22"/>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47">
    <w:nsid w:val="78A52ABF"/>
    <w:multiLevelType w:val="hybridMultilevel"/>
    <w:tmpl w:val="7646CA98"/>
    <w:lvl w:ilvl="0" w:tplc="34090015">
      <w:start w:val="1"/>
      <w:numFmt w:val="upp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8">
    <w:nsid w:val="7EA54EA1"/>
    <w:multiLevelType w:val="multilevel"/>
    <w:tmpl w:val="C546BE32"/>
    <w:lvl w:ilvl="0">
      <w:start w:val="1"/>
      <w:numFmt w:val="decimal"/>
      <w:lvlText w:val="%1."/>
      <w:lvlJc w:val="left"/>
      <w:pPr>
        <w:ind w:left="720" w:hanging="360"/>
      </w:pPr>
      <w:rPr>
        <w:rFonts w:hint="default"/>
        <w:b w:val="0"/>
        <w:color w:val="000000" w:themeColor="text1"/>
      </w:rPr>
    </w:lvl>
    <w:lvl w:ilvl="1">
      <w:start w:val="1"/>
      <w:numFmt w:val="decimal"/>
      <w:isLgl/>
      <w:lvlText w:val="%1.%2"/>
      <w:lvlJc w:val="left"/>
      <w:pPr>
        <w:ind w:left="1440" w:hanging="360"/>
      </w:pPr>
      <w:rPr>
        <w:rFonts w:hint="default"/>
        <w:sz w:val="22"/>
        <w:szCs w:val="22"/>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9">
    <w:nsid w:val="7FF1281A"/>
    <w:multiLevelType w:val="multilevel"/>
    <w:tmpl w:val="EB0A76EC"/>
    <w:lvl w:ilvl="0">
      <w:start w:val="1"/>
      <w:numFmt w:val="decimal"/>
      <w:lvlText w:val="%1."/>
      <w:lvlJc w:val="left"/>
      <w:pPr>
        <w:ind w:left="720" w:hanging="360"/>
      </w:pPr>
      <w:rPr>
        <w:rFonts w:ascii="Arial" w:eastAsia="SimSun" w:hAnsi="Arial" w:cs="Arial" w:hint="default"/>
        <w:b w:val="0"/>
        <w:color w:val="000000"/>
        <w:sz w:val="22"/>
        <w:szCs w:val="22"/>
      </w:rPr>
    </w:lvl>
    <w:lvl w:ilvl="1">
      <w:start w:val="1"/>
      <w:numFmt w:val="decimal"/>
      <w:isLgl/>
      <w:lvlText w:val="%1.%2"/>
      <w:lvlJc w:val="left"/>
      <w:pPr>
        <w:ind w:left="720" w:hanging="360"/>
      </w:pPr>
      <w:rPr>
        <w:rFonts w:ascii="Arial" w:hAnsi="Arial" w:cs="Arial"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7"/>
  </w:num>
  <w:num w:numId="2">
    <w:abstractNumId w:val="8"/>
  </w:num>
  <w:num w:numId="3">
    <w:abstractNumId w:val="30"/>
  </w:num>
  <w:num w:numId="4">
    <w:abstractNumId w:val="40"/>
  </w:num>
  <w:num w:numId="5">
    <w:abstractNumId w:val="19"/>
  </w:num>
  <w:num w:numId="6">
    <w:abstractNumId w:val="13"/>
  </w:num>
  <w:num w:numId="7">
    <w:abstractNumId w:val="18"/>
  </w:num>
  <w:num w:numId="8">
    <w:abstractNumId w:val="29"/>
  </w:num>
  <w:num w:numId="9">
    <w:abstractNumId w:val="5"/>
  </w:num>
  <w:num w:numId="10">
    <w:abstractNumId w:val="37"/>
  </w:num>
  <w:num w:numId="11">
    <w:abstractNumId w:val="31"/>
  </w:num>
  <w:num w:numId="12">
    <w:abstractNumId w:val="3"/>
  </w:num>
  <w:num w:numId="13">
    <w:abstractNumId w:val="44"/>
  </w:num>
  <w:num w:numId="14">
    <w:abstractNumId w:val="28"/>
  </w:num>
  <w:num w:numId="15">
    <w:abstractNumId w:val="17"/>
  </w:num>
  <w:num w:numId="16">
    <w:abstractNumId w:val="9"/>
  </w:num>
  <w:num w:numId="17">
    <w:abstractNumId w:val="25"/>
  </w:num>
  <w:num w:numId="18">
    <w:abstractNumId w:val="26"/>
  </w:num>
  <w:num w:numId="19">
    <w:abstractNumId w:val="22"/>
  </w:num>
  <w:num w:numId="20">
    <w:abstractNumId w:val="1"/>
  </w:num>
  <w:num w:numId="21">
    <w:abstractNumId w:val="7"/>
  </w:num>
  <w:num w:numId="22">
    <w:abstractNumId w:val="4"/>
  </w:num>
  <w:num w:numId="23">
    <w:abstractNumId w:val="2"/>
  </w:num>
  <w:num w:numId="24">
    <w:abstractNumId w:val="42"/>
  </w:num>
  <w:num w:numId="25">
    <w:abstractNumId w:val="10"/>
  </w:num>
  <w:num w:numId="26">
    <w:abstractNumId w:val="45"/>
  </w:num>
  <w:num w:numId="27">
    <w:abstractNumId w:val="14"/>
  </w:num>
  <w:num w:numId="28">
    <w:abstractNumId w:val="48"/>
  </w:num>
  <w:num w:numId="29">
    <w:abstractNumId w:val="27"/>
  </w:num>
  <w:num w:numId="30">
    <w:abstractNumId w:val="34"/>
  </w:num>
  <w:num w:numId="31">
    <w:abstractNumId w:val="24"/>
  </w:num>
  <w:num w:numId="32">
    <w:abstractNumId w:val="16"/>
  </w:num>
  <w:num w:numId="33">
    <w:abstractNumId w:val="21"/>
  </w:num>
  <w:num w:numId="34">
    <w:abstractNumId w:val="49"/>
  </w:num>
  <w:num w:numId="35">
    <w:abstractNumId w:val="35"/>
  </w:num>
  <w:num w:numId="36">
    <w:abstractNumId w:val="46"/>
  </w:num>
  <w:num w:numId="37">
    <w:abstractNumId w:val="43"/>
  </w:num>
  <w:num w:numId="38">
    <w:abstractNumId w:val="33"/>
  </w:num>
  <w:num w:numId="39">
    <w:abstractNumId w:val="36"/>
  </w:num>
  <w:num w:numId="40">
    <w:abstractNumId w:val="20"/>
  </w:num>
  <w:num w:numId="41">
    <w:abstractNumId w:val="15"/>
  </w:num>
  <w:num w:numId="42">
    <w:abstractNumId w:val="39"/>
  </w:num>
  <w:num w:numId="43">
    <w:abstractNumId w:val="23"/>
  </w:num>
  <w:num w:numId="44">
    <w:abstractNumId w:val="38"/>
  </w:num>
  <w:num w:numId="45">
    <w:abstractNumId w:val="32"/>
  </w:num>
  <w:num w:numId="46">
    <w:abstractNumId w:val="12"/>
  </w:num>
  <w:num w:numId="47">
    <w:abstractNumId w:val="11"/>
  </w:num>
  <w:num w:numId="48">
    <w:abstractNumId w:val="6"/>
  </w:num>
  <w:num w:numId="49">
    <w:abstractNumId w:val="0"/>
  </w:num>
  <w:num w:numId="50">
    <w:abstractNumId w:val="4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NbphHOv32YBDvyfDjLh/VY/Ms1mQnGo6gb/KQmeDBJUpC5QlcXL7cXBHG3PWifb6AjL2/HuXELTDI+KeSEhkPQ==" w:salt="L94e12Kxohd/1f6JePS93Q=="/>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0723E2"/>
    <w:rsid w:val="000001B2"/>
    <w:rsid w:val="00002574"/>
    <w:rsid w:val="0000489A"/>
    <w:rsid w:val="000078C7"/>
    <w:rsid w:val="00013D3F"/>
    <w:rsid w:val="00023F2B"/>
    <w:rsid w:val="00024146"/>
    <w:rsid w:val="00034734"/>
    <w:rsid w:val="000371BA"/>
    <w:rsid w:val="0005026A"/>
    <w:rsid w:val="0005182B"/>
    <w:rsid w:val="00071571"/>
    <w:rsid w:val="000716EF"/>
    <w:rsid w:val="000723E2"/>
    <w:rsid w:val="00074914"/>
    <w:rsid w:val="00074EB3"/>
    <w:rsid w:val="000811C6"/>
    <w:rsid w:val="00081F31"/>
    <w:rsid w:val="00092BB3"/>
    <w:rsid w:val="00093DD1"/>
    <w:rsid w:val="000A2C27"/>
    <w:rsid w:val="000A3DB6"/>
    <w:rsid w:val="000B0E1F"/>
    <w:rsid w:val="000B7987"/>
    <w:rsid w:val="000C0538"/>
    <w:rsid w:val="000C5C71"/>
    <w:rsid w:val="000C6ECB"/>
    <w:rsid w:val="000C7051"/>
    <w:rsid w:val="000D035A"/>
    <w:rsid w:val="000D3321"/>
    <w:rsid w:val="000D4EE0"/>
    <w:rsid w:val="000E0991"/>
    <w:rsid w:val="000E0A00"/>
    <w:rsid w:val="000E0F61"/>
    <w:rsid w:val="000E204B"/>
    <w:rsid w:val="000E2DE2"/>
    <w:rsid w:val="000F4C5F"/>
    <w:rsid w:val="000F4F28"/>
    <w:rsid w:val="000F6657"/>
    <w:rsid w:val="0010204B"/>
    <w:rsid w:val="0010491D"/>
    <w:rsid w:val="001230BA"/>
    <w:rsid w:val="00134BFD"/>
    <w:rsid w:val="00135395"/>
    <w:rsid w:val="0014609D"/>
    <w:rsid w:val="001470DA"/>
    <w:rsid w:val="0015366D"/>
    <w:rsid w:val="001538EA"/>
    <w:rsid w:val="001631A8"/>
    <w:rsid w:val="00167BCA"/>
    <w:rsid w:val="00195903"/>
    <w:rsid w:val="0019738D"/>
    <w:rsid w:val="001979C4"/>
    <w:rsid w:val="001A4A49"/>
    <w:rsid w:val="001A57E1"/>
    <w:rsid w:val="001A59D7"/>
    <w:rsid w:val="001B32DB"/>
    <w:rsid w:val="001B4745"/>
    <w:rsid w:val="001B533B"/>
    <w:rsid w:val="001B67EE"/>
    <w:rsid w:val="001B7F51"/>
    <w:rsid w:val="001C7CF7"/>
    <w:rsid w:val="001C7D3C"/>
    <w:rsid w:val="001D26CC"/>
    <w:rsid w:val="001D6D90"/>
    <w:rsid w:val="001E6BE6"/>
    <w:rsid w:val="001F30DC"/>
    <w:rsid w:val="00205454"/>
    <w:rsid w:val="00214165"/>
    <w:rsid w:val="002167E7"/>
    <w:rsid w:val="0022080C"/>
    <w:rsid w:val="00230DED"/>
    <w:rsid w:val="00233856"/>
    <w:rsid w:val="00235491"/>
    <w:rsid w:val="00245D8E"/>
    <w:rsid w:val="00246F72"/>
    <w:rsid w:val="002649DD"/>
    <w:rsid w:val="00264EDB"/>
    <w:rsid w:val="00267E17"/>
    <w:rsid w:val="00270C84"/>
    <w:rsid w:val="002725E2"/>
    <w:rsid w:val="002819A3"/>
    <w:rsid w:val="00283AD8"/>
    <w:rsid w:val="0028509B"/>
    <w:rsid w:val="00294A65"/>
    <w:rsid w:val="00297330"/>
    <w:rsid w:val="002B39F4"/>
    <w:rsid w:val="002B6CDE"/>
    <w:rsid w:val="002C29D9"/>
    <w:rsid w:val="002C3E56"/>
    <w:rsid w:val="002D03FA"/>
    <w:rsid w:val="002D5979"/>
    <w:rsid w:val="002E373D"/>
    <w:rsid w:val="002F26E0"/>
    <w:rsid w:val="002F5CD9"/>
    <w:rsid w:val="0031557A"/>
    <w:rsid w:val="0031565A"/>
    <w:rsid w:val="00316651"/>
    <w:rsid w:val="003268E9"/>
    <w:rsid w:val="00332E85"/>
    <w:rsid w:val="0033594F"/>
    <w:rsid w:val="00336A6B"/>
    <w:rsid w:val="00354199"/>
    <w:rsid w:val="00357E71"/>
    <w:rsid w:val="003602A4"/>
    <w:rsid w:val="00373757"/>
    <w:rsid w:val="00386DB7"/>
    <w:rsid w:val="003900FE"/>
    <w:rsid w:val="00394A64"/>
    <w:rsid w:val="003A0602"/>
    <w:rsid w:val="003A261E"/>
    <w:rsid w:val="003B0AE4"/>
    <w:rsid w:val="003B326A"/>
    <w:rsid w:val="003B4204"/>
    <w:rsid w:val="003B7350"/>
    <w:rsid w:val="003C0FF1"/>
    <w:rsid w:val="003C2BD4"/>
    <w:rsid w:val="003C66A0"/>
    <w:rsid w:val="003D7ED4"/>
    <w:rsid w:val="003E2888"/>
    <w:rsid w:val="003E38E8"/>
    <w:rsid w:val="003E3C75"/>
    <w:rsid w:val="003F23F2"/>
    <w:rsid w:val="0040088A"/>
    <w:rsid w:val="00407C3F"/>
    <w:rsid w:val="00410B96"/>
    <w:rsid w:val="00411FC6"/>
    <w:rsid w:val="00414B1F"/>
    <w:rsid w:val="00415500"/>
    <w:rsid w:val="004256E2"/>
    <w:rsid w:val="004313B0"/>
    <w:rsid w:val="00432F95"/>
    <w:rsid w:val="0044158E"/>
    <w:rsid w:val="00450EA5"/>
    <w:rsid w:val="00451754"/>
    <w:rsid w:val="00452F1A"/>
    <w:rsid w:val="004610B0"/>
    <w:rsid w:val="00461AC5"/>
    <w:rsid w:val="004624F5"/>
    <w:rsid w:val="004650BA"/>
    <w:rsid w:val="00465F1E"/>
    <w:rsid w:val="00473CDC"/>
    <w:rsid w:val="004845F7"/>
    <w:rsid w:val="00491F60"/>
    <w:rsid w:val="004A116C"/>
    <w:rsid w:val="004B5937"/>
    <w:rsid w:val="004C3195"/>
    <w:rsid w:val="004C3D9B"/>
    <w:rsid w:val="004D0C94"/>
    <w:rsid w:val="004E4765"/>
    <w:rsid w:val="004E5226"/>
    <w:rsid w:val="004F2392"/>
    <w:rsid w:val="004F2957"/>
    <w:rsid w:val="004F37B6"/>
    <w:rsid w:val="004F79DB"/>
    <w:rsid w:val="00507D29"/>
    <w:rsid w:val="00510BD1"/>
    <w:rsid w:val="00522694"/>
    <w:rsid w:val="005240DB"/>
    <w:rsid w:val="0052595C"/>
    <w:rsid w:val="00527792"/>
    <w:rsid w:val="0055637F"/>
    <w:rsid w:val="005578E2"/>
    <w:rsid w:val="00575785"/>
    <w:rsid w:val="0057748B"/>
    <w:rsid w:val="00577D9C"/>
    <w:rsid w:val="0058046C"/>
    <w:rsid w:val="0058516E"/>
    <w:rsid w:val="00590315"/>
    <w:rsid w:val="00593CD4"/>
    <w:rsid w:val="005972A1"/>
    <w:rsid w:val="005B6E45"/>
    <w:rsid w:val="005C1825"/>
    <w:rsid w:val="005C2540"/>
    <w:rsid w:val="005C3745"/>
    <w:rsid w:val="005D1456"/>
    <w:rsid w:val="005E1944"/>
    <w:rsid w:val="005E2356"/>
    <w:rsid w:val="005E410B"/>
    <w:rsid w:val="005E56C4"/>
    <w:rsid w:val="005E6433"/>
    <w:rsid w:val="005F182C"/>
    <w:rsid w:val="00631680"/>
    <w:rsid w:val="00643F26"/>
    <w:rsid w:val="00650632"/>
    <w:rsid w:val="00653F88"/>
    <w:rsid w:val="00656B9B"/>
    <w:rsid w:val="00656C22"/>
    <w:rsid w:val="00661825"/>
    <w:rsid w:val="0066572C"/>
    <w:rsid w:val="00666757"/>
    <w:rsid w:val="006714A9"/>
    <w:rsid w:val="006727F8"/>
    <w:rsid w:val="00673D98"/>
    <w:rsid w:val="006746C0"/>
    <w:rsid w:val="00682195"/>
    <w:rsid w:val="006828F8"/>
    <w:rsid w:val="00685168"/>
    <w:rsid w:val="00696694"/>
    <w:rsid w:val="00697A4E"/>
    <w:rsid w:val="00697E7A"/>
    <w:rsid w:val="006A10A3"/>
    <w:rsid w:val="006A4335"/>
    <w:rsid w:val="006A72E9"/>
    <w:rsid w:val="006B2333"/>
    <w:rsid w:val="006B6806"/>
    <w:rsid w:val="006B695B"/>
    <w:rsid w:val="006C369F"/>
    <w:rsid w:val="006E1825"/>
    <w:rsid w:val="006F537D"/>
    <w:rsid w:val="006F77C6"/>
    <w:rsid w:val="00711B91"/>
    <w:rsid w:val="007150B0"/>
    <w:rsid w:val="00725B7D"/>
    <w:rsid w:val="00731695"/>
    <w:rsid w:val="0073267E"/>
    <w:rsid w:val="00740BCD"/>
    <w:rsid w:val="00744661"/>
    <w:rsid w:val="00747E5E"/>
    <w:rsid w:val="00753902"/>
    <w:rsid w:val="00757527"/>
    <w:rsid w:val="00761BBD"/>
    <w:rsid w:val="00765AA0"/>
    <w:rsid w:val="00777106"/>
    <w:rsid w:val="0078426C"/>
    <w:rsid w:val="00785255"/>
    <w:rsid w:val="007871B9"/>
    <w:rsid w:val="00787C07"/>
    <w:rsid w:val="007947E8"/>
    <w:rsid w:val="00796221"/>
    <w:rsid w:val="007A1FE7"/>
    <w:rsid w:val="007B2DDB"/>
    <w:rsid w:val="007B39E6"/>
    <w:rsid w:val="007B4487"/>
    <w:rsid w:val="007B4A3E"/>
    <w:rsid w:val="007C0B16"/>
    <w:rsid w:val="007C3579"/>
    <w:rsid w:val="007C7713"/>
    <w:rsid w:val="007D1E4B"/>
    <w:rsid w:val="007D65D8"/>
    <w:rsid w:val="007D683A"/>
    <w:rsid w:val="007D7ACC"/>
    <w:rsid w:val="00804E4F"/>
    <w:rsid w:val="00807AB5"/>
    <w:rsid w:val="00807D59"/>
    <w:rsid w:val="00810F19"/>
    <w:rsid w:val="00813983"/>
    <w:rsid w:val="0081547B"/>
    <w:rsid w:val="00815561"/>
    <w:rsid w:val="008205FB"/>
    <w:rsid w:val="0082362F"/>
    <w:rsid w:val="008255EE"/>
    <w:rsid w:val="00827DC1"/>
    <w:rsid w:val="008305BD"/>
    <w:rsid w:val="00840379"/>
    <w:rsid w:val="0084243F"/>
    <w:rsid w:val="00843C77"/>
    <w:rsid w:val="008444CD"/>
    <w:rsid w:val="00853026"/>
    <w:rsid w:val="0087102F"/>
    <w:rsid w:val="008738F1"/>
    <w:rsid w:val="0087545F"/>
    <w:rsid w:val="00881C52"/>
    <w:rsid w:val="008835DE"/>
    <w:rsid w:val="00887C76"/>
    <w:rsid w:val="00891321"/>
    <w:rsid w:val="00892310"/>
    <w:rsid w:val="00892AEA"/>
    <w:rsid w:val="00895EE0"/>
    <w:rsid w:val="008B1B5E"/>
    <w:rsid w:val="008B5E98"/>
    <w:rsid w:val="008B7625"/>
    <w:rsid w:val="008D1BA8"/>
    <w:rsid w:val="008E03BA"/>
    <w:rsid w:val="008E28D1"/>
    <w:rsid w:val="008E4A85"/>
    <w:rsid w:val="008E7717"/>
    <w:rsid w:val="008F50D3"/>
    <w:rsid w:val="008F6DFD"/>
    <w:rsid w:val="0090187D"/>
    <w:rsid w:val="00903C5B"/>
    <w:rsid w:val="00903F66"/>
    <w:rsid w:val="00911318"/>
    <w:rsid w:val="0091455C"/>
    <w:rsid w:val="009150CB"/>
    <w:rsid w:val="009248C9"/>
    <w:rsid w:val="00931C6F"/>
    <w:rsid w:val="0093617A"/>
    <w:rsid w:val="00937427"/>
    <w:rsid w:val="0094230A"/>
    <w:rsid w:val="00946627"/>
    <w:rsid w:val="009511C8"/>
    <w:rsid w:val="00952DA5"/>
    <w:rsid w:val="00955A66"/>
    <w:rsid w:val="0095677F"/>
    <w:rsid w:val="00962360"/>
    <w:rsid w:val="00963CDE"/>
    <w:rsid w:val="00963F2B"/>
    <w:rsid w:val="00965C84"/>
    <w:rsid w:val="00966CD7"/>
    <w:rsid w:val="00970431"/>
    <w:rsid w:val="009720ED"/>
    <w:rsid w:val="00984129"/>
    <w:rsid w:val="0098498F"/>
    <w:rsid w:val="00985178"/>
    <w:rsid w:val="00986DDE"/>
    <w:rsid w:val="009B29AD"/>
    <w:rsid w:val="009B4ECB"/>
    <w:rsid w:val="009C203E"/>
    <w:rsid w:val="009D53F1"/>
    <w:rsid w:val="009D6B06"/>
    <w:rsid w:val="009E5EB3"/>
    <w:rsid w:val="009E6DBE"/>
    <w:rsid w:val="009F0187"/>
    <w:rsid w:val="009F5D8E"/>
    <w:rsid w:val="00A001AA"/>
    <w:rsid w:val="00A0087D"/>
    <w:rsid w:val="00A01D80"/>
    <w:rsid w:val="00A03D86"/>
    <w:rsid w:val="00A0756B"/>
    <w:rsid w:val="00A147C9"/>
    <w:rsid w:val="00A15F2F"/>
    <w:rsid w:val="00A30003"/>
    <w:rsid w:val="00A33BB3"/>
    <w:rsid w:val="00A3538F"/>
    <w:rsid w:val="00A36A67"/>
    <w:rsid w:val="00A374E9"/>
    <w:rsid w:val="00A37B3D"/>
    <w:rsid w:val="00A41A53"/>
    <w:rsid w:val="00A42792"/>
    <w:rsid w:val="00A455C5"/>
    <w:rsid w:val="00A46CEC"/>
    <w:rsid w:val="00A50DA5"/>
    <w:rsid w:val="00A50FE4"/>
    <w:rsid w:val="00A5396C"/>
    <w:rsid w:val="00A54876"/>
    <w:rsid w:val="00A57342"/>
    <w:rsid w:val="00A61ADE"/>
    <w:rsid w:val="00A71C3B"/>
    <w:rsid w:val="00A76270"/>
    <w:rsid w:val="00A83693"/>
    <w:rsid w:val="00A85E84"/>
    <w:rsid w:val="00A8683C"/>
    <w:rsid w:val="00AA1231"/>
    <w:rsid w:val="00AA3980"/>
    <w:rsid w:val="00AB4C3D"/>
    <w:rsid w:val="00AB6CEA"/>
    <w:rsid w:val="00AC2DF2"/>
    <w:rsid w:val="00AC2F5C"/>
    <w:rsid w:val="00AD350B"/>
    <w:rsid w:val="00AD4328"/>
    <w:rsid w:val="00AE2764"/>
    <w:rsid w:val="00AF3C86"/>
    <w:rsid w:val="00B007CD"/>
    <w:rsid w:val="00B00E70"/>
    <w:rsid w:val="00B11222"/>
    <w:rsid w:val="00B177D0"/>
    <w:rsid w:val="00B21CE1"/>
    <w:rsid w:val="00B21E6F"/>
    <w:rsid w:val="00B307F7"/>
    <w:rsid w:val="00B368BE"/>
    <w:rsid w:val="00B566DA"/>
    <w:rsid w:val="00B60F36"/>
    <w:rsid w:val="00B61294"/>
    <w:rsid w:val="00B63AB8"/>
    <w:rsid w:val="00B66D78"/>
    <w:rsid w:val="00B6780D"/>
    <w:rsid w:val="00B67ADB"/>
    <w:rsid w:val="00B701EB"/>
    <w:rsid w:val="00B71D03"/>
    <w:rsid w:val="00B7278F"/>
    <w:rsid w:val="00B76B6C"/>
    <w:rsid w:val="00B76E4B"/>
    <w:rsid w:val="00B814CC"/>
    <w:rsid w:val="00B8243F"/>
    <w:rsid w:val="00B8670E"/>
    <w:rsid w:val="00B87DBF"/>
    <w:rsid w:val="00B9415B"/>
    <w:rsid w:val="00B97226"/>
    <w:rsid w:val="00BA7141"/>
    <w:rsid w:val="00BB3815"/>
    <w:rsid w:val="00BD40BA"/>
    <w:rsid w:val="00BD6CA8"/>
    <w:rsid w:val="00BF07CA"/>
    <w:rsid w:val="00C04CE1"/>
    <w:rsid w:val="00C20C39"/>
    <w:rsid w:val="00C22F76"/>
    <w:rsid w:val="00C24F1A"/>
    <w:rsid w:val="00C345B7"/>
    <w:rsid w:val="00C5539E"/>
    <w:rsid w:val="00C7000B"/>
    <w:rsid w:val="00C81635"/>
    <w:rsid w:val="00C85872"/>
    <w:rsid w:val="00C8722C"/>
    <w:rsid w:val="00C907C1"/>
    <w:rsid w:val="00C9251D"/>
    <w:rsid w:val="00C9577C"/>
    <w:rsid w:val="00CB6EBC"/>
    <w:rsid w:val="00CB7C58"/>
    <w:rsid w:val="00CD47AE"/>
    <w:rsid w:val="00CD5B2F"/>
    <w:rsid w:val="00CE1C18"/>
    <w:rsid w:val="00CE3A62"/>
    <w:rsid w:val="00CE79C3"/>
    <w:rsid w:val="00CF1423"/>
    <w:rsid w:val="00CF4EC5"/>
    <w:rsid w:val="00CF79D5"/>
    <w:rsid w:val="00D01EC1"/>
    <w:rsid w:val="00D209C4"/>
    <w:rsid w:val="00D21FA1"/>
    <w:rsid w:val="00D2774A"/>
    <w:rsid w:val="00D30148"/>
    <w:rsid w:val="00D30CB7"/>
    <w:rsid w:val="00D3436F"/>
    <w:rsid w:val="00D34F30"/>
    <w:rsid w:val="00D36FDB"/>
    <w:rsid w:val="00D448BF"/>
    <w:rsid w:val="00D54A68"/>
    <w:rsid w:val="00D558D4"/>
    <w:rsid w:val="00D61C2F"/>
    <w:rsid w:val="00D64EE6"/>
    <w:rsid w:val="00D65480"/>
    <w:rsid w:val="00D714C5"/>
    <w:rsid w:val="00D739DA"/>
    <w:rsid w:val="00D73EB8"/>
    <w:rsid w:val="00D7617B"/>
    <w:rsid w:val="00D8245C"/>
    <w:rsid w:val="00D833CE"/>
    <w:rsid w:val="00D85898"/>
    <w:rsid w:val="00D85BD6"/>
    <w:rsid w:val="00DA58FB"/>
    <w:rsid w:val="00DB5145"/>
    <w:rsid w:val="00DB61BD"/>
    <w:rsid w:val="00DC7510"/>
    <w:rsid w:val="00DD3FBB"/>
    <w:rsid w:val="00DE4A4C"/>
    <w:rsid w:val="00DE4DAE"/>
    <w:rsid w:val="00E2721B"/>
    <w:rsid w:val="00E33E95"/>
    <w:rsid w:val="00E424E8"/>
    <w:rsid w:val="00E467C0"/>
    <w:rsid w:val="00E55BEE"/>
    <w:rsid w:val="00E57A65"/>
    <w:rsid w:val="00E73614"/>
    <w:rsid w:val="00E7413D"/>
    <w:rsid w:val="00E843A2"/>
    <w:rsid w:val="00E84D7B"/>
    <w:rsid w:val="00E9216B"/>
    <w:rsid w:val="00EA3CEE"/>
    <w:rsid w:val="00EB1156"/>
    <w:rsid w:val="00EB1A2A"/>
    <w:rsid w:val="00EB38E6"/>
    <w:rsid w:val="00EB4976"/>
    <w:rsid w:val="00EB7F62"/>
    <w:rsid w:val="00EC168B"/>
    <w:rsid w:val="00EC4001"/>
    <w:rsid w:val="00ED208B"/>
    <w:rsid w:val="00ED36B4"/>
    <w:rsid w:val="00ED3F78"/>
    <w:rsid w:val="00ED7E99"/>
    <w:rsid w:val="00EE324A"/>
    <w:rsid w:val="00EF2C2E"/>
    <w:rsid w:val="00EF63E3"/>
    <w:rsid w:val="00EF64F0"/>
    <w:rsid w:val="00F02111"/>
    <w:rsid w:val="00F06265"/>
    <w:rsid w:val="00F10CA8"/>
    <w:rsid w:val="00F10F52"/>
    <w:rsid w:val="00F11537"/>
    <w:rsid w:val="00F27F86"/>
    <w:rsid w:val="00F30C3F"/>
    <w:rsid w:val="00F3623A"/>
    <w:rsid w:val="00F40286"/>
    <w:rsid w:val="00F47192"/>
    <w:rsid w:val="00F50C22"/>
    <w:rsid w:val="00F53D63"/>
    <w:rsid w:val="00F54761"/>
    <w:rsid w:val="00F63E23"/>
    <w:rsid w:val="00F64EAA"/>
    <w:rsid w:val="00F65E6B"/>
    <w:rsid w:val="00F71F1D"/>
    <w:rsid w:val="00F7441E"/>
    <w:rsid w:val="00F757E0"/>
    <w:rsid w:val="00F80E5C"/>
    <w:rsid w:val="00F81595"/>
    <w:rsid w:val="00F9024C"/>
    <w:rsid w:val="00F904A9"/>
    <w:rsid w:val="00F9680B"/>
    <w:rsid w:val="00F97255"/>
    <w:rsid w:val="00FA1A02"/>
    <w:rsid w:val="00FA66BE"/>
    <w:rsid w:val="00FB0607"/>
    <w:rsid w:val="00FB27DB"/>
    <w:rsid w:val="00FB4084"/>
    <w:rsid w:val="00FC68E8"/>
    <w:rsid w:val="00FC6927"/>
    <w:rsid w:val="00FD3528"/>
    <w:rsid w:val="00FD5815"/>
    <w:rsid w:val="00FE0D5F"/>
    <w:rsid w:val="00FE1746"/>
    <w:rsid w:val="00FE3315"/>
    <w:rsid w:val="00FE4B09"/>
    <w:rsid w:val="00FE5C13"/>
    <w:rsid w:val="00FE6CF4"/>
    <w:rsid w:val="00FE76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00CA54A-6883-4DC6-9155-54692B8BB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1C6"/>
    <w:pPr>
      <w:spacing w:after="200" w:line="276" w:lineRule="auto"/>
    </w:pPr>
    <w:rPr>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1"/>
    <w:basedOn w:val="Normal"/>
    <w:link w:val="ListParagraphChar"/>
    <w:uiPriority w:val="34"/>
    <w:qFormat/>
    <w:rsid w:val="000723E2"/>
    <w:pPr>
      <w:spacing w:after="0" w:line="240" w:lineRule="auto"/>
      <w:ind w:left="720"/>
    </w:pPr>
    <w:rPr>
      <w:rFonts w:ascii="Times New Roman" w:eastAsia="Times New Roman" w:hAnsi="Times New Roman"/>
      <w:sz w:val="24"/>
      <w:szCs w:val="24"/>
      <w:lang w:val="en-US"/>
    </w:rPr>
  </w:style>
  <w:style w:type="table" w:styleId="TableGrid">
    <w:name w:val="Table Grid"/>
    <w:basedOn w:val="TableNormal"/>
    <w:uiPriority w:val="59"/>
    <w:rsid w:val="008710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semiHidden/>
    <w:unhideWhenUsed/>
    <w:rsid w:val="00985178"/>
    <w:pPr>
      <w:spacing w:after="0" w:line="240" w:lineRule="auto"/>
      <w:jc w:val="both"/>
    </w:pPr>
    <w:rPr>
      <w:rFonts w:ascii="Times New Roman" w:eastAsia="Times New Roman" w:hAnsi="Times New Roman"/>
      <w:sz w:val="20"/>
      <w:szCs w:val="20"/>
      <w:lang w:val="en-US"/>
    </w:rPr>
  </w:style>
  <w:style w:type="character" w:customStyle="1" w:styleId="BodyTextChar">
    <w:name w:val="Body Text Char"/>
    <w:link w:val="BodyText"/>
    <w:semiHidden/>
    <w:rsid w:val="00985178"/>
    <w:rPr>
      <w:rFonts w:ascii="Times New Roman" w:eastAsia="Times New Roman" w:hAnsi="Times New Roman"/>
      <w:lang w:val="en-US" w:eastAsia="en-US"/>
    </w:rPr>
  </w:style>
  <w:style w:type="paragraph" w:styleId="BalloonText">
    <w:name w:val="Balloon Text"/>
    <w:basedOn w:val="Normal"/>
    <w:link w:val="BalloonTextChar"/>
    <w:uiPriority w:val="99"/>
    <w:semiHidden/>
    <w:unhideWhenUsed/>
    <w:rsid w:val="0068219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82195"/>
    <w:rPr>
      <w:rFonts w:ascii="Tahoma" w:hAnsi="Tahoma" w:cs="Tahoma"/>
      <w:sz w:val="16"/>
      <w:szCs w:val="16"/>
      <w:lang w:eastAsia="en-US"/>
    </w:rPr>
  </w:style>
  <w:style w:type="paragraph" w:customStyle="1" w:styleId="Standard">
    <w:name w:val="Standard"/>
    <w:rsid w:val="00827DC1"/>
    <w:pPr>
      <w:widowControl w:val="0"/>
      <w:suppressAutoHyphens/>
      <w:autoSpaceDN w:val="0"/>
      <w:textAlignment w:val="baseline"/>
    </w:pPr>
    <w:rPr>
      <w:rFonts w:ascii="Times New Roman" w:eastAsia="Lucida Sans Unicode" w:hAnsi="Times New Roman" w:cs="Tahoma"/>
      <w:kern w:val="3"/>
      <w:sz w:val="24"/>
      <w:szCs w:val="24"/>
      <w:lang w:val="en-PH" w:eastAsia="en-PH"/>
    </w:rPr>
  </w:style>
  <w:style w:type="paragraph" w:styleId="Header">
    <w:name w:val="header"/>
    <w:basedOn w:val="Normal"/>
    <w:link w:val="HeaderChar"/>
    <w:uiPriority w:val="99"/>
    <w:unhideWhenUsed/>
    <w:rsid w:val="0033594F"/>
    <w:pPr>
      <w:tabs>
        <w:tab w:val="center" w:pos="4680"/>
        <w:tab w:val="right" w:pos="9360"/>
      </w:tabs>
    </w:pPr>
  </w:style>
  <w:style w:type="character" w:customStyle="1" w:styleId="HeaderChar">
    <w:name w:val="Header Char"/>
    <w:link w:val="Header"/>
    <w:uiPriority w:val="99"/>
    <w:rsid w:val="0033594F"/>
    <w:rPr>
      <w:sz w:val="22"/>
      <w:szCs w:val="22"/>
      <w:lang w:eastAsia="en-US"/>
    </w:rPr>
  </w:style>
  <w:style w:type="paragraph" w:styleId="Footer">
    <w:name w:val="footer"/>
    <w:basedOn w:val="Normal"/>
    <w:link w:val="FooterChar"/>
    <w:uiPriority w:val="99"/>
    <w:unhideWhenUsed/>
    <w:rsid w:val="0033594F"/>
    <w:pPr>
      <w:tabs>
        <w:tab w:val="center" w:pos="4680"/>
        <w:tab w:val="right" w:pos="9360"/>
      </w:tabs>
    </w:pPr>
  </w:style>
  <w:style w:type="character" w:customStyle="1" w:styleId="FooterChar">
    <w:name w:val="Footer Char"/>
    <w:link w:val="Footer"/>
    <w:uiPriority w:val="99"/>
    <w:rsid w:val="0033594F"/>
    <w:rPr>
      <w:sz w:val="22"/>
      <w:szCs w:val="22"/>
      <w:lang w:eastAsia="en-US"/>
    </w:rPr>
  </w:style>
  <w:style w:type="character" w:customStyle="1" w:styleId="NoSpacingChar">
    <w:name w:val="No Spacing Char"/>
    <w:link w:val="NoSpacing"/>
    <w:uiPriority w:val="1"/>
    <w:locked/>
    <w:rsid w:val="00F54761"/>
    <w:rPr>
      <w:lang w:eastAsia="ar-SA"/>
    </w:rPr>
  </w:style>
  <w:style w:type="paragraph" w:styleId="NoSpacing">
    <w:name w:val="No Spacing"/>
    <w:link w:val="NoSpacingChar"/>
    <w:uiPriority w:val="1"/>
    <w:qFormat/>
    <w:rsid w:val="00F54761"/>
    <w:pPr>
      <w:suppressAutoHyphens/>
    </w:pPr>
    <w:rPr>
      <w:lang w:eastAsia="ar-SA"/>
    </w:rPr>
  </w:style>
  <w:style w:type="character" w:customStyle="1" w:styleId="ListParagraphChar">
    <w:name w:val="List Paragraph Char"/>
    <w:aliases w:val="Resume Title Char,List Paragraph1 Char"/>
    <w:link w:val="ListParagraph"/>
    <w:uiPriority w:val="34"/>
    <w:qFormat/>
    <w:rsid w:val="001631A8"/>
    <w:rPr>
      <w:rFonts w:ascii="Times New Roman" w:eastAsia="Times New Roman" w:hAnsi="Times New Roman"/>
      <w:sz w:val="24"/>
      <w:szCs w:val="24"/>
    </w:rPr>
  </w:style>
  <w:style w:type="character" w:styleId="Emphasis">
    <w:name w:val="Emphasis"/>
    <w:uiPriority w:val="20"/>
    <w:qFormat/>
    <w:rsid w:val="0084243F"/>
    <w:rPr>
      <w:i/>
      <w:iCs/>
    </w:rPr>
  </w:style>
  <w:style w:type="character" w:customStyle="1" w:styleId="BodyText2Char">
    <w:name w:val="Body Text 2 Char"/>
    <w:link w:val="BodyText2"/>
    <w:rsid w:val="0084243F"/>
    <w:rPr>
      <w:sz w:val="24"/>
      <w:szCs w:val="24"/>
      <w:lang w:eastAsia="ar-SA"/>
    </w:rPr>
  </w:style>
  <w:style w:type="paragraph" w:styleId="BodyText2">
    <w:name w:val="Body Text 2"/>
    <w:basedOn w:val="Normal"/>
    <w:link w:val="BodyText2Char"/>
    <w:unhideWhenUsed/>
    <w:rsid w:val="0084243F"/>
    <w:pPr>
      <w:suppressAutoHyphens/>
      <w:spacing w:after="120" w:line="480" w:lineRule="auto"/>
    </w:pPr>
    <w:rPr>
      <w:sz w:val="24"/>
      <w:szCs w:val="24"/>
      <w:lang w:val="en-US" w:eastAsia="ar-SA"/>
    </w:rPr>
  </w:style>
  <w:style w:type="character" w:customStyle="1" w:styleId="BodyText2Char1">
    <w:name w:val="Body Text 2 Char1"/>
    <w:basedOn w:val="DefaultParagraphFont"/>
    <w:uiPriority w:val="99"/>
    <w:semiHidden/>
    <w:rsid w:val="0084243F"/>
    <w:rPr>
      <w:sz w:val="22"/>
      <w:szCs w:val="22"/>
      <w:lang w:val="en-PH"/>
    </w:rPr>
  </w:style>
  <w:style w:type="paragraph" w:customStyle="1" w:styleId="Style1">
    <w:name w:val="_Style 1"/>
    <w:basedOn w:val="Normal"/>
    <w:uiPriority w:val="34"/>
    <w:qFormat/>
    <w:rsid w:val="0084243F"/>
    <w:pPr>
      <w:suppressAutoHyphens/>
      <w:spacing w:after="0" w:line="240" w:lineRule="auto"/>
      <w:ind w:left="720"/>
    </w:pPr>
    <w:rPr>
      <w:rFonts w:ascii="Times New Roman" w:eastAsia="SimSun" w:hAnsi="Times New Roman"/>
      <w:sz w:val="24"/>
      <w:szCs w:val="24"/>
      <w:lang w:val="en-US" w:eastAsia="zh-CN"/>
    </w:rPr>
  </w:style>
  <w:style w:type="paragraph" w:styleId="NormalWeb">
    <w:name w:val="Normal (Web)"/>
    <w:basedOn w:val="Normal"/>
    <w:uiPriority w:val="99"/>
    <w:unhideWhenUsed/>
    <w:rsid w:val="0084243F"/>
    <w:pPr>
      <w:spacing w:before="100" w:beforeAutospacing="1" w:after="119" w:line="240" w:lineRule="auto"/>
    </w:pPr>
    <w:rPr>
      <w:rFonts w:ascii="Times New Roman" w:eastAsia="Times New Roman" w:hAnsi="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768948">
      <w:bodyDiv w:val="1"/>
      <w:marLeft w:val="0"/>
      <w:marRight w:val="0"/>
      <w:marTop w:val="0"/>
      <w:marBottom w:val="0"/>
      <w:divBdr>
        <w:top w:val="none" w:sz="0" w:space="0" w:color="auto"/>
        <w:left w:val="none" w:sz="0" w:space="0" w:color="auto"/>
        <w:bottom w:val="none" w:sz="0" w:space="0" w:color="auto"/>
        <w:right w:val="none" w:sz="0" w:space="0" w:color="auto"/>
      </w:divBdr>
    </w:div>
    <w:div w:id="158081507">
      <w:bodyDiv w:val="1"/>
      <w:marLeft w:val="0"/>
      <w:marRight w:val="0"/>
      <w:marTop w:val="0"/>
      <w:marBottom w:val="0"/>
      <w:divBdr>
        <w:top w:val="none" w:sz="0" w:space="0" w:color="auto"/>
        <w:left w:val="none" w:sz="0" w:space="0" w:color="auto"/>
        <w:bottom w:val="none" w:sz="0" w:space="0" w:color="auto"/>
        <w:right w:val="none" w:sz="0" w:space="0" w:color="auto"/>
      </w:divBdr>
    </w:div>
    <w:div w:id="344019178">
      <w:bodyDiv w:val="1"/>
      <w:marLeft w:val="0"/>
      <w:marRight w:val="0"/>
      <w:marTop w:val="0"/>
      <w:marBottom w:val="0"/>
      <w:divBdr>
        <w:top w:val="none" w:sz="0" w:space="0" w:color="auto"/>
        <w:left w:val="none" w:sz="0" w:space="0" w:color="auto"/>
        <w:bottom w:val="none" w:sz="0" w:space="0" w:color="auto"/>
        <w:right w:val="none" w:sz="0" w:space="0" w:color="auto"/>
      </w:divBdr>
    </w:div>
    <w:div w:id="387070718">
      <w:bodyDiv w:val="1"/>
      <w:marLeft w:val="0"/>
      <w:marRight w:val="0"/>
      <w:marTop w:val="0"/>
      <w:marBottom w:val="0"/>
      <w:divBdr>
        <w:top w:val="none" w:sz="0" w:space="0" w:color="auto"/>
        <w:left w:val="none" w:sz="0" w:space="0" w:color="auto"/>
        <w:bottom w:val="none" w:sz="0" w:space="0" w:color="auto"/>
        <w:right w:val="none" w:sz="0" w:space="0" w:color="auto"/>
      </w:divBdr>
    </w:div>
    <w:div w:id="467282393">
      <w:bodyDiv w:val="1"/>
      <w:marLeft w:val="0"/>
      <w:marRight w:val="0"/>
      <w:marTop w:val="0"/>
      <w:marBottom w:val="0"/>
      <w:divBdr>
        <w:top w:val="none" w:sz="0" w:space="0" w:color="auto"/>
        <w:left w:val="none" w:sz="0" w:space="0" w:color="auto"/>
        <w:bottom w:val="none" w:sz="0" w:space="0" w:color="auto"/>
        <w:right w:val="none" w:sz="0" w:space="0" w:color="auto"/>
      </w:divBdr>
    </w:div>
    <w:div w:id="652755725">
      <w:bodyDiv w:val="1"/>
      <w:marLeft w:val="0"/>
      <w:marRight w:val="0"/>
      <w:marTop w:val="0"/>
      <w:marBottom w:val="0"/>
      <w:divBdr>
        <w:top w:val="none" w:sz="0" w:space="0" w:color="auto"/>
        <w:left w:val="none" w:sz="0" w:space="0" w:color="auto"/>
        <w:bottom w:val="none" w:sz="0" w:space="0" w:color="auto"/>
        <w:right w:val="none" w:sz="0" w:space="0" w:color="auto"/>
      </w:divBdr>
    </w:div>
    <w:div w:id="784933554">
      <w:bodyDiv w:val="1"/>
      <w:marLeft w:val="0"/>
      <w:marRight w:val="0"/>
      <w:marTop w:val="0"/>
      <w:marBottom w:val="0"/>
      <w:divBdr>
        <w:top w:val="none" w:sz="0" w:space="0" w:color="auto"/>
        <w:left w:val="none" w:sz="0" w:space="0" w:color="auto"/>
        <w:bottom w:val="none" w:sz="0" w:space="0" w:color="auto"/>
        <w:right w:val="none" w:sz="0" w:space="0" w:color="auto"/>
      </w:divBdr>
    </w:div>
    <w:div w:id="823543084">
      <w:bodyDiv w:val="1"/>
      <w:marLeft w:val="0"/>
      <w:marRight w:val="0"/>
      <w:marTop w:val="0"/>
      <w:marBottom w:val="0"/>
      <w:divBdr>
        <w:top w:val="none" w:sz="0" w:space="0" w:color="auto"/>
        <w:left w:val="none" w:sz="0" w:space="0" w:color="auto"/>
        <w:bottom w:val="none" w:sz="0" w:space="0" w:color="auto"/>
        <w:right w:val="none" w:sz="0" w:space="0" w:color="auto"/>
      </w:divBdr>
    </w:div>
    <w:div w:id="910315345">
      <w:bodyDiv w:val="1"/>
      <w:marLeft w:val="0"/>
      <w:marRight w:val="0"/>
      <w:marTop w:val="0"/>
      <w:marBottom w:val="0"/>
      <w:divBdr>
        <w:top w:val="none" w:sz="0" w:space="0" w:color="auto"/>
        <w:left w:val="none" w:sz="0" w:space="0" w:color="auto"/>
        <w:bottom w:val="none" w:sz="0" w:space="0" w:color="auto"/>
        <w:right w:val="none" w:sz="0" w:space="0" w:color="auto"/>
      </w:divBdr>
    </w:div>
    <w:div w:id="949700932">
      <w:bodyDiv w:val="1"/>
      <w:marLeft w:val="0"/>
      <w:marRight w:val="0"/>
      <w:marTop w:val="0"/>
      <w:marBottom w:val="0"/>
      <w:divBdr>
        <w:top w:val="none" w:sz="0" w:space="0" w:color="auto"/>
        <w:left w:val="none" w:sz="0" w:space="0" w:color="auto"/>
        <w:bottom w:val="none" w:sz="0" w:space="0" w:color="auto"/>
        <w:right w:val="none" w:sz="0" w:space="0" w:color="auto"/>
      </w:divBdr>
    </w:div>
    <w:div w:id="1365329465">
      <w:bodyDiv w:val="1"/>
      <w:marLeft w:val="0"/>
      <w:marRight w:val="0"/>
      <w:marTop w:val="0"/>
      <w:marBottom w:val="0"/>
      <w:divBdr>
        <w:top w:val="none" w:sz="0" w:space="0" w:color="auto"/>
        <w:left w:val="none" w:sz="0" w:space="0" w:color="auto"/>
        <w:bottom w:val="none" w:sz="0" w:space="0" w:color="auto"/>
        <w:right w:val="none" w:sz="0" w:space="0" w:color="auto"/>
      </w:divBdr>
    </w:div>
    <w:div w:id="1427382978">
      <w:bodyDiv w:val="1"/>
      <w:marLeft w:val="0"/>
      <w:marRight w:val="0"/>
      <w:marTop w:val="0"/>
      <w:marBottom w:val="0"/>
      <w:divBdr>
        <w:top w:val="none" w:sz="0" w:space="0" w:color="auto"/>
        <w:left w:val="none" w:sz="0" w:space="0" w:color="auto"/>
        <w:bottom w:val="none" w:sz="0" w:space="0" w:color="auto"/>
        <w:right w:val="none" w:sz="0" w:space="0" w:color="auto"/>
      </w:divBdr>
    </w:div>
    <w:div w:id="1639190322">
      <w:bodyDiv w:val="1"/>
      <w:marLeft w:val="0"/>
      <w:marRight w:val="0"/>
      <w:marTop w:val="0"/>
      <w:marBottom w:val="0"/>
      <w:divBdr>
        <w:top w:val="none" w:sz="0" w:space="0" w:color="auto"/>
        <w:left w:val="none" w:sz="0" w:space="0" w:color="auto"/>
        <w:bottom w:val="none" w:sz="0" w:space="0" w:color="auto"/>
        <w:right w:val="none" w:sz="0" w:space="0" w:color="auto"/>
      </w:divBdr>
    </w:div>
    <w:div w:id="1707677866">
      <w:bodyDiv w:val="1"/>
      <w:marLeft w:val="0"/>
      <w:marRight w:val="0"/>
      <w:marTop w:val="0"/>
      <w:marBottom w:val="0"/>
      <w:divBdr>
        <w:top w:val="none" w:sz="0" w:space="0" w:color="auto"/>
        <w:left w:val="none" w:sz="0" w:space="0" w:color="auto"/>
        <w:bottom w:val="none" w:sz="0" w:space="0" w:color="auto"/>
        <w:right w:val="none" w:sz="0" w:space="0" w:color="auto"/>
      </w:divBdr>
    </w:div>
    <w:div w:id="1827820389">
      <w:bodyDiv w:val="1"/>
      <w:marLeft w:val="0"/>
      <w:marRight w:val="0"/>
      <w:marTop w:val="0"/>
      <w:marBottom w:val="0"/>
      <w:divBdr>
        <w:top w:val="none" w:sz="0" w:space="0" w:color="auto"/>
        <w:left w:val="none" w:sz="0" w:space="0" w:color="auto"/>
        <w:bottom w:val="none" w:sz="0" w:space="0" w:color="auto"/>
        <w:right w:val="none" w:sz="0" w:space="0" w:color="auto"/>
      </w:divBdr>
    </w:div>
    <w:div w:id="1936746021">
      <w:bodyDiv w:val="1"/>
      <w:marLeft w:val="0"/>
      <w:marRight w:val="0"/>
      <w:marTop w:val="0"/>
      <w:marBottom w:val="0"/>
      <w:divBdr>
        <w:top w:val="none" w:sz="0" w:space="0" w:color="auto"/>
        <w:left w:val="none" w:sz="0" w:space="0" w:color="auto"/>
        <w:bottom w:val="none" w:sz="0" w:space="0" w:color="auto"/>
        <w:right w:val="none" w:sz="0" w:space="0" w:color="auto"/>
      </w:divBdr>
    </w:div>
    <w:div w:id="2017418830">
      <w:bodyDiv w:val="1"/>
      <w:marLeft w:val="0"/>
      <w:marRight w:val="0"/>
      <w:marTop w:val="0"/>
      <w:marBottom w:val="0"/>
      <w:divBdr>
        <w:top w:val="none" w:sz="0" w:space="0" w:color="auto"/>
        <w:left w:val="none" w:sz="0" w:space="0" w:color="auto"/>
        <w:bottom w:val="none" w:sz="0" w:space="0" w:color="auto"/>
        <w:right w:val="none" w:sz="0" w:space="0" w:color="auto"/>
      </w:divBdr>
    </w:div>
    <w:div w:id="204494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7</Pages>
  <Words>2444</Words>
  <Characters>13935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Executive Summary</vt:lpstr>
    </vt:vector>
  </TitlesOfParts>
  <Company/>
  <LinksUpToDate>false</LinksUpToDate>
  <CharactersWithSpaces>16347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creator>COA - Philippine Charity Sweepstakes Office</dc:creator>
  <cp:lastModifiedBy>Evy Rose L. Lacanlale</cp:lastModifiedBy>
  <cp:revision>31</cp:revision>
  <cp:lastPrinted>2019-07-02T12:43:00Z</cp:lastPrinted>
  <dcterms:created xsi:type="dcterms:W3CDTF">2019-06-21T02:34:00Z</dcterms:created>
  <dcterms:modified xsi:type="dcterms:W3CDTF">2019-07-08T06:18:00Z</dcterms:modified>
</cp:coreProperties>
</file>