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521" w:rsidRPr="0033067C" w:rsidRDefault="00EB4521" w:rsidP="00966F14">
      <w:pPr>
        <w:spacing w:after="0" w:line="240" w:lineRule="auto"/>
        <w:jc w:val="center"/>
        <w:rPr>
          <w:rFonts w:ascii="Arial" w:hAnsi="Arial" w:cs="Arial"/>
          <w:b/>
        </w:rPr>
      </w:pPr>
      <w:bookmarkStart w:id="0" w:name="_GoBack"/>
      <w:bookmarkEnd w:id="0"/>
      <w:r w:rsidRPr="0033067C">
        <w:rPr>
          <w:rFonts w:ascii="Arial" w:hAnsi="Arial" w:cs="Arial"/>
          <w:b/>
        </w:rPr>
        <w:t>EXECUTIVE SUMMARY</w:t>
      </w:r>
    </w:p>
    <w:p w:rsidR="00EB4521" w:rsidRPr="0033067C" w:rsidRDefault="00EB4521" w:rsidP="00966F14">
      <w:pPr>
        <w:spacing w:after="0" w:line="240" w:lineRule="auto"/>
        <w:rPr>
          <w:rFonts w:ascii="Arial" w:hAnsi="Arial" w:cs="Arial"/>
        </w:rPr>
      </w:pPr>
    </w:p>
    <w:p w:rsidR="00EB4521" w:rsidRPr="0033067C" w:rsidRDefault="00EB4521" w:rsidP="00966F14">
      <w:pPr>
        <w:spacing w:after="0" w:line="240" w:lineRule="auto"/>
        <w:rPr>
          <w:rFonts w:ascii="Arial" w:hAnsi="Arial" w:cs="Arial"/>
        </w:rPr>
      </w:pPr>
    </w:p>
    <w:p w:rsidR="00EB4521" w:rsidRPr="007F2BA2" w:rsidRDefault="004E725C" w:rsidP="00966F14">
      <w:pPr>
        <w:pStyle w:val="ListParagraph"/>
        <w:numPr>
          <w:ilvl w:val="0"/>
          <w:numId w:val="31"/>
        </w:numPr>
        <w:spacing w:after="0" w:line="240" w:lineRule="auto"/>
        <w:ind w:left="360"/>
        <w:rPr>
          <w:rFonts w:ascii="Arial" w:hAnsi="Arial" w:cs="Arial"/>
          <w:b/>
        </w:rPr>
      </w:pPr>
      <w:r w:rsidRPr="007F2BA2">
        <w:rPr>
          <w:rFonts w:ascii="Arial" w:hAnsi="Arial" w:cs="Arial"/>
          <w:b/>
        </w:rPr>
        <w:t>Introduction</w:t>
      </w:r>
    </w:p>
    <w:p w:rsidR="00EB4521" w:rsidRPr="0033067C" w:rsidRDefault="00EB4521" w:rsidP="00966F14">
      <w:pPr>
        <w:spacing w:after="0" w:line="240" w:lineRule="auto"/>
        <w:rPr>
          <w:rFonts w:ascii="Arial" w:hAnsi="Arial" w:cs="Arial"/>
          <w:b/>
        </w:rPr>
      </w:pPr>
    </w:p>
    <w:p w:rsidR="00EB4521" w:rsidRPr="0033067C" w:rsidRDefault="00EB4521" w:rsidP="00966F14">
      <w:pPr>
        <w:spacing w:after="0" w:line="240" w:lineRule="auto"/>
        <w:jc w:val="both"/>
        <w:rPr>
          <w:rFonts w:ascii="Arial" w:hAnsi="Arial" w:cs="Arial"/>
        </w:rPr>
      </w:pPr>
      <w:r w:rsidRPr="0033067C">
        <w:rPr>
          <w:rFonts w:ascii="Arial" w:hAnsi="Arial" w:cs="Arial"/>
        </w:rPr>
        <w:t xml:space="preserve">The Philippine Charity Sweepstakes Office (PCSO) was created under Philippine Legislature Act No. 4130 on October 30, 1934 and later amended by Republic </w:t>
      </w:r>
      <w:r w:rsidR="00CA1B0C" w:rsidRPr="0033067C">
        <w:rPr>
          <w:rFonts w:ascii="Arial" w:hAnsi="Arial" w:cs="Arial"/>
        </w:rPr>
        <w:t xml:space="preserve">Act </w:t>
      </w:r>
      <w:r w:rsidR="00CA1B0C">
        <w:rPr>
          <w:rFonts w:ascii="Arial" w:hAnsi="Arial" w:cs="Arial"/>
        </w:rPr>
        <w:t>(</w:t>
      </w:r>
      <w:r w:rsidR="00966DCB">
        <w:rPr>
          <w:rFonts w:ascii="Arial" w:hAnsi="Arial" w:cs="Arial"/>
        </w:rPr>
        <w:t xml:space="preserve">RA) </w:t>
      </w:r>
      <w:r w:rsidRPr="0033067C">
        <w:rPr>
          <w:rFonts w:ascii="Arial" w:hAnsi="Arial" w:cs="Arial"/>
        </w:rPr>
        <w:t xml:space="preserve">No. 1169 in 1954 and Batas Pambansa Blg. 42 on September 24, 1979. It is the principal government agency for raising and providing funds for health programs, medical assistance and services, and charities of national character.  </w:t>
      </w:r>
    </w:p>
    <w:p w:rsidR="00EB4521" w:rsidRPr="0033067C" w:rsidRDefault="00EB4521" w:rsidP="00966F14">
      <w:pPr>
        <w:spacing w:after="0" w:line="240" w:lineRule="auto"/>
        <w:rPr>
          <w:rFonts w:ascii="Arial" w:hAnsi="Arial" w:cs="Arial"/>
          <w:sz w:val="20"/>
          <w:szCs w:val="20"/>
        </w:rPr>
      </w:pPr>
    </w:p>
    <w:p w:rsidR="00EB4521" w:rsidRPr="0033067C" w:rsidRDefault="00EB4521" w:rsidP="00966F14">
      <w:pPr>
        <w:spacing w:after="0" w:line="240" w:lineRule="auto"/>
        <w:jc w:val="both"/>
        <w:rPr>
          <w:rFonts w:ascii="Arial" w:hAnsi="Arial" w:cs="Arial"/>
        </w:rPr>
      </w:pPr>
      <w:r w:rsidRPr="0033067C">
        <w:rPr>
          <w:rFonts w:ascii="Arial" w:hAnsi="Arial" w:cs="Arial"/>
        </w:rPr>
        <w:t>The PCSO’s main programs consist of endowment fund/quality health care, individual medical assistance, community outreach, ambulance donation, national calamity and disaster, and hospital renovation and improvement of health care facilities. It also gives mandatory contributions to various agencies and institutions.</w:t>
      </w:r>
    </w:p>
    <w:p w:rsidR="00EB4521" w:rsidRPr="0033067C" w:rsidRDefault="00EB4521" w:rsidP="00966F14">
      <w:pPr>
        <w:spacing w:after="0" w:line="240" w:lineRule="auto"/>
        <w:rPr>
          <w:rFonts w:ascii="Arial" w:hAnsi="Arial" w:cs="Arial"/>
          <w:sz w:val="20"/>
          <w:szCs w:val="20"/>
        </w:rPr>
      </w:pPr>
    </w:p>
    <w:p w:rsidR="00EB4521" w:rsidRPr="0033067C" w:rsidRDefault="00EB4521" w:rsidP="00966F14">
      <w:pPr>
        <w:spacing w:after="0" w:line="240" w:lineRule="auto"/>
        <w:jc w:val="both"/>
        <w:rPr>
          <w:rFonts w:ascii="Arial" w:hAnsi="Arial" w:cs="Arial"/>
        </w:rPr>
      </w:pPr>
      <w:r w:rsidRPr="0033067C">
        <w:rPr>
          <w:rFonts w:ascii="Arial" w:hAnsi="Arial" w:cs="Arial"/>
        </w:rPr>
        <w:t>Likewise, the PCSO extends regular contributions to charitable institutions engaged in giving welfare services to the children and youth who are either abandoned or exploited, the elderly, and the physically and ment</w:t>
      </w:r>
      <w:r w:rsidR="009B3D60" w:rsidRPr="0033067C">
        <w:rPr>
          <w:rFonts w:ascii="Arial" w:hAnsi="Arial" w:cs="Arial"/>
        </w:rPr>
        <w:t>ally handicapped, among others.</w:t>
      </w:r>
      <w:r w:rsidRPr="0033067C">
        <w:rPr>
          <w:rFonts w:ascii="Arial" w:hAnsi="Arial" w:cs="Arial"/>
        </w:rPr>
        <w:t xml:space="preserve"> It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operations as well as strengthen the agency’s fund-management capabilities.</w:t>
      </w:r>
    </w:p>
    <w:p w:rsidR="00EB4521" w:rsidRPr="0033067C" w:rsidRDefault="00EB4521" w:rsidP="00966F14">
      <w:pPr>
        <w:spacing w:after="0" w:line="240" w:lineRule="auto"/>
        <w:rPr>
          <w:rFonts w:ascii="Arial" w:hAnsi="Arial" w:cs="Arial"/>
          <w:sz w:val="20"/>
          <w:szCs w:val="20"/>
        </w:rPr>
      </w:pPr>
    </w:p>
    <w:p w:rsidR="009D376A" w:rsidRPr="00276E98" w:rsidRDefault="009D376A" w:rsidP="00966F14">
      <w:pPr>
        <w:spacing w:after="0" w:line="240" w:lineRule="auto"/>
        <w:jc w:val="both"/>
        <w:rPr>
          <w:rFonts w:ascii="Arial" w:hAnsi="Arial" w:cs="Arial"/>
        </w:rPr>
      </w:pPr>
      <w:r w:rsidRPr="00276E98">
        <w:rPr>
          <w:rFonts w:ascii="Arial" w:hAnsi="Arial" w:cs="Arial"/>
        </w:rPr>
        <w:t>PCSO is managed by a Board of Directors, composed of the following members as of December 31, 2017:</w:t>
      </w:r>
      <w:r w:rsidR="00276E98" w:rsidRPr="00276E98">
        <w:rPr>
          <w:rFonts w:ascii="Arial" w:hAnsi="Arial" w:cs="Arial"/>
        </w:rPr>
        <w:t xml:space="preserve"> Jose Jorge E. Corpuz (Chairman); Alexander F. Balutan (Vice-Chairman and General Manager); Marlon U. Balite (Member); Sandra M. Cam (Member); Atty. Jesus Manuel C. Suntay (Member); Atty. Michael A. Medado (Board Secretary).</w:t>
      </w:r>
    </w:p>
    <w:p w:rsidR="00E356CD" w:rsidRDefault="00E356CD" w:rsidP="00966F14">
      <w:pPr>
        <w:spacing w:after="0" w:line="240" w:lineRule="auto"/>
        <w:jc w:val="both"/>
        <w:rPr>
          <w:rFonts w:ascii="Arial" w:hAnsi="Arial" w:cs="Arial"/>
        </w:rPr>
      </w:pPr>
    </w:p>
    <w:p w:rsidR="00EB4521" w:rsidRPr="002D44EC" w:rsidRDefault="002D44EC" w:rsidP="00966F14">
      <w:pPr>
        <w:spacing w:after="0" w:line="240" w:lineRule="auto"/>
        <w:jc w:val="both"/>
        <w:rPr>
          <w:rFonts w:ascii="Arial" w:hAnsi="Arial" w:cs="Arial"/>
          <w:b/>
        </w:rPr>
      </w:pPr>
      <w:r>
        <w:rPr>
          <w:rFonts w:ascii="Arial" w:hAnsi="Arial" w:cs="Arial"/>
        </w:rPr>
        <w:t>As of December 31, 201</w:t>
      </w:r>
      <w:r w:rsidR="006B289F">
        <w:rPr>
          <w:rFonts w:ascii="Arial" w:hAnsi="Arial" w:cs="Arial"/>
        </w:rPr>
        <w:t>7</w:t>
      </w:r>
      <w:r>
        <w:rPr>
          <w:rFonts w:ascii="Arial" w:hAnsi="Arial" w:cs="Arial"/>
        </w:rPr>
        <w:t xml:space="preserve"> </w:t>
      </w:r>
      <w:r w:rsidR="00EB4521" w:rsidRPr="002D44EC">
        <w:rPr>
          <w:rFonts w:ascii="Arial" w:hAnsi="Arial" w:cs="Arial"/>
        </w:rPr>
        <w:t>PCS</w:t>
      </w:r>
      <w:r w:rsidR="00BD2DE6" w:rsidRPr="002D44EC">
        <w:rPr>
          <w:rFonts w:ascii="Arial" w:hAnsi="Arial" w:cs="Arial"/>
        </w:rPr>
        <w:t xml:space="preserve">O has a total manpower of </w:t>
      </w:r>
      <w:r w:rsidR="00366030">
        <w:rPr>
          <w:rFonts w:ascii="Arial" w:hAnsi="Arial" w:cs="Arial"/>
        </w:rPr>
        <w:t>2,497,</w:t>
      </w:r>
      <w:r w:rsidR="00BD2DE6" w:rsidRPr="002D44EC">
        <w:rPr>
          <w:rFonts w:ascii="Arial" w:hAnsi="Arial" w:cs="Arial"/>
        </w:rPr>
        <w:t xml:space="preserve"> </w:t>
      </w:r>
      <w:r>
        <w:rPr>
          <w:rFonts w:ascii="Arial" w:hAnsi="Arial" w:cs="Arial"/>
        </w:rPr>
        <w:t>as presented</w:t>
      </w:r>
      <w:r w:rsidR="00EB4521" w:rsidRPr="002D44EC">
        <w:rPr>
          <w:rFonts w:ascii="Arial" w:hAnsi="Arial" w:cs="Arial"/>
        </w:rPr>
        <w:t xml:space="preserve">: </w:t>
      </w:r>
    </w:p>
    <w:p w:rsidR="00EB4521" w:rsidRPr="0033067C" w:rsidRDefault="00EB4521" w:rsidP="00966F14">
      <w:pPr>
        <w:spacing w:after="0" w:line="240" w:lineRule="auto"/>
        <w:ind w:firstLine="720"/>
        <w:jc w:val="both"/>
        <w:rPr>
          <w:rFonts w:ascii="Arial" w:hAnsi="Arial" w:cs="Arial"/>
          <w:sz w:val="20"/>
          <w:szCs w:val="20"/>
        </w:rPr>
      </w:pPr>
    </w:p>
    <w:tbl>
      <w:tblPr>
        <w:tblW w:w="5400" w:type="dxa"/>
        <w:tblInd w:w="1188" w:type="dxa"/>
        <w:tblLayout w:type="fixed"/>
        <w:tblLook w:val="04A0" w:firstRow="1" w:lastRow="0" w:firstColumn="1" w:lastColumn="0" w:noHBand="0" w:noVBand="1"/>
      </w:tblPr>
      <w:tblGrid>
        <w:gridCol w:w="2520"/>
        <w:gridCol w:w="1078"/>
        <w:gridCol w:w="812"/>
        <w:gridCol w:w="990"/>
      </w:tblGrid>
      <w:tr w:rsidR="002D44EC" w:rsidRPr="00366030" w:rsidTr="00E356CD">
        <w:trPr>
          <w:trHeight w:val="222"/>
        </w:trPr>
        <w:tc>
          <w:tcPr>
            <w:tcW w:w="2520" w:type="dxa"/>
            <w:tcBorders>
              <w:top w:val="single" w:sz="4" w:space="0" w:color="auto"/>
              <w:bottom w:val="single" w:sz="4" w:space="0" w:color="auto"/>
            </w:tcBorders>
            <w:vAlign w:val="center"/>
            <w:hideMark/>
          </w:tcPr>
          <w:p w:rsidR="002D44EC" w:rsidRPr="002D44EC" w:rsidRDefault="002D44EC" w:rsidP="00966F14">
            <w:pPr>
              <w:suppressAutoHyphens/>
              <w:snapToGrid w:val="0"/>
              <w:spacing w:after="0" w:line="240" w:lineRule="auto"/>
              <w:jc w:val="center"/>
              <w:rPr>
                <w:rFonts w:ascii="Arial" w:eastAsia="Times New Roman" w:hAnsi="Arial" w:cs="Arial"/>
                <w:b/>
                <w:sz w:val="18"/>
                <w:szCs w:val="18"/>
                <w:lang w:eastAsia="ar-SA"/>
              </w:rPr>
            </w:pPr>
          </w:p>
        </w:tc>
        <w:tc>
          <w:tcPr>
            <w:tcW w:w="1078" w:type="dxa"/>
            <w:tcBorders>
              <w:top w:val="single" w:sz="4" w:space="0" w:color="auto"/>
              <w:bottom w:val="single" w:sz="4" w:space="0" w:color="auto"/>
            </w:tcBorders>
            <w:vAlign w:val="center"/>
          </w:tcPr>
          <w:p w:rsidR="002D44EC" w:rsidRPr="00366030" w:rsidRDefault="00BA534E" w:rsidP="00966F14">
            <w:pPr>
              <w:suppressAutoHyphens/>
              <w:snapToGrid w:val="0"/>
              <w:spacing w:after="0" w:line="240" w:lineRule="auto"/>
              <w:ind w:left="-108" w:right="-108"/>
              <w:jc w:val="center"/>
              <w:rPr>
                <w:rFonts w:ascii="Arial" w:eastAsia="Times New Roman" w:hAnsi="Arial" w:cs="Arial"/>
                <w:b/>
                <w:sz w:val="18"/>
                <w:szCs w:val="18"/>
                <w:lang w:eastAsia="ar-SA"/>
              </w:rPr>
            </w:pPr>
            <w:r>
              <w:rPr>
                <w:rFonts w:ascii="Arial" w:eastAsia="Times New Roman" w:hAnsi="Arial" w:cs="Arial"/>
                <w:b/>
                <w:sz w:val="18"/>
                <w:szCs w:val="18"/>
                <w:lang w:eastAsia="ar-SA"/>
              </w:rPr>
              <w:t>Head Office</w:t>
            </w:r>
          </w:p>
        </w:tc>
        <w:tc>
          <w:tcPr>
            <w:tcW w:w="812" w:type="dxa"/>
            <w:tcBorders>
              <w:top w:val="single" w:sz="4" w:space="0" w:color="auto"/>
              <w:bottom w:val="single" w:sz="4" w:space="0" w:color="auto"/>
            </w:tcBorders>
            <w:vAlign w:val="center"/>
          </w:tcPr>
          <w:p w:rsidR="002D44EC" w:rsidRPr="00366030" w:rsidRDefault="00BA534E" w:rsidP="00966F14">
            <w:pPr>
              <w:suppressAutoHyphens/>
              <w:snapToGrid w:val="0"/>
              <w:spacing w:after="0" w:line="240" w:lineRule="auto"/>
              <w:ind w:left="-108" w:right="-28"/>
              <w:jc w:val="center"/>
              <w:rPr>
                <w:rFonts w:ascii="Arial" w:eastAsia="Times New Roman" w:hAnsi="Arial" w:cs="Arial"/>
                <w:b/>
                <w:sz w:val="18"/>
                <w:szCs w:val="18"/>
                <w:lang w:eastAsia="ar-SA"/>
              </w:rPr>
            </w:pPr>
            <w:r>
              <w:rPr>
                <w:rFonts w:ascii="Arial" w:eastAsia="Times New Roman" w:hAnsi="Arial" w:cs="Arial"/>
                <w:b/>
                <w:sz w:val="18"/>
                <w:szCs w:val="18"/>
                <w:lang w:eastAsia="ar-SA"/>
              </w:rPr>
              <w:t>Branch Office</w:t>
            </w:r>
          </w:p>
        </w:tc>
        <w:tc>
          <w:tcPr>
            <w:tcW w:w="990" w:type="dxa"/>
            <w:tcBorders>
              <w:top w:val="single" w:sz="4" w:space="0" w:color="auto"/>
              <w:bottom w:val="single" w:sz="4" w:space="0" w:color="auto"/>
            </w:tcBorders>
            <w:vAlign w:val="center"/>
            <w:hideMark/>
          </w:tcPr>
          <w:p w:rsidR="002D44EC" w:rsidRPr="00366030" w:rsidRDefault="00BA534E" w:rsidP="00966F14">
            <w:pPr>
              <w:suppressAutoHyphens/>
              <w:snapToGrid w:val="0"/>
              <w:spacing w:after="0" w:line="240" w:lineRule="auto"/>
              <w:jc w:val="center"/>
              <w:rPr>
                <w:rFonts w:ascii="Arial" w:eastAsia="Times New Roman" w:hAnsi="Arial" w:cs="Arial"/>
                <w:b/>
                <w:sz w:val="18"/>
                <w:szCs w:val="18"/>
                <w:lang w:eastAsia="ar-SA"/>
              </w:rPr>
            </w:pPr>
            <w:r>
              <w:rPr>
                <w:rFonts w:ascii="Arial" w:eastAsia="Times New Roman" w:hAnsi="Arial" w:cs="Arial"/>
                <w:b/>
                <w:sz w:val="18"/>
                <w:szCs w:val="18"/>
                <w:lang w:eastAsia="ar-SA"/>
              </w:rPr>
              <w:t>TOTAL</w:t>
            </w:r>
          </w:p>
        </w:tc>
      </w:tr>
      <w:tr w:rsidR="002D44EC" w:rsidRPr="00366030" w:rsidTr="00E356CD">
        <w:tc>
          <w:tcPr>
            <w:tcW w:w="2520" w:type="dxa"/>
            <w:tcBorders>
              <w:top w:val="single" w:sz="4" w:space="0" w:color="auto"/>
            </w:tcBorders>
          </w:tcPr>
          <w:p w:rsidR="002D44EC" w:rsidRPr="00366030" w:rsidRDefault="00BA534E" w:rsidP="00966F14">
            <w:pPr>
              <w:suppressAutoHyphens/>
              <w:snapToGrid w:val="0"/>
              <w:spacing w:after="0" w:line="240" w:lineRule="auto"/>
              <w:rPr>
                <w:rFonts w:ascii="Arial" w:eastAsia="Times New Roman" w:hAnsi="Arial" w:cs="Arial"/>
                <w:bCs/>
                <w:sz w:val="18"/>
                <w:szCs w:val="18"/>
                <w:lang w:eastAsia="ar-SA"/>
              </w:rPr>
            </w:pPr>
            <w:r>
              <w:rPr>
                <w:rFonts w:ascii="Arial" w:eastAsia="Times New Roman" w:hAnsi="Arial" w:cs="Arial"/>
                <w:bCs/>
                <w:sz w:val="18"/>
                <w:szCs w:val="18"/>
                <w:lang w:eastAsia="ar-SA"/>
              </w:rPr>
              <w:t>Permanent employees</w:t>
            </w:r>
          </w:p>
        </w:tc>
        <w:tc>
          <w:tcPr>
            <w:tcW w:w="1078" w:type="dxa"/>
            <w:tcBorders>
              <w:top w:val="single" w:sz="4" w:space="0" w:color="auto"/>
            </w:tcBorders>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628</w:t>
            </w:r>
          </w:p>
        </w:tc>
        <w:tc>
          <w:tcPr>
            <w:tcW w:w="812" w:type="dxa"/>
            <w:tcBorders>
              <w:top w:val="single" w:sz="4" w:space="0" w:color="auto"/>
            </w:tcBorders>
          </w:tcPr>
          <w:p w:rsidR="002D44EC" w:rsidRPr="00366030" w:rsidRDefault="00BA534E" w:rsidP="00966F14">
            <w:pPr>
              <w:suppressAutoHyphens/>
              <w:snapToGrid w:val="0"/>
              <w:spacing w:after="0" w:line="240" w:lineRule="auto"/>
              <w:ind w:right="-108"/>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1,099</w:t>
            </w:r>
          </w:p>
        </w:tc>
        <w:tc>
          <w:tcPr>
            <w:tcW w:w="990" w:type="dxa"/>
            <w:tcBorders>
              <w:top w:val="single" w:sz="4" w:space="0" w:color="auto"/>
            </w:tcBorders>
            <w:vAlign w:val="bottom"/>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1,727</w:t>
            </w:r>
          </w:p>
        </w:tc>
      </w:tr>
      <w:tr w:rsidR="002D44EC" w:rsidRPr="00366030" w:rsidTr="00966DCB">
        <w:tc>
          <w:tcPr>
            <w:tcW w:w="2520" w:type="dxa"/>
          </w:tcPr>
          <w:p w:rsidR="002D44EC" w:rsidRPr="00366030" w:rsidRDefault="00BA534E" w:rsidP="00966F14">
            <w:pPr>
              <w:suppressAutoHyphens/>
              <w:snapToGrid w:val="0"/>
              <w:spacing w:after="0" w:line="240" w:lineRule="auto"/>
              <w:rPr>
                <w:rFonts w:ascii="Arial" w:eastAsia="Times New Roman" w:hAnsi="Arial" w:cs="Arial"/>
                <w:bCs/>
                <w:sz w:val="18"/>
                <w:szCs w:val="18"/>
                <w:lang w:eastAsia="ar-SA"/>
              </w:rPr>
            </w:pPr>
            <w:r>
              <w:rPr>
                <w:rFonts w:ascii="Arial" w:eastAsia="Times New Roman" w:hAnsi="Arial" w:cs="Arial"/>
                <w:bCs/>
                <w:sz w:val="18"/>
                <w:szCs w:val="18"/>
                <w:lang w:eastAsia="ar-SA"/>
              </w:rPr>
              <w:t>Co-Terminus</w:t>
            </w:r>
          </w:p>
        </w:tc>
        <w:tc>
          <w:tcPr>
            <w:tcW w:w="1078" w:type="dxa"/>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50</w:t>
            </w:r>
          </w:p>
        </w:tc>
        <w:tc>
          <w:tcPr>
            <w:tcW w:w="812" w:type="dxa"/>
          </w:tcPr>
          <w:p w:rsidR="002D44EC" w:rsidRPr="00366030" w:rsidRDefault="00BA534E" w:rsidP="00966F14">
            <w:pPr>
              <w:suppressAutoHyphens/>
              <w:snapToGrid w:val="0"/>
              <w:spacing w:after="0" w:line="240" w:lineRule="auto"/>
              <w:ind w:right="-108"/>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54</w:t>
            </w:r>
          </w:p>
        </w:tc>
        <w:tc>
          <w:tcPr>
            <w:tcW w:w="990" w:type="dxa"/>
            <w:vAlign w:val="bottom"/>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104</w:t>
            </w:r>
          </w:p>
        </w:tc>
      </w:tr>
      <w:tr w:rsidR="002D44EC" w:rsidRPr="00366030" w:rsidTr="00966DCB">
        <w:tc>
          <w:tcPr>
            <w:tcW w:w="2520" w:type="dxa"/>
          </w:tcPr>
          <w:p w:rsidR="002D44EC" w:rsidRPr="00366030" w:rsidRDefault="00BA534E" w:rsidP="00966F14">
            <w:pPr>
              <w:suppressAutoHyphens/>
              <w:snapToGrid w:val="0"/>
              <w:spacing w:after="0" w:line="240" w:lineRule="auto"/>
              <w:rPr>
                <w:rFonts w:ascii="Arial" w:eastAsia="Times New Roman" w:hAnsi="Arial" w:cs="Arial"/>
                <w:bCs/>
                <w:sz w:val="18"/>
                <w:szCs w:val="18"/>
                <w:lang w:eastAsia="ar-SA"/>
              </w:rPr>
            </w:pPr>
            <w:r>
              <w:rPr>
                <w:rFonts w:ascii="Arial" w:eastAsia="Times New Roman" w:hAnsi="Arial" w:cs="Arial"/>
                <w:bCs/>
                <w:sz w:val="18"/>
                <w:szCs w:val="18"/>
                <w:lang w:eastAsia="ar-SA"/>
              </w:rPr>
              <w:t>Confidential Agents</w:t>
            </w:r>
          </w:p>
        </w:tc>
        <w:tc>
          <w:tcPr>
            <w:tcW w:w="1078" w:type="dxa"/>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153</w:t>
            </w:r>
          </w:p>
        </w:tc>
        <w:tc>
          <w:tcPr>
            <w:tcW w:w="812" w:type="dxa"/>
          </w:tcPr>
          <w:p w:rsidR="002D44EC" w:rsidRPr="00366030" w:rsidRDefault="00BA534E" w:rsidP="00966F14">
            <w:pPr>
              <w:suppressAutoHyphens/>
              <w:snapToGrid w:val="0"/>
              <w:spacing w:after="0" w:line="240" w:lineRule="auto"/>
              <w:ind w:right="-108"/>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243</w:t>
            </w:r>
          </w:p>
        </w:tc>
        <w:tc>
          <w:tcPr>
            <w:tcW w:w="990" w:type="dxa"/>
            <w:vAlign w:val="bottom"/>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396</w:t>
            </w:r>
          </w:p>
        </w:tc>
      </w:tr>
      <w:tr w:rsidR="002D44EC" w:rsidRPr="00366030" w:rsidTr="00E356CD">
        <w:tc>
          <w:tcPr>
            <w:tcW w:w="2520" w:type="dxa"/>
          </w:tcPr>
          <w:p w:rsidR="002D44EC" w:rsidRPr="00366030" w:rsidRDefault="00BA534E" w:rsidP="00966F14">
            <w:pPr>
              <w:suppressAutoHyphens/>
              <w:snapToGrid w:val="0"/>
              <w:spacing w:after="0" w:line="240" w:lineRule="auto"/>
              <w:rPr>
                <w:rFonts w:ascii="Arial" w:eastAsia="Times New Roman" w:hAnsi="Arial" w:cs="Arial"/>
                <w:bCs/>
                <w:sz w:val="18"/>
                <w:szCs w:val="18"/>
                <w:lang w:eastAsia="ar-SA"/>
              </w:rPr>
            </w:pPr>
            <w:r>
              <w:rPr>
                <w:rFonts w:ascii="Arial" w:eastAsia="Times New Roman" w:hAnsi="Arial" w:cs="Arial"/>
                <w:bCs/>
                <w:sz w:val="18"/>
                <w:szCs w:val="18"/>
                <w:lang w:eastAsia="ar-SA"/>
              </w:rPr>
              <w:t>Consultants</w:t>
            </w:r>
          </w:p>
        </w:tc>
        <w:tc>
          <w:tcPr>
            <w:tcW w:w="1078" w:type="dxa"/>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44</w:t>
            </w:r>
          </w:p>
        </w:tc>
        <w:tc>
          <w:tcPr>
            <w:tcW w:w="812" w:type="dxa"/>
          </w:tcPr>
          <w:p w:rsidR="002D44EC" w:rsidRPr="00366030" w:rsidRDefault="00BA534E" w:rsidP="00966F14">
            <w:pPr>
              <w:suppressAutoHyphens/>
              <w:snapToGrid w:val="0"/>
              <w:spacing w:after="0" w:line="240" w:lineRule="auto"/>
              <w:ind w:right="-108"/>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44</w:t>
            </w:r>
          </w:p>
        </w:tc>
        <w:tc>
          <w:tcPr>
            <w:tcW w:w="990" w:type="dxa"/>
            <w:vAlign w:val="bottom"/>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88</w:t>
            </w:r>
          </w:p>
        </w:tc>
      </w:tr>
      <w:tr w:rsidR="002D44EC" w:rsidRPr="00366030" w:rsidTr="00E356CD">
        <w:tc>
          <w:tcPr>
            <w:tcW w:w="2520" w:type="dxa"/>
            <w:tcBorders>
              <w:bottom w:val="single" w:sz="4" w:space="0" w:color="auto"/>
            </w:tcBorders>
          </w:tcPr>
          <w:p w:rsidR="002D44EC" w:rsidRPr="00366030" w:rsidRDefault="00BA534E" w:rsidP="00966F14">
            <w:pPr>
              <w:suppressAutoHyphens/>
              <w:snapToGrid w:val="0"/>
              <w:spacing w:after="0" w:line="240" w:lineRule="auto"/>
              <w:rPr>
                <w:rFonts w:ascii="Arial" w:eastAsia="Times New Roman" w:hAnsi="Arial" w:cs="Arial"/>
                <w:bCs/>
                <w:sz w:val="18"/>
                <w:szCs w:val="18"/>
                <w:lang w:eastAsia="ar-SA"/>
              </w:rPr>
            </w:pPr>
            <w:r>
              <w:rPr>
                <w:rFonts w:ascii="Arial" w:eastAsia="Times New Roman" w:hAnsi="Arial" w:cs="Arial"/>
                <w:bCs/>
                <w:sz w:val="18"/>
                <w:szCs w:val="18"/>
                <w:lang w:eastAsia="ar-SA"/>
              </w:rPr>
              <w:t>Job Order</w:t>
            </w:r>
          </w:p>
        </w:tc>
        <w:tc>
          <w:tcPr>
            <w:tcW w:w="1078" w:type="dxa"/>
            <w:tcBorders>
              <w:bottom w:val="single" w:sz="4" w:space="0" w:color="auto"/>
            </w:tcBorders>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71</w:t>
            </w:r>
          </w:p>
        </w:tc>
        <w:tc>
          <w:tcPr>
            <w:tcW w:w="812" w:type="dxa"/>
            <w:tcBorders>
              <w:bottom w:val="single" w:sz="4" w:space="0" w:color="auto"/>
            </w:tcBorders>
          </w:tcPr>
          <w:p w:rsidR="002D44EC" w:rsidRPr="00366030" w:rsidRDefault="00BA534E" w:rsidP="00966F14">
            <w:pPr>
              <w:suppressAutoHyphens/>
              <w:snapToGrid w:val="0"/>
              <w:spacing w:after="0" w:line="240" w:lineRule="auto"/>
              <w:ind w:right="44"/>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111</w:t>
            </w:r>
          </w:p>
        </w:tc>
        <w:tc>
          <w:tcPr>
            <w:tcW w:w="990" w:type="dxa"/>
            <w:tcBorders>
              <w:bottom w:val="single" w:sz="4" w:space="0" w:color="auto"/>
            </w:tcBorders>
            <w:vAlign w:val="bottom"/>
          </w:tcPr>
          <w:p w:rsidR="002D44EC" w:rsidRPr="00366030" w:rsidRDefault="00BA534E" w:rsidP="00966F14">
            <w:pPr>
              <w:suppressAutoHyphens/>
              <w:snapToGrid w:val="0"/>
              <w:spacing w:after="0" w:line="240" w:lineRule="auto"/>
              <w:jc w:val="center"/>
              <w:rPr>
                <w:rFonts w:ascii="Arial" w:eastAsia="Times New Roman" w:hAnsi="Arial" w:cs="Arial"/>
                <w:bCs/>
                <w:sz w:val="18"/>
                <w:szCs w:val="18"/>
                <w:lang w:eastAsia="ar-SA"/>
              </w:rPr>
            </w:pPr>
            <w:r w:rsidRPr="00BA534E">
              <w:rPr>
                <w:rFonts w:ascii="Arial" w:eastAsia="Times New Roman" w:hAnsi="Arial" w:cs="Arial"/>
                <w:bCs/>
                <w:sz w:val="18"/>
                <w:szCs w:val="18"/>
                <w:lang w:eastAsia="ar-SA"/>
              </w:rPr>
              <w:t>182</w:t>
            </w:r>
          </w:p>
        </w:tc>
      </w:tr>
      <w:tr w:rsidR="002D44EC" w:rsidRPr="00366030" w:rsidTr="00E356CD">
        <w:tc>
          <w:tcPr>
            <w:tcW w:w="2520" w:type="dxa"/>
            <w:tcBorders>
              <w:top w:val="single" w:sz="4" w:space="0" w:color="auto"/>
              <w:bottom w:val="double" w:sz="4" w:space="0" w:color="auto"/>
            </w:tcBorders>
            <w:vAlign w:val="bottom"/>
            <w:hideMark/>
          </w:tcPr>
          <w:p w:rsidR="002D44EC" w:rsidRPr="00366030" w:rsidRDefault="00BA534E" w:rsidP="00966F14">
            <w:pPr>
              <w:spacing w:after="0" w:line="240" w:lineRule="auto"/>
              <w:rPr>
                <w:rFonts w:ascii="Arial" w:hAnsi="Arial" w:cs="Arial"/>
                <w:b/>
                <w:sz w:val="18"/>
                <w:szCs w:val="18"/>
              </w:rPr>
            </w:pPr>
            <w:r>
              <w:rPr>
                <w:rFonts w:ascii="Arial" w:hAnsi="Arial" w:cs="Arial"/>
                <w:b/>
                <w:sz w:val="18"/>
                <w:szCs w:val="18"/>
              </w:rPr>
              <w:t>Total</w:t>
            </w:r>
          </w:p>
        </w:tc>
        <w:tc>
          <w:tcPr>
            <w:tcW w:w="1078" w:type="dxa"/>
            <w:tcBorders>
              <w:top w:val="single" w:sz="4" w:space="0" w:color="auto"/>
              <w:bottom w:val="double" w:sz="4" w:space="0" w:color="auto"/>
            </w:tcBorders>
            <w:vAlign w:val="bottom"/>
          </w:tcPr>
          <w:p w:rsidR="002D44EC" w:rsidRPr="00366030" w:rsidRDefault="00442F59" w:rsidP="00966F14">
            <w:pPr>
              <w:spacing w:after="0" w:line="240" w:lineRule="auto"/>
              <w:jc w:val="center"/>
              <w:rPr>
                <w:rFonts w:ascii="Arial" w:hAnsi="Arial" w:cs="Arial"/>
                <w:b/>
                <w:sz w:val="18"/>
                <w:szCs w:val="18"/>
              </w:rPr>
            </w:pPr>
            <w:r>
              <w:rPr>
                <w:rFonts w:ascii="Arial" w:hAnsi="Arial" w:cs="Arial"/>
                <w:b/>
                <w:sz w:val="18"/>
                <w:szCs w:val="18"/>
              </w:rPr>
              <w:fldChar w:fldCharType="begin"/>
            </w:r>
            <w:r w:rsidR="00E356CD">
              <w:rPr>
                <w:rFonts w:ascii="Arial" w:hAnsi="Arial" w:cs="Arial"/>
                <w:b/>
                <w:sz w:val="18"/>
                <w:szCs w:val="18"/>
              </w:rPr>
              <w:instrText xml:space="preserve"> =SUM(ABOVE) </w:instrText>
            </w:r>
            <w:r>
              <w:rPr>
                <w:rFonts w:ascii="Arial" w:hAnsi="Arial" w:cs="Arial"/>
                <w:b/>
                <w:sz w:val="18"/>
                <w:szCs w:val="18"/>
              </w:rPr>
              <w:fldChar w:fldCharType="separate"/>
            </w:r>
            <w:r w:rsidR="00E356CD">
              <w:rPr>
                <w:rFonts w:ascii="Arial" w:hAnsi="Arial" w:cs="Arial"/>
                <w:b/>
                <w:noProof/>
                <w:sz w:val="18"/>
                <w:szCs w:val="18"/>
              </w:rPr>
              <w:t>946</w:t>
            </w:r>
            <w:r>
              <w:rPr>
                <w:rFonts w:ascii="Arial" w:hAnsi="Arial" w:cs="Arial"/>
                <w:b/>
                <w:sz w:val="18"/>
                <w:szCs w:val="18"/>
              </w:rPr>
              <w:fldChar w:fldCharType="end"/>
            </w:r>
          </w:p>
        </w:tc>
        <w:tc>
          <w:tcPr>
            <w:tcW w:w="812" w:type="dxa"/>
            <w:tcBorders>
              <w:top w:val="single" w:sz="4" w:space="0" w:color="auto"/>
              <w:bottom w:val="double" w:sz="4" w:space="0" w:color="auto"/>
            </w:tcBorders>
          </w:tcPr>
          <w:p w:rsidR="002D44EC" w:rsidRPr="00366030" w:rsidRDefault="00442F59" w:rsidP="00966F14">
            <w:pPr>
              <w:spacing w:after="0" w:line="240" w:lineRule="auto"/>
              <w:ind w:right="44"/>
              <w:jc w:val="center"/>
              <w:rPr>
                <w:rFonts w:ascii="Arial" w:hAnsi="Arial" w:cs="Arial"/>
                <w:b/>
                <w:sz w:val="18"/>
                <w:szCs w:val="18"/>
              </w:rPr>
            </w:pPr>
            <w:r>
              <w:rPr>
                <w:rFonts w:ascii="Arial" w:hAnsi="Arial" w:cs="Arial"/>
                <w:b/>
                <w:sz w:val="18"/>
                <w:szCs w:val="18"/>
              </w:rPr>
              <w:fldChar w:fldCharType="begin"/>
            </w:r>
            <w:r w:rsidR="00E356CD">
              <w:rPr>
                <w:rFonts w:ascii="Arial" w:hAnsi="Arial" w:cs="Arial"/>
                <w:b/>
                <w:sz w:val="18"/>
                <w:szCs w:val="18"/>
              </w:rPr>
              <w:instrText xml:space="preserve"> =SUM(ABOVE) </w:instrText>
            </w:r>
            <w:r>
              <w:rPr>
                <w:rFonts w:ascii="Arial" w:hAnsi="Arial" w:cs="Arial"/>
                <w:b/>
                <w:sz w:val="18"/>
                <w:szCs w:val="18"/>
              </w:rPr>
              <w:fldChar w:fldCharType="separate"/>
            </w:r>
            <w:r w:rsidR="00E356CD">
              <w:rPr>
                <w:rFonts w:ascii="Arial" w:hAnsi="Arial" w:cs="Arial"/>
                <w:b/>
                <w:noProof/>
                <w:sz w:val="18"/>
                <w:szCs w:val="18"/>
              </w:rPr>
              <w:t>1,551</w:t>
            </w:r>
            <w:r>
              <w:rPr>
                <w:rFonts w:ascii="Arial" w:hAnsi="Arial" w:cs="Arial"/>
                <w:b/>
                <w:sz w:val="18"/>
                <w:szCs w:val="18"/>
              </w:rPr>
              <w:fldChar w:fldCharType="end"/>
            </w:r>
          </w:p>
        </w:tc>
        <w:tc>
          <w:tcPr>
            <w:tcW w:w="990" w:type="dxa"/>
            <w:tcBorders>
              <w:top w:val="single" w:sz="4" w:space="0" w:color="auto"/>
              <w:bottom w:val="double" w:sz="4" w:space="0" w:color="auto"/>
            </w:tcBorders>
            <w:vAlign w:val="bottom"/>
          </w:tcPr>
          <w:p w:rsidR="00D64547" w:rsidRDefault="00442F59" w:rsidP="00966F14">
            <w:pPr>
              <w:spacing w:after="0" w:line="240" w:lineRule="auto"/>
              <w:jc w:val="center"/>
              <w:rPr>
                <w:rFonts w:ascii="Arial" w:hAnsi="Arial" w:cs="Arial"/>
                <w:b/>
                <w:sz w:val="18"/>
                <w:szCs w:val="18"/>
              </w:rPr>
            </w:pPr>
            <w:r>
              <w:rPr>
                <w:rFonts w:ascii="Arial" w:hAnsi="Arial" w:cs="Arial"/>
                <w:b/>
                <w:sz w:val="18"/>
                <w:szCs w:val="18"/>
              </w:rPr>
              <w:fldChar w:fldCharType="begin"/>
            </w:r>
            <w:r w:rsidR="00E356CD">
              <w:rPr>
                <w:rFonts w:ascii="Arial" w:hAnsi="Arial" w:cs="Arial"/>
                <w:b/>
                <w:sz w:val="18"/>
                <w:szCs w:val="18"/>
              </w:rPr>
              <w:instrText xml:space="preserve"> =SUM(ABOVE) </w:instrText>
            </w:r>
            <w:r>
              <w:rPr>
                <w:rFonts w:ascii="Arial" w:hAnsi="Arial" w:cs="Arial"/>
                <w:b/>
                <w:sz w:val="18"/>
                <w:szCs w:val="18"/>
              </w:rPr>
              <w:fldChar w:fldCharType="separate"/>
            </w:r>
            <w:r w:rsidR="00E356CD">
              <w:rPr>
                <w:rFonts w:ascii="Arial" w:hAnsi="Arial" w:cs="Arial"/>
                <w:b/>
                <w:noProof/>
                <w:sz w:val="18"/>
                <w:szCs w:val="18"/>
              </w:rPr>
              <w:t>2,497</w:t>
            </w:r>
            <w:r>
              <w:rPr>
                <w:rFonts w:ascii="Arial" w:hAnsi="Arial" w:cs="Arial"/>
                <w:b/>
                <w:sz w:val="18"/>
                <w:szCs w:val="18"/>
              </w:rPr>
              <w:fldChar w:fldCharType="end"/>
            </w:r>
          </w:p>
        </w:tc>
      </w:tr>
    </w:tbl>
    <w:p w:rsidR="00EB4521" w:rsidRPr="00366030" w:rsidRDefault="00EB4521" w:rsidP="00966F14">
      <w:pPr>
        <w:spacing w:after="0" w:line="240" w:lineRule="auto"/>
        <w:jc w:val="both"/>
        <w:rPr>
          <w:rFonts w:ascii="Arial" w:hAnsi="Arial" w:cs="Arial"/>
          <w:sz w:val="20"/>
          <w:szCs w:val="20"/>
        </w:rPr>
      </w:pPr>
    </w:p>
    <w:p w:rsidR="00276E98" w:rsidRDefault="00276E98" w:rsidP="00966F14">
      <w:pPr>
        <w:spacing w:after="0" w:line="240" w:lineRule="auto"/>
        <w:jc w:val="both"/>
        <w:rPr>
          <w:rFonts w:ascii="Arial" w:hAnsi="Arial" w:cs="Arial"/>
        </w:rPr>
      </w:pPr>
    </w:p>
    <w:p w:rsidR="00F54FAA" w:rsidRDefault="00BA534E" w:rsidP="00966F14">
      <w:pPr>
        <w:spacing w:after="0" w:line="240" w:lineRule="auto"/>
        <w:jc w:val="both"/>
        <w:rPr>
          <w:rFonts w:ascii="Arial" w:hAnsi="Arial" w:cs="Arial"/>
        </w:rPr>
      </w:pPr>
      <w:r>
        <w:rPr>
          <w:rFonts w:ascii="Arial" w:hAnsi="Arial" w:cs="Arial"/>
        </w:rPr>
        <w:t xml:space="preserve">The PCSO Main Office is located at the Sun Plaza Building and Conservatory Shaw Plaza Building in Mandaluyong City. It has five branch operations/departments, namely: National Capital Region (NCR), Northern and Central Luzon (NCL), Southern Tagalog and Bicol Region (STBR), Visayas and Mindanao. PCSO has </w:t>
      </w:r>
      <w:r w:rsidR="00366030">
        <w:rPr>
          <w:rFonts w:ascii="Arial" w:hAnsi="Arial" w:cs="Arial"/>
        </w:rPr>
        <w:t>Fifty Nine (</w:t>
      </w:r>
      <w:r>
        <w:rPr>
          <w:rFonts w:ascii="Arial" w:hAnsi="Arial" w:cs="Arial"/>
        </w:rPr>
        <w:t>5</w:t>
      </w:r>
      <w:r w:rsidRPr="00BA534E">
        <w:rPr>
          <w:rFonts w:ascii="Arial" w:hAnsi="Arial" w:cs="Arial"/>
        </w:rPr>
        <w:t>9</w:t>
      </w:r>
      <w:r w:rsidR="00366030">
        <w:rPr>
          <w:rFonts w:ascii="Arial" w:hAnsi="Arial" w:cs="Arial"/>
        </w:rPr>
        <w:t>)</w:t>
      </w:r>
      <w:r>
        <w:rPr>
          <w:rFonts w:ascii="Arial" w:hAnsi="Arial" w:cs="Arial"/>
        </w:rPr>
        <w:t xml:space="preserve"> branches</w:t>
      </w:r>
      <w:r w:rsidR="00FC5F9E">
        <w:rPr>
          <w:rFonts w:ascii="Arial" w:hAnsi="Arial" w:cs="Arial"/>
        </w:rPr>
        <w:t xml:space="preserve"> as of December 31, 201</w:t>
      </w:r>
      <w:r w:rsidR="006B289F">
        <w:rPr>
          <w:rFonts w:ascii="Arial" w:hAnsi="Arial" w:cs="Arial"/>
        </w:rPr>
        <w:t>7</w:t>
      </w:r>
      <w:r w:rsidR="00FC5F9E">
        <w:rPr>
          <w:rFonts w:ascii="Arial" w:hAnsi="Arial" w:cs="Arial"/>
        </w:rPr>
        <w:t>.</w:t>
      </w:r>
    </w:p>
    <w:p w:rsidR="00FC5F9E" w:rsidRDefault="00FC5F9E" w:rsidP="00966F14">
      <w:pPr>
        <w:spacing w:after="0" w:line="240" w:lineRule="auto"/>
        <w:jc w:val="both"/>
        <w:rPr>
          <w:rFonts w:ascii="Arial" w:hAnsi="Arial" w:cs="Arial"/>
        </w:rPr>
      </w:pPr>
    </w:p>
    <w:p w:rsidR="00FC5F9E" w:rsidRDefault="00FC5F9E" w:rsidP="00966F14">
      <w:pPr>
        <w:spacing w:after="0" w:line="240" w:lineRule="auto"/>
        <w:jc w:val="both"/>
        <w:rPr>
          <w:rFonts w:ascii="Arial" w:hAnsi="Arial" w:cs="Arial"/>
        </w:rPr>
      </w:pPr>
      <w:r w:rsidRPr="0033067C">
        <w:rPr>
          <w:rFonts w:ascii="Arial" w:hAnsi="Arial" w:cs="Arial"/>
        </w:rPr>
        <w:t>The main sources of funds of the PCSO are the Sweepstakes and the Lottery games. Various game types have been introduced and other game innovations are constantly being conceptualized.</w:t>
      </w:r>
    </w:p>
    <w:p w:rsidR="00366030" w:rsidRDefault="00366030" w:rsidP="00966F14">
      <w:pPr>
        <w:spacing w:after="0" w:line="240" w:lineRule="auto"/>
        <w:jc w:val="both"/>
        <w:rPr>
          <w:rFonts w:ascii="Arial" w:hAnsi="Arial" w:cs="Arial"/>
          <w:b/>
        </w:rPr>
      </w:pPr>
    </w:p>
    <w:p w:rsidR="00E356CD" w:rsidRDefault="00E356CD" w:rsidP="00966F14">
      <w:pPr>
        <w:spacing w:after="0" w:line="240" w:lineRule="auto"/>
        <w:jc w:val="both"/>
        <w:rPr>
          <w:rFonts w:ascii="Arial" w:hAnsi="Arial" w:cs="Arial"/>
          <w:b/>
        </w:rPr>
      </w:pPr>
    </w:p>
    <w:p w:rsidR="00EB4521" w:rsidRPr="007F2BA2" w:rsidRDefault="004E725C" w:rsidP="00966F14">
      <w:pPr>
        <w:pStyle w:val="ListParagraph"/>
        <w:numPr>
          <w:ilvl w:val="0"/>
          <w:numId w:val="31"/>
        </w:numPr>
        <w:spacing w:after="0" w:line="240" w:lineRule="auto"/>
        <w:ind w:left="360"/>
        <w:jc w:val="both"/>
        <w:rPr>
          <w:rFonts w:ascii="Arial" w:hAnsi="Arial" w:cs="Arial"/>
          <w:b/>
        </w:rPr>
      </w:pPr>
      <w:r w:rsidRPr="007F2BA2">
        <w:rPr>
          <w:rFonts w:ascii="Arial" w:hAnsi="Arial" w:cs="Arial"/>
          <w:b/>
        </w:rPr>
        <w:lastRenderedPageBreak/>
        <w:t>Financial and Operational Highlights</w:t>
      </w:r>
    </w:p>
    <w:p w:rsidR="00EB4521" w:rsidRPr="0033067C" w:rsidRDefault="00EB4521" w:rsidP="00966F14">
      <w:pPr>
        <w:spacing w:after="0" w:line="240" w:lineRule="auto"/>
        <w:jc w:val="both"/>
        <w:rPr>
          <w:rFonts w:ascii="Arial" w:hAnsi="Arial" w:cs="Arial"/>
          <w:b/>
          <w:sz w:val="20"/>
          <w:szCs w:val="20"/>
        </w:rPr>
      </w:pPr>
    </w:p>
    <w:p w:rsidR="00FC5F9E" w:rsidRDefault="00FC5F9E" w:rsidP="00966F14">
      <w:pPr>
        <w:spacing w:after="0" w:line="240" w:lineRule="auto"/>
        <w:jc w:val="both"/>
        <w:rPr>
          <w:rFonts w:ascii="Arial" w:hAnsi="Arial" w:cs="Arial"/>
        </w:rPr>
      </w:pPr>
      <w:r>
        <w:rPr>
          <w:rFonts w:ascii="Arial" w:hAnsi="Arial" w:cs="Arial"/>
        </w:rPr>
        <w:t>PCSO’s financial condition and results of operations are presented below:</w:t>
      </w:r>
    </w:p>
    <w:p w:rsidR="00FC5F9E" w:rsidRDefault="00FC5F9E" w:rsidP="00966F14">
      <w:pPr>
        <w:spacing w:after="0" w:line="240" w:lineRule="auto"/>
        <w:jc w:val="both"/>
        <w:rPr>
          <w:rFonts w:ascii="Arial" w:hAnsi="Arial" w:cs="Arial"/>
        </w:rPr>
      </w:pPr>
    </w:p>
    <w:p w:rsidR="00FE7C23" w:rsidRPr="00FC5F9E" w:rsidRDefault="00FE7C23" w:rsidP="00966F14">
      <w:pPr>
        <w:numPr>
          <w:ilvl w:val="0"/>
          <w:numId w:val="20"/>
        </w:numPr>
        <w:spacing w:after="0" w:line="240" w:lineRule="auto"/>
        <w:ind w:left="360" w:hanging="360"/>
        <w:rPr>
          <w:rFonts w:ascii="Arial" w:hAnsi="Arial" w:cs="Arial"/>
        </w:rPr>
      </w:pPr>
      <w:r w:rsidRPr="0033067C">
        <w:rPr>
          <w:rFonts w:ascii="Arial" w:hAnsi="Arial" w:cs="Arial"/>
        </w:rPr>
        <w:t>Comparative Financial Position (in thousand pesos):</w:t>
      </w:r>
    </w:p>
    <w:tbl>
      <w:tblPr>
        <w:tblW w:w="8789" w:type="dxa"/>
        <w:tblInd w:w="108" w:type="dxa"/>
        <w:tblLayout w:type="fixed"/>
        <w:tblLook w:val="04A0" w:firstRow="1" w:lastRow="0" w:firstColumn="1" w:lastColumn="0" w:noHBand="0" w:noVBand="1"/>
      </w:tblPr>
      <w:tblGrid>
        <w:gridCol w:w="4111"/>
        <w:gridCol w:w="1418"/>
        <w:gridCol w:w="1701"/>
        <w:gridCol w:w="1559"/>
      </w:tblGrid>
      <w:tr w:rsidR="00FC5F9E" w:rsidRPr="007F2BA2" w:rsidTr="009B7F4D">
        <w:trPr>
          <w:trHeight w:val="230"/>
        </w:trPr>
        <w:tc>
          <w:tcPr>
            <w:tcW w:w="4111" w:type="dxa"/>
            <w:tcBorders>
              <w:top w:val="single" w:sz="4" w:space="0" w:color="auto"/>
              <w:bottom w:val="single" w:sz="4" w:space="0" w:color="auto"/>
            </w:tcBorders>
            <w:vAlign w:val="center"/>
            <w:hideMark/>
          </w:tcPr>
          <w:p w:rsidR="00FC5F9E" w:rsidRPr="007F2BA2" w:rsidRDefault="00FC5F9E" w:rsidP="00966F14">
            <w:pPr>
              <w:spacing w:after="0" w:line="240" w:lineRule="auto"/>
              <w:jc w:val="center"/>
              <w:rPr>
                <w:rFonts w:ascii="Arial" w:eastAsia="Times New Roman" w:hAnsi="Arial" w:cs="Arial"/>
                <w:sz w:val="20"/>
                <w:szCs w:val="20"/>
              </w:rPr>
            </w:pPr>
          </w:p>
        </w:tc>
        <w:tc>
          <w:tcPr>
            <w:tcW w:w="1418" w:type="dxa"/>
            <w:tcBorders>
              <w:top w:val="single" w:sz="4" w:space="0" w:color="auto"/>
              <w:bottom w:val="single" w:sz="4" w:space="0" w:color="auto"/>
            </w:tcBorders>
            <w:vAlign w:val="center"/>
            <w:hideMark/>
          </w:tcPr>
          <w:p w:rsidR="00FC5F9E" w:rsidRPr="007F2BA2" w:rsidRDefault="00FC5F9E" w:rsidP="00966F14">
            <w:pPr>
              <w:suppressAutoHyphens/>
              <w:snapToGrid w:val="0"/>
              <w:spacing w:after="0" w:line="240" w:lineRule="auto"/>
              <w:jc w:val="center"/>
              <w:rPr>
                <w:rFonts w:ascii="Arial" w:eastAsia="Times New Roman" w:hAnsi="Arial" w:cs="Arial"/>
                <w:b/>
                <w:sz w:val="20"/>
                <w:szCs w:val="20"/>
                <w:lang w:eastAsia="ar-SA"/>
              </w:rPr>
            </w:pPr>
            <w:r w:rsidRPr="007F2BA2">
              <w:rPr>
                <w:rFonts w:ascii="Arial" w:eastAsia="Times New Roman" w:hAnsi="Arial" w:cs="Arial"/>
                <w:b/>
                <w:sz w:val="20"/>
                <w:szCs w:val="20"/>
                <w:lang w:eastAsia="ar-SA"/>
              </w:rPr>
              <w:t>201</w:t>
            </w:r>
            <w:r w:rsidR="00366030" w:rsidRPr="007F2BA2">
              <w:rPr>
                <w:rFonts w:ascii="Arial" w:eastAsia="Times New Roman" w:hAnsi="Arial" w:cs="Arial"/>
                <w:b/>
                <w:sz w:val="20"/>
                <w:szCs w:val="20"/>
                <w:lang w:eastAsia="ar-SA"/>
              </w:rPr>
              <w:t>7</w:t>
            </w:r>
          </w:p>
        </w:tc>
        <w:tc>
          <w:tcPr>
            <w:tcW w:w="1701" w:type="dxa"/>
            <w:tcBorders>
              <w:top w:val="single" w:sz="4" w:space="0" w:color="auto"/>
              <w:bottom w:val="single" w:sz="4" w:space="0" w:color="auto"/>
            </w:tcBorders>
            <w:vAlign w:val="center"/>
            <w:hideMark/>
          </w:tcPr>
          <w:p w:rsidR="00FC5F9E" w:rsidRPr="007F2BA2" w:rsidRDefault="00FC5F9E" w:rsidP="00966F14">
            <w:pPr>
              <w:suppressAutoHyphens/>
              <w:snapToGrid w:val="0"/>
              <w:spacing w:after="0" w:line="240" w:lineRule="auto"/>
              <w:ind w:right="-15"/>
              <w:jc w:val="center"/>
              <w:rPr>
                <w:rFonts w:ascii="Arial" w:eastAsia="Times New Roman" w:hAnsi="Arial" w:cs="Arial"/>
                <w:b/>
                <w:sz w:val="20"/>
                <w:szCs w:val="20"/>
                <w:lang w:eastAsia="ar-SA"/>
              </w:rPr>
            </w:pPr>
            <w:r w:rsidRPr="007F2BA2">
              <w:rPr>
                <w:rFonts w:ascii="Arial" w:eastAsia="Times New Roman" w:hAnsi="Arial" w:cs="Arial"/>
                <w:b/>
                <w:sz w:val="20"/>
                <w:szCs w:val="20"/>
                <w:lang w:eastAsia="ar-SA"/>
              </w:rPr>
              <w:t>201</w:t>
            </w:r>
            <w:r w:rsidR="00366030" w:rsidRPr="007F2BA2">
              <w:rPr>
                <w:rFonts w:ascii="Arial" w:eastAsia="Times New Roman" w:hAnsi="Arial" w:cs="Arial"/>
                <w:b/>
                <w:sz w:val="20"/>
                <w:szCs w:val="20"/>
                <w:lang w:eastAsia="ar-SA"/>
              </w:rPr>
              <w:t>6</w:t>
            </w:r>
            <w:r w:rsidR="00814BD2" w:rsidRPr="007F2BA2">
              <w:rPr>
                <w:rFonts w:ascii="Arial" w:eastAsia="Times New Roman" w:hAnsi="Arial" w:cs="Arial"/>
                <w:b/>
                <w:sz w:val="20"/>
                <w:szCs w:val="20"/>
                <w:lang w:eastAsia="ar-SA"/>
              </w:rPr>
              <w:t xml:space="preserve">                       </w:t>
            </w:r>
            <w:r w:rsidRPr="007F2BA2">
              <w:rPr>
                <w:rFonts w:ascii="Arial" w:eastAsia="Times New Roman" w:hAnsi="Arial" w:cs="Arial"/>
                <w:b/>
                <w:sz w:val="20"/>
                <w:szCs w:val="20"/>
                <w:lang w:eastAsia="ar-SA"/>
              </w:rPr>
              <w:t xml:space="preserve"> (As Restated)</w:t>
            </w:r>
          </w:p>
        </w:tc>
        <w:tc>
          <w:tcPr>
            <w:tcW w:w="1559" w:type="dxa"/>
            <w:tcBorders>
              <w:top w:val="single" w:sz="4" w:space="0" w:color="auto"/>
              <w:bottom w:val="single" w:sz="4" w:space="0" w:color="auto"/>
            </w:tcBorders>
            <w:vAlign w:val="center"/>
            <w:hideMark/>
          </w:tcPr>
          <w:p w:rsidR="00FC5F9E" w:rsidRPr="007F2BA2" w:rsidRDefault="00FC5F9E" w:rsidP="00966F14">
            <w:pPr>
              <w:suppressAutoHyphens/>
              <w:snapToGrid w:val="0"/>
              <w:spacing w:after="0" w:line="240" w:lineRule="auto"/>
              <w:ind w:left="-15"/>
              <w:jc w:val="center"/>
              <w:rPr>
                <w:rFonts w:ascii="Arial" w:eastAsia="Times New Roman" w:hAnsi="Arial" w:cs="Arial"/>
                <w:b/>
                <w:sz w:val="20"/>
                <w:szCs w:val="20"/>
                <w:lang w:eastAsia="ar-SA"/>
              </w:rPr>
            </w:pPr>
            <w:r w:rsidRPr="007F2BA2">
              <w:rPr>
                <w:rFonts w:ascii="Arial" w:eastAsia="Times New Roman" w:hAnsi="Arial" w:cs="Arial"/>
                <w:b/>
                <w:sz w:val="20"/>
                <w:szCs w:val="20"/>
                <w:lang w:eastAsia="ar-SA"/>
              </w:rPr>
              <w:t>Increase</w:t>
            </w:r>
            <w:r w:rsidR="00814BD2" w:rsidRPr="007F2BA2">
              <w:rPr>
                <w:rFonts w:ascii="Arial" w:eastAsia="Times New Roman" w:hAnsi="Arial" w:cs="Arial"/>
                <w:b/>
                <w:sz w:val="20"/>
                <w:szCs w:val="20"/>
                <w:lang w:eastAsia="ar-SA"/>
              </w:rPr>
              <w:t xml:space="preserve"> </w:t>
            </w:r>
            <w:r w:rsidRPr="007F2BA2">
              <w:rPr>
                <w:rFonts w:ascii="Arial" w:eastAsia="Times New Roman" w:hAnsi="Arial" w:cs="Arial"/>
                <w:b/>
                <w:sz w:val="20"/>
                <w:szCs w:val="20"/>
                <w:lang w:eastAsia="ar-SA"/>
              </w:rPr>
              <w:t>(Decrease)</w:t>
            </w:r>
          </w:p>
        </w:tc>
      </w:tr>
      <w:tr w:rsidR="00366030" w:rsidRPr="007F2BA2" w:rsidTr="007609D2">
        <w:trPr>
          <w:trHeight w:val="21"/>
        </w:trPr>
        <w:tc>
          <w:tcPr>
            <w:tcW w:w="4111" w:type="dxa"/>
            <w:tcBorders>
              <w:top w:val="single" w:sz="4" w:space="0" w:color="auto"/>
            </w:tcBorders>
            <w:hideMark/>
          </w:tcPr>
          <w:p w:rsidR="00366030" w:rsidRPr="007F2BA2" w:rsidRDefault="00366030" w:rsidP="00966F14">
            <w:pPr>
              <w:suppressAutoHyphens/>
              <w:snapToGrid w:val="0"/>
              <w:spacing w:after="0" w:line="240" w:lineRule="auto"/>
              <w:rPr>
                <w:rFonts w:ascii="Arial" w:eastAsia="Times New Roman" w:hAnsi="Arial" w:cs="Arial"/>
                <w:bCs/>
                <w:sz w:val="20"/>
                <w:szCs w:val="20"/>
                <w:lang w:eastAsia="ar-SA"/>
              </w:rPr>
            </w:pPr>
            <w:r w:rsidRPr="007F2BA2">
              <w:rPr>
                <w:rFonts w:ascii="Arial" w:eastAsia="Times New Roman" w:hAnsi="Arial" w:cs="Arial"/>
                <w:bCs/>
                <w:sz w:val="20"/>
                <w:szCs w:val="20"/>
                <w:lang w:eastAsia="ar-SA"/>
              </w:rPr>
              <w:t>Assets</w:t>
            </w:r>
          </w:p>
        </w:tc>
        <w:tc>
          <w:tcPr>
            <w:tcW w:w="1418" w:type="dxa"/>
            <w:tcBorders>
              <w:top w:val="single" w:sz="4" w:space="0" w:color="auto"/>
            </w:tcBorders>
            <w:vAlign w:val="center"/>
          </w:tcPr>
          <w:p w:rsidR="00366030" w:rsidRPr="007F2BA2" w:rsidRDefault="00366030" w:rsidP="00966F14">
            <w:pPr>
              <w:spacing w:after="0" w:line="240" w:lineRule="auto"/>
              <w:jc w:val="right"/>
              <w:rPr>
                <w:rFonts w:ascii="Arial" w:hAnsi="Arial" w:cs="Arial"/>
                <w:sz w:val="20"/>
                <w:szCs w:val="20"/>
                <w:lang w:val="en-PH" w:eastAsia="en-PH"/>
              </w:rPr>
            </w:pPr>
            <w:r w:rsidRPr="007F2BA2">
              <w:rPr>
                <w:rFonts w:ascii="Arial" w:hAnsi="Arial" w:cs="Arial"/>
                <w:color w:val="000000"/>
                <w:sz w:val="20"/>
                <w:szCs w:val="20"/>
              </w:rPr>
              <w:t xml:space="preserve">   22,558,822 </w:t>
            </w:r>
          </w:p>
        </w:tc>
        <w:tc>
          <w:tcPr>
            <w:tcW w:w="1701" w:type="dxa"/>
            <w:tcBorders>
              <w:top w:val="single" w:sz="4" w:space="0" w:color="auto"/>
            </w:tcBorders>
            <w:vAlign w:val="center"/>
          </w:tcPr>
          <w:p w:rsidR="00366030" w:rsidRPr="007F2BA2" w:rsidRDefault="00366030" w:rsidP="00966F14">
            <w:pPr>
              <w:spacing w:after="0" w:line="240" w:lineRule="auto"/>
              <w:jc w:val="right"/>
              <w:rPr>
                <w:rFonts w:ascii="Arial" w:hAnsi="Arial" w:cs="Arial"/>
                <w:sz w:val="20"/>
                <w:szCs w:val="20"/>
              </w:rPr>
            </w:pPr>
            <w:r w:rsidRPr="007F2BA2">
              <w:rPr>
                <w:rFonts w:ascii="Arial" w:hAnsi="Arial" w:cs="Arial"/>
                <w:color w:val="000000"/>
                <w:sz w:val="20"/>
                <w:szCs w:val="20"/>
              </w:rPr>
              <w:t xml:space="preserve">        15,914,218 </w:t>
            </w:r>
          </w:p>
        </w:tc>
        <w:tc>
          <w:tcPr>
            <w:tcW w:w="1559" w:type="dxa"/>
            <w:tcBorders>
              <w:top w:val="single" w:sz="4" w:space="0" w:color="auto"/>
            </w:tcBorders>
            <w:vAlign w:val="center"/>
          </w:tcPr>
          <w:p w:rsidR="00366030" w:rsidRPr="007F2BA2" w:rsidRDefault="00366030" w:rsidP="00966F14">
            <w:pPr>
              <w:spacing w:after="0" w:line="240" w:lineRule="auto"/>
              <w:jc w:val="right"/>
              <w:rPr>
                <w:rFonts w:ascii="Arial" w:hAnsi="Arial" w:cs="Arial"/>
                <w:sz w:val="20"/>
                <w:szCs w:val="20"/>
                <w:lang w:val="en-PH" w:eastAsia="en-PH"/>
              </w:rPr>
            </w:pPr>
            <w:r w:rsidRPr="007F2BA2">
              <w:rPr>
                <w:rFonts w:ascii="Arial" w:hAnsi="Arial" w:cs="Arial"/>
                <w:color w:val="000000"/>
                <w:sz w:val="20"/>
                <w:szCs w:val="20"/>
              </w:rPr>
              <w:t xml:space="preserve">       6,644,604 </w:t>
            </w:r>
          </w:p>
        </w:tc>
      </w:tr>
      <w:tr w:rsidR="00366030" w:rsidRPr="007F2BA2" w:rsidTr="007609D2">
        <w:trPr>
          <w:trHeight w:val="243"/>
        </w:trPr>
        <w:tc>
          <w:tcPr>
            <w:tcW w:w="4111" w:type="dxa"/>
            <w:hideMark/>
          </w:tcPr>
          <w:p w:rsidR="00366030" w:rsidRPr="007F2BA2" w:rsidRDefault="00366030" w:rsidP="00966F14">
            <w:pPr>
              <w:suppressAutoHyphens/>
              <w:snapToGrid w:val="0"/>
              <w:spacing w:after="0" w:line="240" w:lineRule="auto"/>
              <w:rPr>
                <w:rFonts w:ascii="Arial" w:eastAsia="Times New Roman" w:hAnsi="Arial" w:cs="Arial"/>
                <w:bCs/>
                <w:sz w:val="20"/>
                <w:szCs w:val="20"/>
                <w:lang w:eastAsia="ar-SA"/>
              </w:rPr>
            </w:pPr>
            <w:r w:rsidRPr="007F2BA2">
              <w:rPr>
                <w:rFonts w:ascii="Arial" w:eastAsia="Times New Roman" w:hAnsi="Arial" w:cs="Arial"/>
                <w:bCs/>
                <w:sz w:val="20"/>
                <w:szCs w:val="20"/>
                <w:lang w:eastAsia="ar-SA"/>
              </w:rPr>
              <w:t>Liabilities</w:t>
            </w:r>
          </w:p>
        </w:tc>
        <w:tc>
          <w:tcPr>
            <w:tcW w:w="1418" w:type="dxa"/>
            <w:vAlign w:val="center"/>
          </w:tcPr>
          <w:p w:rsidR="00366030" w:rsidRPr="007F2BA2" w:rsidRDefault="00366030" w:rsidP="00966F14">
            <w:pPr>
              <w:spacing w:after="0" w:line="240" w:lineRule="auto"/>
              <w:jc w:val="right"/>
              <w:rPr>
                <w:rFonts w:ascii="Arial" w:hAnsi="Arial" w:cs="Arial"/>
                <w:sz w:val="20"/>
                <w:szCs w:val="20"/>
              </w:rPr>
            </w:pPr>
            <w:r w:rsidRPr="007F2BA2">
              <w:rPr>
                <w:rFonts w:ascii="Arial" w:hAnsi="Arial" w:cs="Arial"/>
                <w:color w:val="000000"/>
                <w:sz w:val="20"/>
                <w:szCs w:val="20"/>
              </w:rPr>
              <w:t xml:space="preserve"> 15,361,873 </w:t>
            </w:r>
          </w:p>
        </w:tc>
        <w:tc>
          <w:tcPr>
            <w:tcW w:w="1701" w:type="dxa"/>
            <w:vAlign w:val="center"/>
          </w:tcPr>
          <w:p w:rsidR="00366030" w:rsidRPr="007F2BA2" w:rsidRDefault="00366030" w:rsidP="00966F14">
            <w:pPr>
              <w:spacing w:after="0" w:line="240" w:lineRule="auto"/>
              <w:jc w:val="right"/>
              <w:rPr>
                <w:rFonts w:ascii="Arial" w:hAnsi="Arial" w:cs="Arial"/>
                <w:sz w:val="20"/>
                <w:szCs w:val="20"/>
              </w:rPr>
            </w:pPr>
            <w:r w:rsidRPr="007F2BA2">
              <w:rPr>
                <w:rFonts w:ascii="Arial" w:hAnsi="Arial" w:cs="Arial"/>
                <w:color w:val="000000"/>
                <w:sz w:val="20"/>
                <w:szCs w:val="20"/>
              </w:rPr>
              <w:t xml:space="preserve">        12,288,263 </w:t>
            </w:r>
          </w:p>
        </w:tc>
        <w:tc>
          <w:tcPr>
            <w:tcW w:w="1559" w:type="dxa"/>
            <w:vAlign w:val="center"/>
          </w:tcPr>
          <w:p w:rsidR="00366030" w:rsidRPr="007F2BA2" w:rsidRDefault="00366030" w:rsidP="00966F14">
            <w:pPr>
              <w:spacing w:after="0" w:line="240" w:lineRule="auto"/>
              <w:jc w:val="right"/>
              <w:rPr>
                <w:rFonts w:ascii="Arial" w:hAnsi="Arial" w:cs="Arial"/>
                <w:sz w:val="20"/>
                <w:szCs w:val="20"/>
              </w:rPr>
            </w:pPr>
            <w:r w:rsidRPr="007F2BA2">
              <w:rPr>
                <w:rFonts w:ascii="Arial" w:hAnsi="Arial" w:cs="Arial"/>
                <w:color w:val="000000"/>
                <w:sz w:val="20"/>
                <w:szCs w:val="20"/>
              </w:rPr>
              <w:t xml:space="preserve">        3,073,610 </w:t>
            </w:r>
          </w:p>
        </w:tc>
      </w:tr>
      <w:tr w:rsidR="00366030" w:rsidRPr="007F2BA2" w:rsidTr="007609D2">
        <w:trPr>
          <w:trHeight w:val="198"/>
        </w:trPr>
        <w:tc>
          <w:tcPr>
            <w:tcW w:w="4111" w:type="dxa"/>
            <w:tcBorders>
              <w:bottom w:val="single" w:sz="4" w:space="0" w:color="auto"/>
            </w:tcBorders>
          </w:tcPr>
          <w:p w:rsidR="00366030" w:rsidRPr="007F2BA2" w:rsidRDefault="00366030" w:rsidP="00966F14">
            <w:pPr>
              <w:suppressAutoHyphens/>
              <w:snapToGrid w:val="0"/>
              <w:spacing w:after="0" w:line="240" w:lineRule="auto"/>
              <w:rPr>
                <w:rFonts w:ascii="Arial" w:eastAsia="Times New Roman" w:hAnsi="Arial" w:cs="Arial"/>
                <w:bCs/>
                <w:sz w:val="20"/>
                <w:szCs w:val="20"/>
                <w:lang w:eastAsia="ar-SA"/>
              </w:rPr>
            </w:pPr>
            <w:r w:rsidRPr="007F2BA2">
              <w:rPr>
                <w:rFonts w:ascii="Arial" w:eastAsia="Times New Roman" w:hAnsi="Arial" w:cs="Arial"/>
                <w:bCs/>
                <w:sz w:val="20"/>
                <w:szCs w:val="20"/>
                <w:lang w:eastAsia="ar-SA"/>
              </w:rPr>
              <w:t>Equity</w:t>
            </w:r>
          </w:p>
        </w:tc>
        <w:tc>
          <w:tcPr>
            <w:tcW w:w="1418" w:type="dxa"/>
            <w:tcBorders>
              <w:bottom w:val="single" w:sz="4" w:space="0" w:color="auto"/>
            </w:tcBorders>
            <w:vAlign w:val="center"/>
          </w:tcPr>
          <w:p w:rsidR="00366030" w:rsidRPr="007F2BA2" w:rsidRDefault="00366030" w:rsidP="00966F14">
            <w:pPr>
              <w:spacing w:after="0" w:line="240" w:lineRule="auto"/>
              <w:jc w:val="right"/>
              <w:rPr>
                <w:rFonts w:ascii="Arial" w:hAnsi="Arial" w:cs="Arial"/>
                <w:sz w:val="20"/>
                <w:szCs w:val="20"/>
              </w:rPr>
            </w:pPr>
            <w:r w:rsidRPr="007F2BA2">
              <w:rPr>
                <w:rFonts w:ascii="Arial" w:hAnsi="Arial" w:cs="Arial"/>
                <w:color w:val="000000"/>
                <w:sz w:val="20"/>
                <w:szCs w:val="20"/>
              </w:rPr>
              <w:t xml:space="preserve">     7,196,949 </w:t>
            </w:r>
          </w:p>
        </w:tc>
        <w:tc>
          <w:tcPr>
            <w:tcW w:w="1701" w:type="dxa"/>
            <w:tcBorders>
              <w:bottom w:val="single" w:sz="4" w:space="0" w:color="auto"/>
            </w:tcBorders>
            <w:vAlign w:val="center"/>
          </w:tcPr>
          <w:p w:rsidR="00366030" w:rsidRPr="007F2BA2" w:rsidRDefault="00366030" w:rsidP="00966F14">
            <w:pPr>
              <w:spacing w:after="0" w:line="240" w:lineRule="auto"/>
              <w:jc w:val="right"/>
              <w:rPr>
                <w:rFonts w:ascii="Arial" w:hAnsi="Arial" w:cs="Arial"/>
                <w:sz w:val="20"/>
                <w:szCs w:val="20"/>
              </w:rPr>
            </w:pPr>
            <w:r w:rsidRPr="007F2BA2">
              <w:rPr>
                <w:rFonts w:ascii="Arial" w:hAnsi="Arial" w:cs="Arial"/>
                <w:color w:val="000000"/>
                <w:sz w:val="20"/>
                <w:szCs w:val="20"/>
              </w:rPr>
              <w:t xml:space="preserve">          3,625,955 </w:t>
            </w:r>
          </w:p>
        </w:tc>
        <w:tc>
          <w:tcPr>
            <w:tcW w:w="1559" w:type="dxa"/>
            <w:tcBorders>
              <w:bottom w:val="single" w:sz="4" w:space="0" w:color="auto"/>
            </w:tcBorders>
            <w:vAlign w:val="center"/>
          </w:tcPr>
          <w:p w:rsidR="00366030" w:rsidRPr="007F2BA2" w:rsidRDefault="00366030" w:rsidP="00966F14">
            <w:pPr>
              <w:spacing w:after="0" w:line="240" w:lineRule="auto"/>
              <w:jc w:val="right"/>
              <w:rPr>
                <w:rFonts w:ascii="Arial" w:hAnsi="Arial" w:cs="Arial"/>
                <w:sz w:val="20"/>
                <w:szCs w:val="20"/>
              </w:rPr>
            </w:pPr>
            <w:r w:rsidRPr="007F2BA2">
              <w:rPr>
                <w:rFonts w:ascii="Arial" w:hAnsi="Arial" w:cs="Arial"/>
                <w:color w:val="000000"/>
                <w:sz w:val="20"/>
                <w:szCs w:val="20"/>
              </w:rPr>
              <w:t xml:space="preserve">        3,570,994 </w:t>
            </w:r>
          </w:p>
        </w:tc>
      </w:tr>
    </w:tbl>
    <w:p w:rsidR="00FC5F9E" w:rsidRDefault="00FC5F9E" w:rsidP="00966F14">
      <w:pPr>
        <w:spacing w:after="0" w:line="240" w:lineRule="auto"/>
        <w:ind w:left="1440" w:right="360"/>
        <w:jc w:val="both"/>
        <w:rPr>
          <w:rFonts w:ascii="Arial" w:hAnsi="Arial" w:cs="Arial"/>
        </w:rPr>
      </w:pPr>
      <w:r>
        <w:rPr>
          <w:rFonts w:ascii="Arial" w:hAnsi="Arial" w:cs="Arial"/>
        </w:rPr>
        <w:tab/>
      </w:r>
      <w:r w:rsidR="00156FC0">
        <w:rPr>
          <w:rFonts w:ascii="Arial" w:hAnsi="Arial" w:cs="Arial"/>
        </w:rPr>
        <w:t xml:space="preserve"> </w:t>
      </w:r>
    </w:p>
    <w:p w:rsidR="00FE7C23" w:rsidRPr="009B7F4D" w:rsidRDefault="00FE7C23" w:rsidP="00966F14">
      <w:pPr>
        <w:numPr>
          <w:ilvl w:val="0"/>
          <w:numId w:val="20"/>
        </w:numPr>
        <w:spacing w:after="0" w:line="240" w:lineRule="auto"/>
        <w:ind w:left="360" w:right="360" w:hanging="360"/>
        <w:rPr>
          <w:rFonts w:ascii="Arial" w:hAnsi="Arial" w:cs="Arial"/>
        </w:rPr>
      </w:pPr>
      <w:r w:rsidRPr="009B7F4D">
        <w:rPr>
          <w:rFonts w:ascii="Arial" w:hAnsi="Arial" w:cs="Arial"/>
        </w:rPr>
        <w:t>Comparative Results of Fund Utilization (in thousand pesos):</w:t>
      </w:r>
    </w:p>
    <w:tbl>
      <w:tblPr>
        <w:tblW w:w="8931" w:type="dxa"/>
        <w:tblInd w:w="108" w:type="dxa"/>
        <w:tblLayout w:type="fixed"/>
        <w:tblLook w:val="04A0" w:firstRow="1" w:lastRow="0" w:firstColumn="1" w:lastColumn="0" w:noHBand="0" w:noVBand="1"/>
      </w:tblPr>
      <w:tblGrid>
        <w:gridCol w:w="3119"/>
        <w:gridCol w:w="850"/>
        <w:gridCol w:w="993"/>
        <w:gridCol w:w="992"/>
        <w:gridCol w:w="992"/>
        <w:gridCol w:w="992"/>
        <w:gridCol w:w="993"/>
      </w:tblGrid>
      <w:tr w:rsidR="00814BD2" w:rsidRPr="007330EA" w:rsidTr="00966DCB">
        <w:tc>
          <w:tcPr>
            <w:tcW w:w="3119" w:type="dxa"/>
            <w:vMerge w:val="restart"/>
            <w:tcBorders>
              <w:top w:val="single" w:sz="4" w:space="0" w:color="auto"/>
            </w:tcBorders>
          </w:tcPr>
          <w:p w:rsidR="00814BD2" w:rsidRPr="007330EA" w:rsidRDefault="00814BD2" w:rsidP="00966F14">
            <w:pPr>
              <w:suppressAutoHyphens/>
              <w:snapToGrid w:val="0"/>
              <w:spacing w:after="0" w:line="240" w:lineRule="auto"/>
              <w:jc w:val="center"/>
              <w:rPr>
                <w:rFonts w:ascii="Arial Narrow" w:eastAsia="Times New Roman" w:hAnsi="Arial Narrow" w:cs="Arial"/>
                <w:sz w:val="16"/>
                <w:szCs w:val="16"/>
                <w:lang w:eastAsia="ar-SA"/>
              </w:rPr>
            </w:pPr>
          </w:p>
        </w:tc>
        <w:tc>
          <w:tcPr>
            <w:tcW w:w="2835" w:type="dxa"/>
            <w:gridSpan w:val="3"/>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201</w:t>
            </w:r>
            <w:r w:rsidR="00F423AE" w:rsidRPr="007330EA">
              <w:rPr>
                <w:rFonts w:ascii="Arial Narrow" w:eastAsia="Times New Roman" w:hAnsi="Arial Narrow" w:cs="Arial"/>
                <w:b/>
                <w:sz w:val="16"/>
                <w:szCs w:val="16"/>
                <w:lang w:eastAsia="ar-SA"/>
              </w:rPr>
              <w:t>7</w:t>
            </w:r>
          </w:p>
        </w:tc>
        <w:tc>
          <w:tcPr>
            <w:tcW w:w="2977" w:type="dxa"/>
            <w:gridSpan w:val="3"/>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201</w:t>
            </w:r>
            <w:r w:rsidR="00F423AE" w:rsidRPr="007330EA">
              <w:rPr>
                <w:rFonts w:ascii="Arial Narrow" w:eastAsia="Times New Roman" w:hAnsi="Arial Narrow" w:cs="Arial"/>
                <w:b/>
                <w:sz w:val="16"/>
                <w:szCs w:val="16"/>
                <w:lang w:eastAsia="ar-SA"/>
              </w:rPr>
              <w:t>6</w:t>
            </w:r>
            <w:r w:rsidRPr="007330EA">
              <w:rPr>
                <w:rFonts w:ascii="Arial Narrow" w:eastAsia="Times New Roman" w:hAnsi="Arial Narrow" w:cs="Arial"/>
                <w:b/>
                <w:sz w:val="16"/>
                <w:szCs w:val="16"/>
                <w:lang w:eastAsia="ar-SA"/>
              </w:rPr>
              <w:t xml:space="preserve"> (As Restated)</w:t>
            </w:r>
          </w:p>
        </w:tc>
      </w:tr>
      <w:tr w:rsidR="00814BD2" w:rsidRPr="007330EA" w:rsidTr="00966DCB">
        <w:tc>
          <w:tcPr>
            <w:tcW w:w="3119" w:type="dxa"/>
            <w:vMerge/>
            <w:tcBorders>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sz w:val="16"/>
                <w:szCs w:val="16"/>
                <w:lang w:eastAsia="ar-SA"/>
              </w:rPr>
            </w:pPr>
          </w:p>
        </w:tc>
        <w:tc>
          <w:tcPr>
            <w:tcW w:w="850" w:type="dxa"/>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Operating</w:t>
            </w:r>
          </w:p>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Fund</w:t>
            </w:r>
          </w:p>
        </w:tc>
        <w:tc>
          <w:tcPr>
            <w:tcW w:w="993" w:type="dxa"/>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Charity</w:t>
            </w:r>
          </w:p>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Fund</w:t>
            </w:r>
          </w:p>
        </w:tc>
        <w:tc>
          <w:tcPr>
            <w:tcW w:w="992" w:type="dxa"/>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 xml:space="preserve">   Prize </w:t>
            </w:r>
          </w:p>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 xml:space="preserve">   Fund</w:t>
            </w:r>
          </w:p>
        </w:tc>
        <w:tc>
          <w:tcPr>
            <w:tcW w:w="992" w:type="dxa"/>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Operating</w:t>
            </w:r>
          </w:p>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Fund</w:t>
            </w:r>
          </w:p>
        </w:tc>
        <w:tc>
          <w:tcPr>
            <w:tcW w:w="992" w:type="dxa"/>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Charity</w:t>
            </w:r>
          </w:p>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Fund</w:t>
            </w:r>
          </w:p>
        </w:tc>
        <w:tc>
          <w:tcPr>
            <w:tcW w:w="993" w:type="dxa"/>
            <w:tcBorders>
              <w:top w:val="single" w:sz="4" w:space="0" w:color="auto"/>
              <w:bottom w:val="single" w:sz="4" w:space="0" w:color="auto"/>
            </w:tcBorders>
            <w:hideMark/>
          </w:tcPr>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 xml:space="preserve">   Prize </w:t>
            </w:r>
          </w:p>
          <w:p w:rsidR="00814BD2" w:rsidRPr="007330EA" w:rsidRDefault="00814BD2" w:rsidP="00966F14">
            <w:pPr>
              <w:suppressAutoHyphens/>
              <w:snapToGrid w:val="0"/>
              <w:spacing w:after="0" w:line="240" w:lineRule="auto"/>
              <w:jc w:val="center"/>
              <w:rPr>
                <w:rFonts w:ascii="Arial Narrow" w:eastAsia="Times New Roman" w:hAnsi="Arial Narrow" w:cs="Arial"/>
                <w:b/>
                <w:sz w:val="16"/>
                <w:szCs w:val="16"/>
                <w:lang w:eastAsia="ar-SA"/>
              </w:rPr>
            </w:pPr>
            <w:r w:rsidRPr="007330EA">
              <w:rPr>
                <w:rFonts w:ascii="Arial Narrow" w:eastAsia="Times New Roman" w:hAnsi="Arial Narrow" w:cs="Arial"/>
                <w:b/>
                <w:sz w:val="16"/>
                <w:szCs w:val="16"/>
                <w:lang w:eastAsia="ar-SA"/>
              </w:rPr>
              <w:t xml:space="preserve">   Fund</w:t>
            </w:r>
          </w:p>
        </w:tc>
      </w:tr>
      <w:tr w:rsidR="00F423AE" w:rsidRPr="007330EA" w:rsidTr="00C46188">
        <w:trPr>
          <w:cantSplit/>
          <w:trHeight w:val="20"/>
        </w:trPr>
        <w:tc>
          <w:tcPr>
            <w:tcW w:w="3119" w:type="dxa"/>
            <w:tcBorders>
              <w:top w:val="single" w:sz="4" w:space="0" w:color="auto"/>
            </w:tcBorders>
            <w:hideMark/>
          </w:tcPr>
          <w:p w:rsidR="00F423AE" w:rsidRPr="007330EA" w:rsidRDefault="00F423AE" w:rsidP="00966F14">
            <w:pPr>
              <w:spacing w:after="0" w:line="240" w:lineRule="auto"/>
              <w:rPr>
                <w:rFonts w:ascii="Arial Narrow" w:hAnsi="Arial Narrow" w:cs="Arial"/>
                <w:sz w:val="16"/>
                <w:szCs w:val="16"/>
                <w:lang w:val="en-PH" w:eastAsia="en-PH"/>
              </w:rPr>
            </w:pPr>
            <w:r w:rsidRPr="007330EA">
              <w:rPr>
                <w:rFonts w:ascii="Arial Narrow" w:hAnsi="Arial Narrow" w:cs="Arial"/>
                <w:sz w:val="16"/>
                <w:szCs w:val="16"/>
              </w:rPr>
              <w:t>Net Receipts Allocation</w:t>
            </w:r>
          </w:p>
        </w:tc>
        <w:tc>
          <w:tcPr>
            <w:tcW w:w="850"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lang w:val="en-PH" w:eastAsia="en-PH"/>
              </w:rPr>
            </w:pPr>
            <w:r w:rsidRPr="007330EA">
              <w:rPr>
                <w:rFonts w:ascii="Arial Narrow" w:hAnsi="Arial Narrow"/>
                <w:sz w:val="16"/>
                <w:szCs w:val="16"/>
              </w:rPr>
              <w:t>7,791,8</w:t>
            </w:r>
            <w:r w:rsidR="00071B88" w:rsidRPr="007330EA">
              <w:rPr>
                <w:rFonts w:ascii="Arial Narrow" w:hAnsi="Arial Narrow"/>
                <w:sz w:val="16"/>
                <w:szCs w:val="16"/>
              </w:rPr>
              <w:t>39</w:t>
            </w:r>
          </w:p>
        </w:tc>
        <w:tc>
          <w:tcPr>
            <w:tcW w:w="993"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15,583,679</w:t>
            </w:r>
          </w:p>
        </w:tc>
        <w:tc>
          <w:tcPr>
            <w:tcW w:w="992"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28,570,077</w:t>
            </w:r>
          </w:p>
        </w:tc>
        <w:tc>
          <w:tcPr>
            <w:tcW w:w="992"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lang w:val="en-PH" w:eastAsia="en-PH"/>
              </w:rPr>
            </w:pPr>
            <w:r w:rsidRPr="007330EA">
              <w:rPr>
                <w:rFonts w:ascii="Arial Narrow" w:hAnsi="Arial Narrow"/>
                <w:sz w:val="16"/>
                <w:szCs w:val="16"/>
              </w:rPr>
              <w:t>5,815,938</w:t>
            </w:r>
          </w:p>
        </w:tc>
        <w:tc>
          <w:tcPr>
            <w:tcW w:w="992"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11,631,877</w:t>
            </w:r>
          </w:p>
        </w:tc>
        <w:tc>
          <w:tcPr>
            <w:tcW w:w="993"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21,325,107</w:t>
            </w:r>
          </w:p>
        </w:tc>
      </w:tr>
      <w:tr w:rsidR="00F423AE" w:rsidRPr="007330EA" w:rsidTr="00CC0833">
        <w:trPr>
          <w:cantSplit/>
          <w:trHeight w:val="20"/>
        </w:trPr>
        <w:tc>
          <w:tcPr>
            <w:tcW w:w="3119" w:type="dxa"/>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Rental and Maintenance of Equipment</w:t>
            </w:r>
          </w:p>
        </w:tc>
        <w:tc>
          <w:tcPr>
            <w:tcW w:w="850" w:type="dxa"/>
            <w:vAlign w:val="center"/>
          </w:tcPr>
          <w:p w:rsidR="00F423AE" w:rsidRPr="007330EA" w:rsidRDefault="00F423AE" w:rsidP="00966F14">
            <w:pPr>
              <w:spacing w:after="0" w:line="240" w:lineRule="auto"/>
              <w:jc w:val="right"/>
              <w:rPr>
                <w:rFonts w:ascii="Arial Narrow" w:hAnsi="Arial Narrow" w:cs="Arial"/>
                <w:sz w:val="16"/>
                <w:szCs w:val="16"/>
              </w:rPr>
            </w:pPr>
          </w:p>
        </w:tc>
        <w:tc>
          <w:tcPr>
            <w:tcW w:w="993"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1,178,371</w:t>
            </w:r>
          </w:p>
        </w:tc>
        <w:tc>
          <w:tcPr>
            <w:tcW w:w="992"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2,160,346</w:t>
            </w:r>
          </w:p>
        </w:tc>
        <w:tc>
          <w:tcPr>
            <w:tcW w:w="992" w:type="dxa"/>
            <w:vAlign w:val="center"/>
          </w:tcPr>
          <w:p w:rsidR="00F423AE" w:rsidRPr="007330EA" w:rsidRDefault="00F423AE" w:rsidP="00966F14">
            <w:pPr>
              <w:spacing w:after="0" w:line="240" w:lineRule="auto"/>
              <w:jc w:val="right"/>
              <w:rPr>
                <w:rFonts w:ascii="Arial Narrow" w:hAnsi="Arial Narrow" w:cs="Arial"/>
                <w:sz w:val="16"/>
                <w:szCs w:val="16"/>
              </w:rPr>
            </w:pPr>
          </w:p>
        </w:tc>
        <w:tc>
          <w:tcPr>
            <w:tcW w:w="992"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1,048,756</w:t>
            </w:r>
          </w:p>
        </w:tc>
        <w:tc>
          <w:tcPr>
            <w:tcW w:w="993"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1,922,617</w:t>
            </w:r>
          </w:p>
        </w:tc>
      </w:tr>
      <w:tr w:rsidR="00F423AE" w:rsidRPr="007330EA" w:rsidTr="00CC0833">
        <w:trPr>
          <w:cantSplit/>
          <w:trHeight w:val="20"/>
        </w:trPr>
        <w:tc>
          <w:tcPr>
            <w:tcW w:w="3119" w:type="dxa"/>
            <w:tcBorders>
              <w:bottom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Commission Expense</w:t>
            </w:r>
          </w:p>
        </w:tc>
        <w:tc>
          <w:tcPr>
            <w:tcW w:w="850"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p>
        </w:tc>
        <w:tc>
          <w:tcPr>
            <w:tcW w:w="993"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p>
        </w:tc>
        <w:tc>
          <w:tcPr>
            <w:tcW w:w="992"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3,773,764</w:t>
            </w:r>
          </w:p>
        </w:tc>
        <w:tc>
          <w:tcPr>
            <w:tcW w:w="992"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p>
        </w:tc>
        <w:tc>
          <w:tcPr>
            <w:tcW w:w="992"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p>
        </w:tc>
        <w:tc>
          <w:tcPr>
            <w:tcW w:w="993"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2,607,249</w:t>
            </w:r>
          </w:p>
        </w:tc>
      </w:tr>
      <w:tr w:rsidR="00F423AE" w:rsidRPr="007330EA" w:rsidTr="00CC0833">
        <w:trPr>
          <w:cantSplit/>
          <w:trHeight w:val="20"/>
        </w:trPr>
        <w:tc>
          <w:tcPr>
            <w:tcW w:w="3119" w:type="dxa"/>
            <w:tcBorders>
              <w:top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Net Fund</w:t>
            </w:r>
          </w:p>
        </w:tc>
        <w:tc>
          <w:tcPr>
            <w:tcW w:w="850"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7,791,8</w:t>
            </w:r>
            <w:r w:rsidR="00071B88" w:rsidRPr="007330EA">
              <w:rPr>
                <w:rFonts w:ascii="Arial Narrow" w:hAnsi="Arial Narrow"/>
                <w:sz w:val="16"/>
                <w:szCs w:val="16"/>
              </w:rPr>
              <w:t>39</w:t>
            </w:r>
          </w:p>
        </w:tc>
        <w:tc>
          <w:tcPr>
            <w:tcW w:w="993"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14,405,308</w:t>
            </w:r>
          </w:p>
        </w:tc>
        <w:tc>
          <w:tcPr>
            <w:tcW w:w="992"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22,635,967</w:t>
            </w:r>
          </w:p>
        </w:tc>
        <w:tc>
          <w:tcPr>
            <w:tcW w:w="992"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5,815,938</w:t>
            </w:r>
          </w:p>
        </w:tc>
        <w:tc>
          <w:tcPr>
            <w:tcW w:w="992"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10,583,121</w:t>
            </w:r>
          </w:p>
        </w:tc>
        <w:tc>
          <w:tcPr>
            <w:tcW w:w="993"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16,795,241</w:t>
            </w:r>
          </w:p>
        </w:tc>
      </w:tr>
      <w:tr w:rsidR="00F423AE" w:rsidRPr="007330EA" w:rsidTr="00CC0833">
        <w:trPr>
          <w:cantSplit/>
          <w:trHeight w:val="80"/>
        </w:trPr>
        <w:tc>
          <w:tcPr>
            <w:tcW w:w="3119" w:type="dxa"/>
            <w:tcBorders>
              <w:bottom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Other Income</w:t>
            </w:r>
          </w:p>
        </w:tc>
        <w:tc>
          <w:tcPr>
            <w:tcW w:w="850"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1,875,209</w:t>
            </w:r>
          </w:p>
        </w:tc>
        <w:tc>
          <w:tcPr>
            <w:tcW w:w="993"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295,053</w:t>
            </w:r>
          </w:p>
        </w:tc>
        <w:tc>
          <w:tcPr>
            <w:tcW w:w="992" w:type="dxa"/>
            <w:tcBorders>
              <w:bottom w:val="single" w:sz="4" w:space="0" w:color="auto"/>
            </w:tcBorders>
            <w:shd w:val="clear" w:color="auto" w:fill="auto"/>
            <w:vAlign w:val="center"/>
          </w:tcPr>
          <w:p w:rsidR="00F423AE" w:rsidRPr="007330EA" w:rsidRDefault="0009576A" w:rsidP="00966F14">
            <w:pPr>
              <w:spacing w:after="0" w:line="240" w:lineRule="auto"/>
              <w:jc w:val="right"/>
              <w:rPr>
                <w:rFonts w:ascii="Arial Narrow" w:hAnsi="Arial Narrow" w:cs="Arial"/>
                <w:sz w:val="16"/>
                <w:szCs w:val="16"/>
              </w:rPr>
            </w:pPr>
            <w:r w:rsidRPr="007330EA">
              <w:rPr>
                <w:rFonts w:ascii="Arial Narrow" w:hAnsi="Arial Narrow"/>
                <w:sz w:val="16"/>
                <w:szCs w:val="16"/>
              </w:rPr>
              <w:t>0</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878,772</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699,069</w:t>
            </w:r>
          </w:p>
        </w:tc>
        <w:tc>
          <w:tcPr>
            <w:tcW w:w="993" w:type="dxa"/>
            <w:tcBorders>
              <w:bottom w:val="single" w:sz="4" w:space="0" w:color="auto"/>
            </w:tcBorders>
            <w:shd w:val="clear" w:color="auto" w:fill="auto"/>
            <w:vAlign w:val="center"/>
          </w:tcPr>
          <w:p w:rsidR="00F423AE" w:rsidRPr="007330EA" w:rsidRDefault="0009576A" w:rsidP="00966F14">
            <w:pPr>
              <w:spacing w:after="0" w:line="240" w:lineRule="auto"/>
              <w:jc w:val="right"/>
              <w:rPr>
                <w:rFonts w:ascii="Arial Narrow" w:eastAsia="Times New Roman" w:hAnsi="Arial Narrow"/>
                <w:sz w:val="16"/>
                <w:szCs w:val="16"/>
              </w:rPr>
            </w:pPr>
            <w:r w:rsidRPr="007330EA">
              <w:rPr>
                <w:rFonts w:ascii="Arial Narrow" w:hAnsi="Arial Narrow"/>
                <w:sz w:val="16"/>
                <w:szCs w:val="16"/>
              </w:rPr>
              <w:t>0</w:t>
            </w:r>
          </w:p>
        </w:tc>
      </w:tr>
      <w:tr w:rsidR="00F423AE" w:rsidRPr="007330EA" w:rsidTr="00CC0833">
        <w:trPr>
          <w:cantSplit/>
          <w:trHeight w:val="20"/>
        </w:trPr>
        <w:tc>
          <w:tcPr>
            <w:tcW w:w="3119" w:type="dxa"/>
            <w:tcBorders>
              <w:top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Net Fund, including Other  Income</w:t>
            </w:r>
          </w:p>
        </w:tc>
        <w:tc>
          <w:tcPr>
            <w:tcW w:w="850"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9,667,04</w:t>
            </w:r>
            <w:r w:rsidR="00071B88" w:rsidRPr="007330EA">
              <w:rPr>
                <w:rFonts w:ascii="Arial Narrow" w:hAnsi="Arial Narrow"/>
                <w:sz w:val="16"/>
                <w:szCs w:val="16"/>
              </w:rPr>
              <w:t>8</w:t>
            </w:r>
          </w:p>
        </w:tc>
        <w:tc>
          <w:tcPr>
            <w:tcW w:w="993"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14,700,361</w:t>
            </w:r>
          </w:p>
        </w:tc>
        <w:tc>
          <w:tcPr>
            <w:tcW w:w="992"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22,635,967</w:t>
            </w:r>
          </w:p>
        </w:tc>
        <w:tc>
          <w:tcPr>
            <w:tcW w:w="992"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6,694,710</w:t>
            </w:r>
          </w:p>
        </w:tc>
        <w:tc>
          <w:tcPr>
            <w:tcW w:w="992"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11,282,190</w:t>
            </w:r>
          </w:p>
        </w:tc>
        <w:tc>
          <w:tcPr>
            <w:tcW w:w="993"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16,795,241</w:t>
            </w:r>
          </w:p>
        </w:tc>
      </w:tr>
      <w:tr w:rsidR="00F423AE" w:rsidRPr="007330EA" w:rsidTr="00CC0833">
        <w:trPr>
          <w:cantSplit/>
          <w:trHeight w:val="153"/>
        </w:trPr>
        <w:tc>
          <w:tcPr>
            <w:tcW w:w="3119" w:type="dxa"/>
            <w:tcBorders>
              <w:bottom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Total Fund Expenses</w:t>
            </w:r>
          </w:p>
        </w:tc>
        <w:tc>
          <w:tcPr>
            <w:tcW w:w="850"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4,642,668</w:t>
            </w:r>
          </w:p>
        </w:tc>
        <w:tc>
          <w:tcPr>
            <w:tcW w:w="993"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18,017,941</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23,380,34</w:t>
            </w:r>
            <w:r w:rsidR="0009576A" w:rsidRPr="007330EA">
              <w:rPr>
                <w:rFonts w:ascii="Arial Narrow" w:hAnsi="Arial Narrow"/>
                <w:sz w:val="16"/>
                <w:szCs w:val="16"/>
              </w:rPr>
              <w:t>3</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3,659,370</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13,389,520</w:t>
            </w:r>
          </w:p>
        </w:tc>
        <w:tc>
          <w:tcPr>
            <w:tcW w:w="993"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16,742,688</w:t>
            </w:r>
          </w:p>
        </w:tc>
      </w:tr>
      <w:tr w:rsidR="00F423AE" w:rsidRPr="007330EA" w:rsidTr="00071B88">
        <w:trPr>
          <w:cantSplit/>
          <w:trHeight w:val="153"/>
        </w:trPr>
        <w:tc>
          <w:tcPr>
            <w:tcW w:w="3119" w:type="dxa"/>
            <w:tcBorders>
              <w:top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Net Fund before Other Financial Income (Charges)</w:t>
            </w:r>
          </w:p>
        </w:tc>
        <w:tc>
          <w:tcPr>
            <w:tcW w:w="850" w:type="dxa"/>
            <w:tcBorders>
              <w:top w:val="single" w:sz="4" w:space="0" w:color="auto"/>
            </w:tcBorders>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5,024,38</w:t>
            </w:r>
            <w:r w:rsidR="00071B88" w:rsidRPr="007330EA">
              <w:rPr>
                <w:rFonts w:ascii="Arial Narrow" w:hAnsi="Arial Narrow"/>
                <w:sz w:val="16"/>
                <w:szCs w:val="16"/>
              </w:rPr>
              <w:t>0</w:t>
            </w:r>
          </w:p>
        </w:tc>
        <w:tc>
          <w:tcPr>
            <w:tcW w:w="993" w:type="dxa"/>
            <w:tcBorders>
              <w:top w:val="single" w:sz="4" w:space="0" w:color="auto"/>
            </w:tcBorders>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(3,317,580)</w:t>
            </w:r>
          </w:p>
        </w:tc>
        <w:tc>
          <w:tcPr>
            <w:tcW w:w="992" w:type="dxa"/>
            <w:tcBorders>
              <w:top w:val="single" w:sz="4" w:space="0" w:color="auto"/>
            </w:tcBorders>
            <w:shd w:val="clear" w:color="auto" w:fill="auto"/>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(744,37</w:t>
            </w:r>
            <w:r w:rsidR="0009576A" w:rsidRPr="007330EA">
              <w:rPr>
                <w:rFonts w:ascii="Arial Narrow" w:hAnsi="Arial Narrow"/>
                <w:sz w:val="16"/>
                <w:szCs w:val="16"/>
              </w:rPr>
              <w:t>6</w:t>
            </w:r>
            <w:r w:rsidRPr="007330EA">
              <w:rPr>
                <w:rFonts w:ascii="Arial Narrow" w:hAnsi="Arial Narrow"/>
                <w:sz w:val="16"/>
                <w:szCs w:val="16"/>
              </w:rPr>
              <w:t>)</w:t>
            </w:r>
          </w:p>
        </w:tc>
        <w:tc>
          <w:tcPr>
            <w:tcW w:w="992" w:type="dxa"/>
            <w:tcBorders>
              <w:top w:val="single" w:sz="4" w:space="0" w:color="auto"/>
            </w:tcBorders>
            <w:shd w:val="clear" w:color="auto" w:fill="auto"/>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3,035,340</w:t>
            </w:r>
          </w:p>
        </w:tc>
        <w:tc>
          <w:tcPr>
            <w:tcW w:w="992" w:type="dxa"/>
            <w:tcBorders>
              <w:top w:val="single" w:sz="4" w:space="0" w:color="auto"/>
            </w:tcBorders>
            <w:shd w:val="clear" w:color="auto" w:fill="auto"/>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(2,107,330)</w:t>
            </w:r>
          </w:p>
        </w:tc>
        <w:tc>
          <w:tcPr>
            <w:tcW w:w="993" w:type="dxa"/>
            <w:tcBorders>
              <w:top w:val="single" w:sz="4" w:space="0" w:color="auto"/>
            </w:tcBorders>
            <w:shd w:val="clear" w:color="auto" w:fill="auto"/>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52,553</w:t>
            </w:r>
          </w:p>
        </w:tc>
      </w:tr>
      <w:tr w:rsidR="00F423AE" w:rsidRPr="007330EA" w:rsidTr="00CC0833">
        <w:trPr>
          <w:cantSplit/>
          <w:trHeight w:val="207"/>
        </w:trPr>
        <w:tc>
          <w:tcPr>
            <w:tcW w:w="3119" w:type="dxa"/>
            <w:tcBorders>
              <w:bottom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Other Financial Income (Charges)</w:t>
            </w:r>
          </w:p>
        </w:tc>
        <w:tc>
          <w:tcPr>
            <w:tcW w:w="850"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46,198</w:t>
            </w:r>
          </w:p>
        </w:tc>
        <w:tc>
          <w:tcPr>
            <w:tcW w:w="993"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64,418</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2,802</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59,587</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112,280</w:t>
            </w:r>
          </w:p>
        </w:tc>
        <w:tc>
          <w:tcPr>
            <w:tcW w:w="993"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5,298</w:t>
            </w:r>
          </w:p>
        </w:tc>
      </w:tr>
      <w:tr w:rsidR="00F423AE" w:rsidRPr="007330EA" w:rsidTr="00CC0833">
        <w:trPr>
          <w:cantSplit/>
          <w:trHeight w:val="207"/>
        </w:trPr>
        <w:tc>
          <w:tcPr>
            <w:tcW w:w="3119" w:type="dxa"/>
            <w:tcBorders>
              <w:top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Unutilized Fund for the  Year</w:t>
            </w:r>
          </w:p>
        </w:tc>
        <w:tc>
          <w:tcPr>
            <w:tcW w:w="850"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5,070,57</w:t>
            </w:r>
            <w:r w:rsidR="006A2085" w:rsidRPr="007330EA">
              <w:rPr>
                <w:rFonts w:ascii="Arial Narrow" w:hAnsi="Arial Narrow"/>
                <w:sz w:val="16"/>
                <w:szCs w:val="16"/>
              </w:rPr>
              <w:t>8</w:t>
            </w:r>
          </w:p>
        </w:tc>
        <w:tc>
          <w:tcPr>
            <w:tcW w:w="993" w:type="dxa"/>
            <w:tcBorders>
              <w:top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(3,253,162)</w:t>
            </w:r>
          </w:p>
        </w:tc>
        <w:tc>
          <w:tcPr>
            <w:tcW w:w="992"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(741,57</w:t>
            </w:r>
            <w:r w:rsidR="0009576A" w:rsidRPr="007330EA">
              <w:rPr>
                <w:rFonts w:ascii="Arial Narrow" w:hAnsi="Arial Narrow"/>
                <w:sz w:val="16"/>
                <w:szCs w:val="16"/>
              </w:rPr>
              <w:t>4</w:t>
            </w:r>
            <w:r w:rsidRPr="007330EA">
              <w:rPr>
                <w:rFonts w:ascii="Arial Narrow" w:hAnsi="Arial Narrow"/>
                <w:sz w:val="16"/>
                <w:szCs w:val="16"/>
              </w:rPr>
              <w:t>)</w:t>
            </w:r>
          </w:p>
        </w:tc>
        <w:tc>
          <w:tcPr>
            <w:tcW w:w="992"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3,094,927</w:t>
            </w:r>
          </w:p>
        </w:tc>
        <w:tc>
          <w:tcPr>
            <w:tcW w:w="992"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(1,995,050)</w:t>
            </w:r>
          </w:p>
        </w:tc>
        <w:tc>
          <w:tcPr>
            <w:tcW w:w="993" w:type="dxa"/>
            <w:tcBorders>
              <w:top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57,851</w:t>
            </w:r>
          </w:p>
        </w:tc>
      </w:tr>
      <w:tr w:rsidR="00F423AE" w:rsidRPr="007330EA" w:rsidTr="00C46188">
        <w:trPr>
          <w:cantSplit/>
          <w:trHeight w:val="162"/>
        </w:trPr>
        <w:tc>
          <w:tcPr>
            <w:tcW w:w="3119" w:type="dxa"/>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Fund, Beg of the Year</w:t>
            </w:r>
          </w:p>
        </w:tc>
        <w:tc>
          <w:tcPr>
            <w:tcW w:w="850" w:type="dxa"/>
            <w:vAlign w:val="center"/>
          </w:tcPr>
          <w:p w:rsidR="00F423AE" w:rsidRPr="007330EA" w:rsidRDefault="00F423AE" w:rsidP="00966F14">
            <w:pPr>
              <w:spacing w:after="0" w:line="240" w:lineRule="auto"/>
              <w:jc w:val="right"/>
              <w:rPr>
                <w:rFonts w:ascii="Arial Narrow" w:hAnsi="Arial Narrow" w:cs="Arial"/>
                <w:sz w:val="16"/>
                <w:szCs w:val="16"/>
              </w:rPr>
            </w:pPr>
          </w:p>
        </w:tc>
        <w:tc>
          <w:tcPr>
            <w:tcW w:w="993"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2,686,998</w:t>
            </w:r>
          </w:p>
        </w:tc>
        <w:tc>
          <w:tcPr>
            <w:tcW w:w="992"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2,061,143</w:t>
            </w:r>
          </w:p>
        </w:tc>
        <w:tc>
          <w:tcPr>
            <w:tcW w:w="992" w:type="dxa"/>
            <w:vAlign w:val="center"/>
          </w:tcPr>
          <w:p w:rsidR="00F423AE" w:rsidRPr="007330EA" w:rsidRDefault="00F423AE" w:rsidP="00966F14">
            <w:pPr>
              <w:spacing w:after="0" w:line="240" w:lineRule="auto"/>
              <w:jc w:val="right"/>
              <w:rPr>
                <w:rFonts w:ascii="Arial Narrow" w:hAnsi="Arial Narrow" w:cs="Arial"/>
                <w:sz w:val="16"/>
                <w:szCs w:val="16"/>
              </w:rPr>
            </w:pPr>
          </w:p>
        </w:tc>
        <w:tc>
          <w:tcPr>
            <w:tcW w:w="992"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3,177,048</w:t>
            </w:r>
          </w:p>
        </w:tc>
        <w:tc>
          <w:tcPr>
            <w:tcW w:w="993" w:type="dxa"/>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2,566,473</w:t>
            </w:r>
          </w:p>
        </w:tc>
      </w:tr>
      <w:tr w:rsidR="00F423AE" w:rsidRPr="007330EA" w:rsidTr="00CC0833">
        <w:trPr>
          <w:cantSplit/>
          <w:trHeight w:val="180"/>
        </w:trPr>
        <w:tc>
          <w:tcPr>
            <w:tcW w:w="3119" w:type="dxa"/>
            <w:tcBorders>
              <w:bottom w:val="single" w:sz="4" w:space="0" w:color="auto"/>
            </w:tcBorders>
            <w:hideMark/>
          </w:tcPr>
          <w:p w:rsidR="00F423AE" w:rsidRPr="007330EA" w:rsidRDefault="00F423AE" w:rsidP="00966F14">
            <w:pPr>
              <w:spacing w:after="0" w:line="240" w:lineRule="auto"/>
              <w:rPr>
                <w:rFonts w:ascii="Arial Narrow" w:hAnsi="Arial Narrow" w:cs="Arial"/>
                <w:sz w:val="16"/>
                <w:szCs w:val="16"/>
              </w:rPr>
            </w:pPr>
            <w:r w:rsidRPr="007330EA">
              <w:rPr>
                <w:rFonts w:ascii="Arial Narrow" w:hAnsi="Arial Narrow" w:cs="Arial"/>
                <w:sz w:val="16"/>
                <w:szCs w:val="16"/>
              </w:rPr>
              <w:t xml:space="preserve">Adjustments </w:t>
            </w:r>
          </w:p>
        </w:tc>
        <w:tc>
          <w:tcPr>
            <w:tcW w:w="850"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 </w:t>
            </w:r>
          </w:p>
        </w:tc>
        <w:tc>
          <w:tcPr>
            <w:tcW w:w="993" w:type="dxa"/>
            <w:tcBorders>
              <w:bottom w:val="single" w:sz="4" w:space="0" w:color="auto"/>
            </w:tcBorders>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1,500,000</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(279,613)</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 </w:t>
            </w:r>
          </w:p>
        </w:tc>
        <w:tc>
          <w:tcPr>
            <w:tcW w:w="992"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1,505,000</w:t>
            </w:r>
          </w:p>
        </w:tc>
        <w:tc>
          <w:tcPr>
            <w:tcW w:w="993" w:type="dxa"/>
            <w:tcBorders>
              <w:bottom w:val="sing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sz w:val="16"/>
                <w:szCs w:val="16"/>
              </w:rPr>
            </w:pPr>
            <w:r w:rsidRPr="007330EA">
              <w:rPr>
                <w:rFonts w:ascii="Arial Narrow" w:hAnsi="Arial Narrow"/>
                <w:sz w:val="16"/>
                <w:szCs w:val="16"/>
              </w:rPr>
              <w:t>(563,181)</w:t>
            </w:r>
          </w:p>
        </w:tc>
      </w:tr>
      <w:tr w:rsidR="00F423AE" w:rsidRPr="007330EA" w:rsidTr="00CC0833">
        <w:trPr>
          <w:cantSplit/>
          <w:trHeight w:val="20"/>
        </w:trPr>
        <w:tc>
          <w:tcPr>
            <w:tcW w:w="3119" w:type="dxa"/>
            <w:tcBorders>
              <w:top w:val="single" w:sz="4" w:space="0" w:color="auto"/>
              <w:bottom w:val="double" w:sz="4" w:space="0" w:color="auto"/>
            </w:tcBorders>
            <w:hideMark/>
          </w:tcPr>
          <w:p w:rsidR="00F423AE" w:rsidRPr="007330EA" w:rsidRDefault="00F423AE" w:rsidP="00966F14">
            <w:pPr>
              <w:spacing w:after="0" w:line="240" w:lineRule="auto"/>
              <w:rPr>
                <w:rFonts w:ascii="Arial Narrow" w:hAnsi="Arial Narrow" w:cs="Arial"/>
                <w:b/>
                <w:sz w:val="16"/>
                <w:szCs w:val="16"/>
              </w:rPr>
            </w:pPr>
            <w:r w:rsidRPr="007330EA">
              <w:rPr>
                <w:rFonts w:ascii="Arial Narrow" w:hAnsi="Arial Narrow" w:cs="Arial"/>
                <w:b/>
                <w:sz w:val="16"/>
                <w:szCs w:val="16"/>
              </w:rPr>
              <w:t>Fund, End of the Year</w:t>
            </w:r>
          </w:p>
        </w:tc>
        <w:tc>
          <w:tcPr>
            <w:tcW w:w="850" w:type="dxa"/>
            <w:tcBorders>
              <w:top w:val="single" w:sz="4" w:space="0" w:color="auto"/>
              <w:bottom w:val="doub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b/>
                <w:sz w:val="16"/>
                <w:szCs w:val="16"/>
              </w:rPr>
            </w:pPr>
            <w:r w:rsidRPr="007330EA">
              <w:rPr>
                <w:rFonts w:ascii="Arial Narrow" w:hAnsi="Arial Narrow"/>
                <w:b/>
                <w:sz w:val="16"/>
                <w:szCs w:val="16"/>
              </w:rPr>
              <w:t>5,070,57</w:t>
            </w:r>
            <w:r w:rsidR="006A2085" w:rsidRPr="007330EA">
              <w:rPr>
                <w:rFonts w:ascii="Arial Narrow" w:hAnsi="Arial Narrow"/>
                <w:b/>
                <w:sz w:val="16"/>
                <w:szCs w:val="16"/>
              </w:rPr>
              <w:t>8</w:t>
            </w:r>
          </w:p>
        </w:tc>
        <w:tc>
          <w:tcPr>
            <w:tcW w:w="993" w:type="dxa"/>
            <w:tcBorders>
              <w:top w:val="single" w:sz="4" w:space="0" w:color="auto"/>
              <w:bottom w:val="double" w:sz="4" w:space="0" w:color="auto"/>
            </w:tcBorders>
            <w:vAlign w:val="center"/>
          </w:tcPr>
          <w:p w:rsidR="00F423AE" w:rsidRPr="007330EA" w:rsidRDefault="00F423AE" w:rsidP="00966F14">
            <w:pPr>
              <w:spacing w:after="0" w:line="240" w:lineRule="auto"/>
              <w:jc w:val="right"/>
              <w:rPr>
                <w:rFonts w:ascii="Arial Narrow" w:hAnsi="Arial Narrow" w:cs="Arial"/>
                <w:b/>
                <w:sz w:val="16"/>
                <w:szCs w:val="16"/>
              </w:rPr>
            </w:pPr>
            <w:r w:rsidRPr="007330EA">
              <w:rPr>
                <w:rFonts w:ascii="Arial Narrow" w:hAnsi="Arial Narrow"/>
                <w:b/>
                <w:sz w:val="16"/>
                <w:szCs w:val="16"/>
              </w:rPr>
              <w:t>933,836</w:t>
            </w:r>
          </w:p>
        </w:tc>
        <w:tc>
          <w:tcPr>
            <w:tcW w:w="992" w:type="dxa"/>
            <w:tcBorders>
              <w:top w:val="single" w:sz="4" w:space="0" w:color="auto"/>
              <w:bottom w:val="doub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b/>
                <w:sz w:val="16"/>
                <w:szCs w:val="16"/>
              </w:rPr>
            </w:pPr>
            <w:r w:rsidRPr="007330EA">
              <w:rPr>
                <w:rFonts w:ascii="Arial Narrow" w:hAnsi="Arial Narrow"/>
                <w:b/>
                <w:sz w:val="16"/>
                <w:szCs w:val="16"/>
              </w:rPr>
              <w:t>1,039,95</w:t>
            </w:r>
            <w:r w:rsidR="0009576A" w:rsidRPr="007330EA">
              <w:rPr>
                <w:rFonts w:ascii="Arial Narrow" w:hAnsi="Arial Narrow"/>
                <w:b/>
                <w:sz w:val="16"/>
                <w:szCs w:val="16"/>
              </w:rPr>
              <w:t>6</w:t>
            </w:r>
          </w:p>
        </w:tc>
        <w:tc>
          <w:tcPr>
            <w:tcW w:w="992" w:type="dxa"/>
            <w:tcBorders>
              <w:top w:val="single" w:sz="4" w:space="0" w:color="auto"/>
              <w:bottom w:val="doub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b/>
                <w:sz w:val="16"/>
                <w:szCs w:val="16"/>
              </w:rPr>
            </w:pPr>
            <w:r w:rsidRPr="007330EA">
              <w:rPr>
                <w:rFonts w:ascii="Arial Narrow" w:hAnsi="Arial Narrow"/>
                <w:b/>
                <w:sz w:val="16"/>
                <w:szCs w:val="16"/>
              </w:rPr>
              <w:t>3,094,927</w:t>
            </w:r>
          </w:p>
        </w:tc>
        <w:tc>
          <w:tcPr>
            <w:tcW w:w="992" w:type="dxa"/>
            <w:tcBorders>
              <w:top w:val="single" w:sz="4" w:space="0" w:color="auto"/>
              <w:bottom w:val="doub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b/>
                <w:sz w:val="16"/>
                <w:szCs w:val="16"/>
              </w:rPr>
            </w:pPr>
            <w:r w:rsidRPr="007330EA">
              <w:rPr>
                <w:rFonts w:ascii="Arial Narrow" w:hAnsi="Arial Narrow"/>
                <w:b/>
                <w:sz w:val="16"/>
                <w:szCs w:val="16"/>
              </w:rPr>
              <w:t>2,686,998</w:t>
            </w:r>
          </w:p>
        </w:tc>
        <w:tc>
          <w:tcPr>
            <w:tcW w:w="993" w:type="dxa"/>
            <w:tcBorders>
              <w:top w:val="single" w:sz="4" w:space="0" w:color="auto"/>
              <w:bottom w:val="double" w:sz="4" w:space="0" w:color="auto"/>
            </w:tcBorders>
            <w:shd w:val="clear" w:color="auto" w:fill="auto"/>
            <w:vAlign w:val="center"/>
          </w:tcPr>
          <w:p w:rsidR="00F423AE" w:rsidRPr="007330EA" w:rsidRDefault="00F423AE" w:rsidP="00966F14">
            <w:pPr>
              <w:spacing w:after="0" w:line="240" w:lineRule="auto"/>
              <w:jc w:val="right"/>
              <w:rPr>
                <w:rFonts w:ascii="Arial Narrow" w:hAnsi="Arial Narrow" w:cs="Arial"/>
                <w:b/>
                <w:sz w:val="16"/>
                <w:szCs w:val="16"/>
              </w:rPr>
            </w:pPr>
            <w:r w:rsidRPr="007330EA">
              <w:rPr>
                <w:rFonts w:ascii="Arial Narrow" w:hAnsi="Arial Narrow"/>
                <w:b/>
                <w:sz w:val="16"/>
                <w:szCs w:val="16"/>
              </w:rPr>
              <w:t>2,061,143</w:t>
            </w:r>
          </w:p>
        </w:tc>
      </w:tr>
    </w:tbl>
    <w:p w:rsidR="004A3362" w:rsidRDefault="004A3362" w:rsidP="00966F14">
      <w:pPr>
        <w:spacing w:after="0" w:line="240" w:lineRule="auto"/>
        <w:rPr>
          <w:rFonts w:ascii="Arial" w:hAnsi="Arial" w:cs="Arial"/>
          <w:b/>
        </w:rPr>
      </w:pPr>
    </w:p>
    <w:p w:rsidR="00E72FAE" w:rsidRPr="00E72FAE" w:rsidRDefault="00E72FAE" w:rsidP="00966F14">
      <w:pPr>
        <w:numPr>
          <w:ilvl w:val="0"/>
          <w:numId w:val="20"/>
        </w:numPr>
        <w:spacing w:after="0" w:line="240" w:lineRule="auto"/>
        <w:ind w:left="360" w:hanging="360"/>
        <w:rPr>
          <w:rFonts w:ascii="Arial" w:hAnsi="Arial" w:cs="Arial"/>
          <w:b/>
        </w:rPr>
      </w:pPr>
      <w:r>
        <w:rPr>
          <w:rFonts w:ascii="Arial" w:hAnsi="Arial" w:cs="Arial"/>
        </w:rPr>
        <w:t xml:space="preserve">Budget and Actual Expenses </w:t>
      </w:r>
      <w:r w:rsidRPr="0033067C">
        <w:rPr>
          <w:rFonts w:ascii="Arial" w:hAnsi="Arial" w:cs="Arial"/>
        </w:rPr>
        <w:t>(in thousand pesos):</w:t>
      </w:r>
    </w:p>
    <w:tbl>
      <w:tblPr>
        <w:tblW w:w="8982" w:type="dxa"/>
        <w:tblInd w:w="108" w:type="dxa"/>
        <w:tblLayout w:type="fixed"/>
        <w:tblLook w:val="04A0" w:firstRow="1" w:lastRow="0" w:firstColumn="1" w:lastColumn="0" w:noHBand="0" w:noVBand="1"/>
      </w:tblPr>
      <w:tblGrid>
        <w:gridCol w:w="267"/>
        <w:gridCol w:w="3045"/>
        <w:gridCol w:w="1350"/>
        <w:gridCol w:w="1350"/>
        <w:gridCol w:w="1350"/>
        <w:gridCol w:w="1620"/>
      </w:tblGrid>
      <w:tr w:rsidR="00E72FAE" w:rsidRPr="00EE74F4" w:rsidTr="007609D2">
        <w:tc>
          <w:tcPr>
            <w:tcW w:w="267" w:type="dxa"/>
            <w:tcBorders>
              <w:top w:val="single" w:sz="4" w:space="0" w:color="auto"/>
            </w:tcBorders>
            <w:shd w:val="clear" w:color="auto" w:fill="auto"/>
          </w:tcPr>
          <w:p w:rsidR="00E72FAE" w:rsidRPr="009B7F4D" w:rsidRDefault="00E72FAE" w:rsidP="00966F14">
            <w:pPr>
              <w:spacing w:after="0" w:line="240" w:lineRule="auto"/>
              <w:rPr>
                <w:rFonts w:ascii="Arial Narrow" w:hAnsi="Arial Narrow" w:cs="Arial"/>
                <w:sz w:val="16"/>
                <w:szCs w:val="16"/>
              </w:rPr>
            </w:pPr>
          </w:p>
        </w:tc>
        <w:tc>
          <w:tcPr>
            <w:tcW w:w="3045" w:type="dxa"/>
            <w:tcBorders>
              <w:top w:val="single" w:sz="4" w:space="0" w:color="auto"/>
            </w:tcBorders>
            <w:shd w:val="clear" w:color="auto" w:fill="auto"/>
          </w:tcPr>
          <w:p w:rsidR="00E72FAE" w:rsidRPr="009B7F4D" w:rsidRDefault="00E72FAE" w:rsidP="00966F14">
            <w:pPr>
              <w:spacing w:after="0" w:line="240" w:lineRule="auto"/>
              <w:rPr>
                <w:rFonts w:ascii="Arial Narrow" w:hAnsi="Arial Narrow" w:cs="Arial"/>
                <w:sz w:val="16"/>
                <w:szCs w:val="16"/>
              </w:rPr>
            </w:pPr>
          </w:p>
        </w:tc>
        <w:tc>
          <w:tcPr>
            <w:tcW w:w="2700" w:type="dxa"/>
            <w:gridSpan w:val="2"/>
            <w:tcBorders>
              <w:top w:val="single" w:sz="4" w:space="0" w:color="auto"/>
              <w:bottom w:val="single" w:sz="4" w:space="0" w:color="auto"/>
            </w:tcBorders>
            <w:shd w:val="clear" w:color="auto" w:fill="auto"/>
          </w:tcPr>
          <w:p w:rsidR="00E72FAE" w:rsidRPr="006A2085" w:rsidRDefault="00E72FAE" w:rsidP="00966F14">
            <w:pPr>
              <w:spacing w:after="0" w:line="240" w:lineRule="auto"/>
              <w:jc w:val="center"/>
              <w:rPr>
                <w:rFonts w:ascii="Arial Narrow" w:hAnsi="Arial Narrow" w:cs="Arial"/>
                <w:b/>
                <w:sz w:val="16"/>
                <w:szCs w:val="16"/>
              </w:rPr>
            </w:pPr>
            <w:r w:rsidRPr="006A2085">
              <w:rPr>
                <w:rFonts w:ascii="Arial Narrow" w:hAnsi="Arial Narrow" w:cs="Arial"/>
                <w:b/>
                <w:sz w:val="16"/>
                <w:szCs w:val="16"/>
              </w:rPr>
              <w:t>201</w:t>
            </w:r>
            <w:r w:rsidR="00F423AE" w:rsidRPr="006A2085">
              <w:rPr>
                <w:rFonts w:ascii="Arial Narrow" w:hAnsi="Arial Narrow" w:cs="Arial"/>
                <w:b/>
                <w:sz w:val="16"/>
                <w:szCs w:val="16"/>
              </w:rPr>
              <w:t>7</w:t>
            </w:r>
          </w:p>
        </w:tc>
        <w:tc>
          <w:tcPr>
            <w:tcW w:w="2970" w:type="dxa"/>
            <w:gridSpan w:val="2"/>
            <w:tcBorders>
              <w:top w:val="single" w:sz="4" w:space="0" w:color="auto"/>
              <w:bottom w:val="single" w:sz="4" w:space="0" w:color="auto"/>
            </w:tcBorders>
            <w:shd w:val="clear" w:color="auto" w:fill="auto"/>
          </w:tcPr>
          <w:p w:rsidR="00DA2605" w:rsidRPr="006A2085" w:rsidRDefault="00E72FAE" w:rsidP="00966F14">
            <w:pPr>
              <w:spacing w:after="0" w:line="240" w:lineRule="auto"/>
              <w:jc w:val="center"/>
              <w:rPr>
                <w:rFonts w:ascii="Arial Narrow" w:hAnsi="Arial Narrow" w:cs="Arial"/>
                <w:b/>
                <w:sz w:val="16"/>
                <w:szCs w:val="16"/>
              </w:rPr>
            </w:pPr>
            <w:r w:rsidRPr="006A2085">
              <w:rPr>
                <w:rFonts w:ascii="Arial Narrow" w:hAnsi="Arial Narrow" w:cs="Arial"/>
                <w:b/>
                <w:sz w:val="16"/>
                <w:szCs w:val="16"/>
              </w:rPr>
              <w:t>201</w:t>
            </w:r>
            <w:r w:rsidR="00F423AE" w:rsidRPr="006A2085">
              <w:rPr>
                <w:rFonts w:ascii="Arial Narrow" w:hAnsi="Arial Narrow" w:cs="Arial"/>
                <w:b/>
                <w:sz w:val="16"/>
                <w:szCs w:val="16"/>
              </w:rPr>
              <w:t>6</w:t>
            </w:r>
            <w:r w:rsidR="00DA2605">
              <w:rPr>
                <w:rFonts w:ascii="Arial Narrow" w:hAnsi="Arial Narrow" w:cs="Arial"/>
                <w:b/>
                <w:sz w:val="16"/>
                <w:szCs w:val="16"/>
              </w:rPr>
              <w:t xml:space="preserve"> (As Restated)</w:t>
            </w:r>
          </w:p>
        </w:tc>
      </w:tr>
      <w:tr w:rsidR="00736568" w:rsidRPr="00EE74F4" w:rsidTr="007609D2">
        <w:tc>
          <w:tcPr>
            <w:tcW w:w="267" w:type="dxa"/>
            <w:tcBorders>
              <w:bottom w:val="single" w:sz="4" w:space="0" w:color="auto"/>
            </w:tcBorders>
            <w:shd w:val="clear" w:color="auto" w:fill="auto"/>
          </w:tcPr>
          <w:p w:rsidR="00E72FAE" w:rsidRPr="009B7F4D" w:rsidRDefault="00E72FAE" w:rsidP="00966F14">
            <w:pPr>
              <w:spacing w:after="0" w:line="240" w:lineRule="auto"/>
              <w:rPr>
                <w:rFonts w:ascii="Arial Narrow" w:hAnsi="Arial Narrow" w:cs="Arial"/>
                <w:sz w:val="16"/>
                <w:szCs w:val="16"/>
              </w:rPr>
            </w:pPr>
          </w:p>
        </w:tc>
        <w:tc>
          <w:tcPr>
            <w:tcW w:w="3045" w:type="dxa"/>
            <w:tcBorders>
              <w:bottom w:val="single" w:sz="4" w:space="0" w:color="auto"/>
            </w:tcBorders>
            <w:shd w:val="clear" w:color="auto" w:fill="auto"/>
          </w:tcPr>
          <w:p w:rsidR="00E72FAE" w:rsidRPr="009B7F4D" w:rsidRDefault="00E72FAE" w:rsidP="00966F14">
            <w:pPr>
              <w:spacing w:after="0" w:line="240" w:lineRule="auto"/>
              <w:rPr>
                <w:rFonts w:ascii="Arial Narrow" w:hAnsi="Arial Narrow" w:cs="Arial"/>
                <w:sz w:val="16"/>
                <w:szCs w:val="16"/>
              </w:rPr>
            </w:pPr>
          </w:p>
        </w:tc>
        <w:tc>
          <w:tcPr>
            <w:tcW w:w="1350" w:type="dxa"/>
            <w:tcBorders>
              <w:top w:val="single" w:sz="4" w:space="0" w:color="auto"/>
              <w:bottom w:val="single" w:sz="4" w:space="0" w:color="auto"/>
            </w:tcBorders>
            <w:shd w:val="clear" w:color="auto" w:fill="auto"/>
          </w:tcPr>
          <w:p w:rsidR="00E72FAE" w:rsidRPr="006A2085" w:rsidRDefault="00E72FAE" w:rsidP="00966F14">
            <w:pPr>
              <w:spacing w:after="0" w:line="240" w:lineRule="auto"/>
              <w:jc w:val="center"/>
              <w:rPr>
                <w:rFonts w:ascii="Arial Narrow" w:hAnsi="Arial Narrow" w:cs="Arial"/>
                <w:b/>
                <w:sz w:val="16"/>
                <w:szCs w:val="16"/>
              </w:rPr>
            </w:pPr>
            <w:r w:rsidRPr="006A2085">
              <w:rPr>
                <w:rFonts w:ascii="Arial Narrow" w:hAnsi="Arial Narrow" w:cs="Arial"/>
                <w:b/>
                <w:sz w:val="16"/>
                <w:szCs w:val="16"/>
              </w:rPr>
              <w:t>Budget</w:t>
            </w:r>
          </w:p>
        </w:tc>
        <w:tc>
          <w:tcPr>
            <w:tcW w:w="1350" w:type="dxa"/>
            <w:tcBorders>
              <w:top w:val="single" w:sz="4" w:space="0" w:color="auto"/>
              <w:bottom w:val="single" w:sz="4" w:space="0" w:color="auto"/>
            </w:tcBorders>
            <w:shd w:val="clear" w:color="auto" w:fill="auto"/>
          </w:tcPr>
          <w:p w:rsidR="00E72FAE" w:rsidRPr="006A2085" w:rsidRDefault="00E72FAE" w:rsidP="00966F14">
            <w:pPr>
              <w:spacing w:after="0" w:line="240" w:lineRule="auto"/>
              <w:jc w:val="center"/>
              <w:rPr>
                <w:rFonts w:ascii="Arial Narrow" w:hAnsi="Arial Narrow" w:cs="Arial"/>
                <w:b/>
                <w:sz w:val="16"/>
                <w:szCs w:val="16"/>
              </w:rPr>
            </w:pPr>
            <w:r w:rsidRPr="006A2085">
              <w:rPr>
                <w:rFonts w:ascii="Arial Narrow" w:hAnsi="Arial Narrow" w:cs="Arial"/>
                <w:b/>
                <w:sz w:val="16"/>
                <w:szCs w:val="16"/>
              </w:rPr>
              <w:t>Actual</w:t>
            </w:r>
          </w:p>
        </w:tc>
        <w:tc>
          <w:tcPr>
            <w:tcW w:w="1350" w:type="dxa"/>
            <w:tcBorders>
              <w:top w:val="single" w:sz="4" w:space="0" w:color="auto"/>
              <w:bottom w:val="single" w:sz="4" w:space="0" w:color="auto"/>
            </w:tcBorders>
            <w:shd w:val="clear" w:color="auto" w:fill="auto"/>
          </w:tcPr>
          <w:p w:rsidR="00E72FAE" w:rsidRPr="006A2085" w:rsidRDefault="00E72FAE" w:rsidP="00966F14">
            <w:pPr>
              <w:spacing w:after="0" w:line="240" w:lineRule="auto"/>
              <w:jc w:val="center"/>
              <w:rPr>
                <w:rFonts w:ascii="Arial Narrow" w:hAnsi="Arial Narrow" w:cs="Arial"/>
                <w:b/>
                <w:sz w:val="16"/>
                <w:szCs w:val="16"/>
              </w:rPr>
            </w:pPr>
            <w:r w:rsidRPr="006A2085">
              <w:rPr>
                <w:rFonts w:ascii="Arial Narrow" w:hAnsi="Arial Narrow" w:cs="Arial"/>
                <w:b/>
                <w:sz w:val="16"/>
                <w:szCs w:val="16"/>
              </w:rPr>
              <w:t>Budget</w:t>
            </w:r>
          </w:p>
        </w:tc>
        <w:tc>
          <w:tcPr>
            <w:tcW w:w="1620" w:type="dxa"/>
            <w:tcBorders>
              <w:top w:val="single" w:sz="4" w:space="0" w:color="auto"/>
              <w:bottom w:val="single" w:sz="4" w:space="0" w:color="auto"/>
            </w:tcBorders>
            <w:shd w:val="clear" w:color="auto" w:fill="auto"/>
          </w:tcPr>
          <w:p w:rsidR="00E72FAE" w:rsidRPr="006A2085" w:rsidRDefault="00E72FAE" w:rsidP="00966F14">
            <w:pPr>
              <w:spacing w:after="0" w:line="240" w:lineRule="auto"/>
              <w:jc w:val="center"/>
              <w:rPr>
                <w:rFonts w:ascii="Arial Narrow" w:hAnsi="Arial Narrow" w:cs="Arial"/>
                <w:b/>
                <w:sz w:val="16"/>
                <w:szCs w:val="16"/>
              </w:rPr>
            </w:pPr>
            <w:r w:rsidRPr="006A2085">
              <w:rPr>
                <w:rFonts w:ascii="Arial Narrow" w:hAnsi="Arial Narrow" w:cs="Arial"/>
                <w:b/>
                <w:sz w:val="16"/>
                <w:szCs w:val="16"/>
              </w:rPr>
              <w:t>Actual</w:t>
            </w:r>
          </w:p>
        </w:tc>
      </w:tr>
      <w:tr w:rsidR="00736568" w:rsidRPr="00EE74F4" w:rsidTr="00CD06FB">
        <w:trPr>
          <w:trHeight w:val="89"/>
        </w:trPr>
        <w:tc>
          <w:tcPr>
            <w:tcW w:w="3312" w:type="dxa"/>
            <w:gridSpan w:val="2"/>
            <w:shd w:val="clear" w:color="auto" w:fill="auto"/>
          </w:tcPr>
          <w:p w:rsidR="00E72FAE" w:rsidRPr="009B7F4D" w:rsidRDefault="00E72FAE" w:rsidP="00966F14">
            <w:pPr>
              <w:spacing w:after="0" w:line="240" w:lineRule="auto"/>
              <w:rPr>
                <w:rFonts w:ascii="Arial Narrow" w:hAnsi="Arial Narrow" w:cs="Arial"/>
                <w:sz w:val="16"/>
                <w:szCs w:val="16"/>
              </w:rPr>
            </w:pPr>
            <w:r w:rsidRPr="009B7F4D">
              <w:rPr>
                <w:rFonts w:ascii="Arial Narrow" w:hAnsi="Arial Narrow" w:cs="Arial"/>
                <w:sz w:val="16"/>
                <w:szCs w:val="16"/>
              </w:rPr>
              <w:t>Operating Fund</w:t>
            </w:r>
          </w:p>
        </w:tc>
        <w:tc>
          <w:tcPr>
            <w:tcW w:w="1350" w:type="dxa"/>
            <w:shd w:val="clear" w:color="auto" w:fill="auto"/>
          </w:tcPr>
          <w:p w:rsidR="00E72FAE" w:rsidRPr="009B7F4D" w:rsidRDefault="00E72FAE" w:rsidP="00966F14">
            <w:pPr>
              <w:spacing w:after="0" w:line="240" w:lineRule="auto"/>
              <w:rPr>
                <w:rFonts w:ascii="Arial Narrow" w:hAnsi="Arial Narrow" w:cs="Arial"/>
                <w:sz w:val="16"/>
                <w:szCs w:val="16"/>
              </w:rPr>
            </w:pPr>
          </w:p>
        </w:tc>
        <w:tc>
          <w:tcPr>
            <w:tcW w:w="1350" w:type="dxa"/>
            <w:shd w:val="clear" w:color="auto" w:fill="auto"/>
          </w:tcPr>
          <w:p w:rsidR="00E72FAE" w:rsidRPr="009B7F4D" w:rsidRDefault="00E72FAE" w:rsidP="00966F14">
            <w:pPr>
              <w:spacing w:after="0" w:line="240" w:lineRule="auto"/>
              <w:rPr>
                <w:rFonts w:ascii="Arial Narrow" w:hAnsi="Arial Narrow" w:cs="Arial"/>
                <w:sz w:val="16"/>
                <w:szCs w:val="16"/>
              </w:rPr>
            </w:pPr>
          </w:p>
        </w:tc>
        <w:tc>
          <w:tcPr>
            <w:tcW w:w="1350" w:type="dxa"/>
            <w:shd w:val="clear" w:color="auto" w:fill="auto"/>
          </w:tcPr>
          <w:p w:rsidR="00E72FAE" w:rsidRPr="009B7F4D" w:rsidRDefault="00E72FAE" w:rsidP="00966F14">
            <w:pPr>
              <w:spacing w:after="0" w:line="240" w:lineRule="auto"/>
              <w:rPr>
                <w:rFonts w:ascii="Arial Narrow" w:hAnsi="Arial Narrow" w:cs="Arial"/>
                <w:sz w:val="16"/>
                <w:szCs w:val="16"/>
              </w:rPr>
            </w:pPr>
          </w:p>
        </w:tc>
        <w:tc>
          <w:tcPr>
            <w:tcW w:w="1620" w:type="dxa"/>
            <w:shd w:val="clear" w:color="auto" w:fill="auto"/>
          </w:tcPr>
          <w:p w:rsidR="00E72FAE" w:rsidRPr="009B7F4D" w:rsidRDefault="00E72FAE" w:rsidP="00966F14">
            <w:pPr>
              <w:spacing w:after="0" w:line="240" w:lineRule="auto"/>
              <w:rPr>
                <w:rFonts w:ascii="Arial Narrow" w:hAnsi="Arial Narrow" w:cs="Arial"/>
                <w:sz w:val="16"/>
                <w:szCs w:val="16"/>
              </w:rPr>
            </w:pPr>
          </w:p>
        </w:tc>
      </w:tr>
      <w:tr w:rsidR="00736568" w:rsidRPr="00EE74F4" w:rsidTr="00736568">
        <w:tc>
          <w:tcPr>
            <w:tcW w:w="267" w:type="dxa"/>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Personnel Services</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929</w:t>
            </w:r>
            <w:r>
              <w:rPr>
                <w:rFonts w:ascii="Arial Narrow" w:hAnsi="Arial Narrow" w:cs="Arial"/>
                <w:sz w:val="16"/>
                <w:szCs w:val="16"/>
              </w:rPr>
              <w:t>,</w:t>
            </w:r>
            <w:r w:rsidRPr="00736568">
              <w:rPr>
                <w:rFonts w:ascii="Arial Narrow" w:hAnsi="Arial Narrow" w:cs="Arial"/>
                <w:sz w:val="16"/>
                <w:szCs w:val="16"/>
              </w:rPr>
              <w:t>620</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1</w:t>
            </w:r>
            <w:r>
              <w:rPr>
                <w:rFonts w:ascii="Arial Narrow" w:hAnsi="Arial Narrow" w:cs="Arial"/>
                <w:sz w:val="16"/>
                <w:szCs w:val="16"/>
              </w:rPr>
              <w:t>,</w:t>
            </w:r>
            <w:r w:rsidRPr="00736568">
              <w:rPr>
                <w:rFonts w:ascii="Arial Narrow" w:hAnsi="Arial Narrow" w:cs="Arial"/>
                <w:sz w:val="16"/>
                <w:szCs w:val="16"/>
              </w:rPr>
              <w:t>249</w:t>
            </w:r>
            <w:r>
              <w:rPr>
                <w:rFonts w:ascii="Arial Narrow" w:hAnsi="Arial Narrow" w:cs="Arial"/>
                <w:sz w:val="16"/>
                <w:szCs w:val="16"/>
              </w:rPr>
              <w:t>,</w:t>
            </w:r>
            <w:r w:rsidRPr="00736568">
              <w:rPr>
                <w:rFonts w:ascii="Arial Narrow" w:hAnsi="Arial Narrow" w:cs="Arial"/>
                <w:sz w:val="16"/>
                <w:szCs w:val="16"/>
              </w:rPr>
              <w:t>000</w:t>
            </w:r>
          </w:p>
        </w:tc>
        <w:tc>
          <w:tcPr>
            <w:tcW w:w="1350" w:type="dxa"/>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963,303</w:t>
            </w:r>
          </w:p>
        </w:tc>
        <w:tc>
          <w:tcPr>
            <w:tcW w:w="1620" w:type="dxa"/>
            <w:shd w:val="clear" w:color="auto" w:fill="auto"/>
          </w:tcPr>
          <w:p w:rsidR="00D64547" w:rsidRPr="00CD06FB" w:rsidRDefault="00CD06FB" w:rsidP="00966F14">
            <w:pPr>
              <w:spacing w:after="0" w:line="240" w:lineRule="auto"/>
              <w:jc w:val="right"/>
              <w:rPr>
                <w:rFonts w:ascii="Arial Narrow" w:hAnsi="Arial Narrow" w:cs="Arial"/>
                <w:sz w:val="16"/>
                <w:szCs w:val="16"/>
              </w:rPr>
            </w:pPr>
            <w:r w:rsidRPr="00CD06FB">
              <w:rPr>
                <w:rFonts w:ascii="Arial Narrow" w:hAnsi="Arial Narrow" w:cs="Arial"/>
                <w:sz w:val="16"/>
                <w:szCs w:val="16"/>
              </w:rPr>
              <w:t>1,324,142</w:t>
            </w:r>
          </w:p>
        </w:tc>
      </w:tr>
      <w:tr w:rsidR="00736568" w:rsidRPr="00EE74F4" w:rsidTr="00736568">
        <w:tc>
          <w:tcPr>
            <w:tcW w:w="267" w:type="dxa"/>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Maintenance and Other Operating Expenses</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4089</w:t>
            </w:r>
            <w:r>
              <w:rPr>
                <w:rFonts w:ascii="Arial Narrow" w:hAnsi="Arial Narrow" w:cs="Arial"/>
                <w:sz w:val="16"/>
                <w:szCs w:val="16"/>
              </w:rPr>
              <w:t>,</w:t>
            </w:r>
            <w:r w:rsidRPr="00736568">
              <w:rPr>
                <w:rFonts w:ascii="Arial Narrow" w:hAnsi="Arial Narrow" w:cs="Arial"/>
                <w:sz w:val="16"/>
                <w:szCs w:val="16"/>
              </w:rPr>
              <w:t>066</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3</w:t>
            </w:r>
            <w:r>
              <w:rPr>
                <w:rFonts w:ascii="Arial Narrow" w:hAnsi="Arial Narrow" w:cs="Arial"/>
                <w:sz w:val="16"/>
                <w:szCs w:val="16"/>
              </w:rPr>
              <w:t>,</w:t>
            </w:r>
            <w:r w:rsidRPr="00736568">
              <w:rPr>
                <w:rFonts w:ascii="Arial Narrow" w:hAnsi="Arial Narrow" w:cs="Arial"/>
                <w:sz w:val="16"/>
                <w:szCs w:val="16"/>
              </w:rPr>
              <w:t>399</w:t>
            </w:r>
            <w:r>
              <w:rPr>
                <w:rFonts w:ascii="Arial Narrow" w:hAnsi="Arial Narrow" w:cs="Arial"/>
                <w:sz w:val="16"/>
                <w:szCs w:val="16"/>
              </w:rPr>
              <w:t>,</w:t>
            </w:r>
            <w:r w:rsidRPr="00736568">
              <w:rPr>
                <w:rFonts w:ascii="Arial Narrow" w:hAnsi="Arial Narrow" w:cs="Arial"/>
                <w:sz w:val="16"/>
                <w:szCs w:val="16"/>
              </w:rPr>
              <w:t>479</w:t>
            </w:r>
          </w:p>
        </w:tc>
        <w:tc>
          <w:tcPr>
            <w:tcW w:w="1350" w:type="dxa"/>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3,606,279</w:t>
            </w:r>
          </w:p>
        </w:tc>
        <w:tc>
          <w:tcPr>
            <w:tcW w:w="1620" w:type="dxa"/>
            <w:shd w:val="clear" w:color="auto" w:fill="auto"/>
          </w:tcPr>
          <w:p w:rsidR="00D64547" w:rsidRPr="00CD06FB" w:rsidRDefault="006B6B80" w:rsidP="00966F14">
            <w:pPr>
              <w:spacing w:after="0" w:line="240" w:lineRule="auto"/>
              <w:jc w:val="right"/>
              <w:rPr>
                <w:rFonts w:ascii="Arial Narrow" w:hAnsi="Arial Narrow" w:cs="Arial"/>
                <w:sz w:val="16"/>
                <w:szCs w:val="16"/>
              </w:rPr>
            </w:pPr>
            <w:r>
              <w:rPr>
                <w:rFonts w:ascii="Arial Narrow" w:hAnsi="Arial Narrow" w:cs="Arial"/>
                <w:sz w:val="16"/>
                <w:szCs w:val="16"/>
              </w:rPr>
              <w:t>2,336,556</w:t>
            </w:r>
          </w:p>
        </w:tc>
      </w:tr>
      <w:tr w:rsidR="00736568" w:rsidRPr="00EE74F4" w:rsidTr="00736568">
        <w:tc>
          <w:tcPr>
            <w:tcW w:w="267" w:type="dxa"/>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Capital Outlays</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611</w:t>
            </w:r>
            <w:r>
              <w:rPr>
                <w:rFonts w:ascii="Arial Narrow" w:hAnsi="Arial Narrow" w:cs="Arial"/>
                <w:sz w:val="16"/>
                <w:szCs w:val="16"/>
              </w:rPr>
              <w:t>,</w:t>
            </w:r>
            <w:r w:rsidRPr="00736568">
              <w:rPr>
                <w:rFonts w:ascii="Arial Narrow" w:hAnsi="Arial Narrow" w:cs="Arial"/>
                <w:sz w:val="16"/>
                <w:szCs w:val="16"/>
              </w:rPr>
              <w:t>366</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77</w:t>
            </w:r>
            <w:r>
              <w:rPr>
                <w:rFonts w:ascii="Arial Narrow" w:hAnsi="Arial Narrow" w:cs="Arial"/>
                <w:sz w:val="16"/>
                <w:szCs w:val="16"/>
              </w:rPr>
              <w:t>,</w:t>
            </w:r>
            <w:r w:rsidRPr="00736568">
              <w:rPr>
                <w:rFonts w:ascii="Arial Narrow" w:hAnsi="Arial Narrow" w:cs="Arial"/>
                <w:sz w:val="16"/>
                <w:szCs w:val="16"/>
              </w:rPr>
              <w:t>759</w:t>
            </w:r>
          </w:p>
        </w:tc>
        <w:tc>
          <w:tcPr>
            <w:tcW w:w="1350" w:type="dxa"/>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3,108,833</w:t>
            </w:r>
          </w:p>
        </w:tc>
        <w:tc>
          <w:tcPr>
            <w:tcW w:w="1620" w:type="dxa"/>
            <w:shd w:val="clear" w:color="auto" w:fill="auto"/>
          </w:tcPr>
          <w:p w:rsidR="00D64547" w:rsidRPr="00CD06FB" w:rsidRDefault="00CD06FB" w:rsidP="00966F14">
            <w:pPr>
              <w:spacing w:after="0" w:line="240" w:lineRule="auto"/>
              <w:jc w:val="right"/>
              <w:rPr>
                <w:rFonts w:ascii="Arial Narrow" w:hAnsi="Arial Narrow" w:cs="Arial"/>
                <w:sz w:val="16"/>
                <w:szCs w:val="16"/>
              </w:rPr>
            </w:pPr>
            <w:r w:rsidRPr="00CD06FB">
              <w:rPr>
                <w:rFonts w:ascii="Arial Narrow" w:hAnsi="Arial Narrow" w:cs="Arial"/>
                <w:sz w:val="16"/>
                <w:szCs w:val="16"/>
              </w:rPr>
              <w:t>158,684</w:t>
            </w:r>
          </w:p>
        </w:tc>
      </w:tr>
      <w:tr w:rsidR="00736568" w:rsidRPr="00EE74F4" w:rsidTr="00736568">
        <w:tc>
          <w:tcPr>
            <w:tcW w:w="3312" w:type="dxa"/>
            <w:gridSpan w:val="2"/>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Charity Fund</w:t>
            </w:r>
          </w:p>
        </w:tc>
        <w:tc>
          <w:tcPr>
            <w:tcW w:w="1350" w:type="dxa"/>
            <w:shd w:val="clear" w:color="auto" w:fill="auto"/>
          </w:tcPr>
          <w:p w:rsidR="00D64547" w:rsidRDefault="00D64547" w:rsidP="00966F14">
            <w:pPr>
              <w:spacing w:after="0" w:line="240" w:lineRule="auto"/>
              <w:jc w:val="right"/>
              <w:rPr>
                <w:rFonts w:ascii="Arial Narrow" w:hAnsi="Arial Narrow" w:cs="Arial"/>
                <w:sz w:val="16"/>
                <w:szCs w:val="16"/>
              </w:rPr>
            </w:pPr>
          </w:p>
        </w:tc>
        <w:tc>
          <w:tcPr>
            <w:tcW w:w="1350" w:type="dxa"/>
            <w:shd w:val="clear" w:color="auto" w:fill="auto"/>
          </w:tcPr>
          <w:p w:rsidR="00D64547" w:rsidRDefault="00D64547" w:rsidP="00966F14">
            <w:pPr>
              <w:spacing w:after="0" w:line="240" w:lineRule="auto"/>
              <w:jc w:val="right"/>
              <w:rPr>
                <w:rFonts w:ascii="Arial Narrow" w:hAnsi="Arial Narrow" w:cs="Arial"/>
                <w:sz w:val="16"/>
                <w:szCs w:val="16"/>
              </w:rPr>
            </w:pPr>
          </w:p>
        </w:tc>
        <w:tc>
          <w:tcPr>
            <w:tcW w:w="1350" w:type="dxa"/>
            <w:shd w:val="clear" w:color="auto" w:fill="auto"/>
          </w:tcPr>
          <w:p w:rsidR="00D64547" w:rsidRDefault="00D64547" w:rsidP="00966F14">
            <w:pPr>
              <w:spacing w:after="0" w:line="240" w:lineRule="auto"/>
              <w:jc w:val="right"/>
              <w:rPr>
                <w:rFonts w:ascii="Arial Narrow" w:hAnsi="Arial Narrow" w:cs="Arial"/>
                <w:sz w:val="16"/>
                <w:szCs w:val="16"/>
              </w:rPr>
            </w:pPr>
          </w:p>
        </w:tc>
        <w:tc>
          <w:tcPr>
            <w:tcW w:w="1620" w:type="dxa"/>
            <w:shd w:val="clear" w:color="auto" w:fill="auto"/>
          </w:tcPr>
          <w:p w:rsidR="00D64547" w:rsidRPr="00CD06FB" w:rsidRDefault="00D64547" w:rsidP="00966F14">
            <w:pPr>
              <w:spacing w:after="0" w:line="240" w:lineRule="auto"/>
              <w:jc w:val="right"/>
              <w:rPr>
                <w:rFonts w:ascii="Arial Narrow" w:hAnsi="Arial Narrow" w:cs="Arial"/>
                <w:sz w:val="16"/>
                <w:szCs w:val="16"/>
              </w:rPr>
            </w:pPr>
          </w:p>
        </w:tc>
      </w:tr>
      <w:tr w:rsidR="00736568" w:rsidRPr="00EE74F4" w:rsidTr="00736568">
        <w:tc>
          <w:tcPr>
            <w:tcW w:w="267" w:type="dxa"/>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Personnel Services</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42</w:t>
            </w:r>
            <w:r>
              <w:rPr>
                <w:rFonts w:ascii="Arial Narrow" w:hAnsi="Arial Narrow" w:cs="Arial"/>
                <w:sz w:val="16"/>
                <w:szCs w:val="16"/>
              </w:rPr>
              <w:t>,</w:t>
            </w:r>
            <w:r w:rsidRPr="00736568">
              <w:rPr>
                <w:rFonts w:ascii="Arial Narrow" w:hAnsi="Arial Narrow" w:cs="Arial"/>
                <w:sz w:val="16"/>
                <w:szCs w:val="16"/>
              </w:rPr>
              <w:t>190</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67</w:t>
            </w:r>
            <w:r>
              <w:rPr>
                <w:rFonts w:ascii="Arial Narrow" w:hAnsi="Arial Narrow" w:cs="Arial"/>
                <w:sz w:val="16"/>
                <w:szCs w:val="16"/>
              </w:rPr>
              <w:t>,</w:t>
            </w:r>
            <w:r w:rsidRPr="00736568">
              <w:rPr>
                <w:rFonts w:ascii="Arial Narrow" w:hAnsi="Arial Narrow" w:cs="Arial"/>
                <w:sz w:val="16"/>
                <w:szCs w:val="16"/>
              </w:rPr>
              <w:t>981</w:t>
            </w:r>
          </w:p>
        </w:tc>
        <w:tc>
          <w:tcPr>
            <w:tcW w:w="1350" w:type="dxa"/>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42,827</w:t>
            </w:r>
          </w:p>
        </w:tc>
        <w:tc>
          <w:tcPr>
            <w:tcW w:w="1620" w:type="dxa"/>
            <w:shd w:val="clear" w:color="auto" w:fill="auto"/>
          </w:tcPr>
          <w:p w:rsidR="00D64547" w:rsidRPr="00CD06FB" w:rsidRDefault="00CD06FB" w:rsidP="00966F14">
            <w:pPr>
              <w:spacing w:after="0" w:line="240" w:lineRule="auto"/>
              <w:jc w:val="right"/>
              <w:rPr>
                <w:rFonts w:ascii="Arial Narrow" w:hAnsi="Arial Narrow" w:cs="Arial"/>
                <w:sz w:val="16"/>
                <w:szCs w:val="16"/>
              </w:rPr>
            </w:pPr>
            <w:r w:rsidRPr="00CD06FB">
              <w:rPr>
                <w:rFonts w:ascii="Arial Narrow" w:hAnsi="Arial Narrow" w:cs="Arial"/>
                <w:sz w:val="16"/>
                <w:szCs w:val="16"/>
              </w:rPr>
              <w:t>65,979</w:t>
            </w:r>
          </w:p>
        </w:tc>
      </w:tr>
      <w:tr w:rsidR="00736568" w:rsidRPr="00EE74F4" w:rsidTr="00736568">
        <w:tc>
          <w:tcPr>
            <w:tcW w:w="267" w:type="dxa"/>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Maintenance and Other Operating Expenses</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Pr>
                <w:rFonts w:ascii="Arial Narrow" w:hAnsi="Arial Narrow" w:cs="Arial"/>
                <w:sz w:val="16"/>
                <w:szCs w:val="16"/>
              </w:rPr>
              <w:tab/>
            </w:r>
            <w:r w:rsidRPr="00736568">
              <w:rPr>
                <w:rFonts w:ascii="Arial Narrow" w:hAnsi="Arial Narrow" w:cs="Arial"/>
                <w:sz w:val="16"/>
                <w:szCs w:val="16"/>
              </w:rPr>
              <w:t>45</w:t>
            </w:r>
            <w:r>
              <w:rPr>
                <w:rFonts w:ascii="Arial Narrow" w:hAnsi="Arial Narrow" w:cs="Arial"/>
                <w:sz w:val="16"/>
                <w:szCs w:val="16"/>
              </w:rPr>
              <w:t>,</w:t>
            </w:r>
            <w:r w:rsidRPr="00736568">
              <w:rPr>
                <w:rFonts w:ascii="Arial Narrow" w:hAnsi="Arial Narrow" w:cs="Arial"/>
                <w:sz w:val="16"/>
                <w:szCs w:val="16"/>
              </w:rPr>
              <w:t>742</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6</w:t>
            </w:r>
            <w:r>
              <w:rPr>
                <w:rFonts w:ascii="Arial Narrow" w:hAnsi="Arial Narrow" w:cs="Arial"/>
                <w:sz w:val="16"/>
                <w:szCs w:val="16"/>
              </w:rPr>
              <w:t>,</w:t>
            </w:r>
            <w:r w:rsidRPr="00736568">
              <w:rPr>
                <w:rFonts w:ascii="Arial Narrow" w:hAnsi="Arial Narrow" w:cs="Arial"/>
                <w:sz w:val="16"/>
                <w:szCs w:val="16"/>
              </w:rPr>
              <w:t>867</w:t>
            </w:r>
          </w:p>
        </w:tc>
        <w:tc>
          <w:tcPr>
            <w:tcW w:w="1350" w:type="dxa"/>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60,069</w:t>
            </w:r>
          </w:p>
        </w:tc>
        <w:tc>
          <w:tcPr>
            <w:tcW w:w="1620" w:type="dxa"/>
            <w:shd w:val="clear" w:color="auto" w:fill="auto"/>
          </w:tcPr>
          <w:p w:rsidR="00D64547" w:rsidRPr="00CD06FB" w:rsidRDefault="00CD06FB" w:rsidP="00966F14">
            <w:pPr>
              <w:spacing w:after="0" w:line="240" w:lineRule="auto"/>
              <w:jc w:val="right"/>
              <w:rPr>
                <w:rFonts w:ascii="Arial Narrow" w:hAnsi="Arial Narrow" w:cs="Arial"/>
                <w:sz w:val="16"/>
                <w:szCs w:val="16"/>
              </w:rPr>
            </w:pPr>
            <w:r w:rsidRPr="00CD06FB">
              <w:rPr>
                <w:rFonts w:ascii="Arial Narrow" w:hAnsi="Arial Narrow" w:cs="Arial"/>
                <w:sz w:val="16"/>
                <w:szCs w:val="16"/>
              </w:rPr>
              <w:t>10,518</w:t>
            </w:r>
          </w:p>
        </w:tc>
      </w:tr>
      <w:tr w:rsidR="00736568" w:rsidRPr="00EE74F4" w:rsidTr="00736568">
        <w:tc>
          <w:tcPr>
            <w:tcW w:w="267" w:type="dxa"/>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Capital Outlays</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1</w:t>
            </w:r>
            <w:r>
              <w:rPr>
                <w:rFonts w:ascii="Arial Narrow" w:hAnsi="Arial Narrow" w:cs="Arial"/>
                <w:sz w:val="16"/>
                <w:szCs w:val="16"/>
              </w:rPr>
              <w:t>,</w:t>
            </w:r>
            <w:r w:rsidRPr="00736568">
              <w:rPr>
                <w:rFonts w:ascii="Arial Narrow" w:hAnsi="Arial Narrow" w:cs="Arial"/>
                <w:sz w:val="16"/>
                <w:szCs w:val="16"/>
              </w:rPr>
              <w:t>375</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Pr>
                <w:rFonts w:ascii="Arial Narrow" w:hAnsi="Arial Narrow" w:cs="Arial"/>
                <w:sz w:val="16"/>
                <w:szCs w:val="16"/>
              </w:rPr>
              <w:t>-</w:t>
            </w:r>
          </w:p>
        </w:tc>
        <w:tc>
          <w:tcPr>
            <w:tcW w:w="1350" w:type="dxa"/>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5,449</w:t>
            </w:r>
          </w:p>
        </w:tc>
        <w:tc>
          <w:tcPr>
            <w:tcW w:w="1620" w:type="dxa"/>
            <w:shd w:val="clear" w:color="auto" w:fill="auto"/>
          </w:tcPr>
          <w:p w:rsidR="00D64547" w:rsidRPr="00CD06FB" w:rsidRDefault="00CD06FB" w:rsidP="00966F14">
            <w:pPr>
              <w:spacing w:after="0" w:line="240" w:lineRule="auto"/>
              <w:jc w:val="right"/>
              <w:rPr>
                <w:rFonts w:ascii="Arial Narrow" w:hAnsi="Arial Narrow" w:cs="Arial"/>
                <w:sz w:val="16"/>
                <w:szCs w:val="16"/>
              </w:rPr>
            </w:pPr>
            <w:r w:rsidRPr="00CD06FB">
              <w:rPr>
                <w:rFonts w:ascii="Arial Narrow" w:hAnsi="Arial Narrow" w:cs="Arial"/>
                <w:sz w:val="16"/>
                <w:szCs w:val="16"/>
              </w:rPr>
              <w:t>-</w:t>
            </w:r>
          </w:p>
        </w:tc>
      </w:tr>
      <w:tr w:rsidR="00736568" w:rsidRPr="00EE74F4" w:rsidTr="00736568">
        <w:tc>
          <w:tcPr>
            <w:tcW w:w="267" w:type="dxa"/>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Others</w:t>
            </w:r>
          </w:p>
        </w:tc>
        <w:tc>
          <w:tcPr>
            <w:tcW w:w="1350" w:type="dxa"/>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18</w:t>
            </w:r>
            <w:r>
              <w:rPr>
                <w:rFonts w:ascii="Arial Narrow" w:hAnsi="Arial Narrow" w:cs="Arial"/>
                <w:sz w:val="16"/>
                <w:szCs w:val="16"/>
              </w:rPr>
              <w:t>,</w:t>
            </w:r>
            <w:r w:rsidRPr="00736568">
              <w:rPr>
                <w:rFonts w:ascii="Arial Narrow" w:hAnsi="Arial Narrow" w:cs="Arial"/>
                <w:sz w:val="16"/>
                <w:szCs w:val="16"/>
              </w:rPr>
              <w:t>571</w:t>
            </w:r>
            <w:r>
              <w:rPr>
                <w:rFonts w:ascii="Arial Narrow" w:hAnsi="Arial Narrow" w:cs="Arial"/>
                <w:sz w:val="16"/>
                <w:szCs w:val="16"/>
              </w:rPr>
              <w:t>,</w:t>
            </w:r>
            <w:r w:rsidRPr="00736568">
              <w:rPr>
                <w:rFonts w:ascii="Arial Narrow" w:hAnsi="Arial Narrow" w:cs="Arial"/>
                <w:sz w:val="16"/>
                <w:szCs w:val="16"/>
              </w:rPr>
              <w:t>648</w:t>
            </w:r>
          </w:p>
        </w:tc>
        <w:tc>
          <w:tcPr>
            <w:tcW w:w="1350" w:type="dxa"/>
            <w:shd w:val="clear" w:color="auto" w:fill="auto"/>
          </w:tcPr>
          <w:p w:rsidR="00D64547" w:rsidRPr="00DA2605" w:rsidRDefault="00736568" w:rsidP="00966F14">
            <w:pPr>
              <w:spacing w:after="0" w:line="240" w:lineRule="auto"/>
              <w:jc w:val="right"/>
              <w:rPr>
                <w:rFonts w:ascii="Arial Narrow" w:hAnsi="Arial Narrow" w:cs="Arial"/>
                <w:sz w:val="16"/>
                <w:szCs w:val="16"/>
              </w:rPr>
            </w:pPr>
            <w:r w:rsidRPr="00DA2605">
              <w:rPr>
                <w:rFonts w:ascii="Arial Narrow" w:hAnsi="Arial Narrow" w:cs="Arial"/>
                <w:sz w:val="16"/>
                <w:szCs w:val="16"/>
              </w:rPr>
              <w:t>19,1</w:t>
            </w:r>
            <w:r w:rsidR="00DA2605" w:rsidRPr="00DA2605">
              <w:rPr>
                <w:rFonts w:ascii="Arial Narrow" w:hAnsi="Arial Narrow" w:cs="Arial"/>
                <w:sz w:val="16"/>
                <w:szCs w:val="16"/>
              </w:rPr>
              <w:t>21,464</w:t>
            </w:r>
          </w:p>
        </w:tc>
        <w:tc>
          <w:tcPr>
            <w:tcW w:w="1350" w:type="dxa"/>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13,205,700</w:t>
            </w:r>
          </w:p>
        </w:tc>
        <w:tc>
          <w:tcPr>
            <w:tcW w:w="1620" w:type="dxa"/>
            <w:shd w:val="clear" w:color="auto" w:fill="auto"/>
          </w:tcPr>
          <w:p w:rsidR="00D64547" w:rsidRPr="00CD06FB" w:rsidRDefault="00CD06FB" w:rsidP="00966F14">
            <w:pPr>
              <w:spacing w:after="0" w:line="240" w:lineRule="auto"/>
              <w:jc w:val="right"/>
              <w:rPr>
                <w:rFonts w:ascii="Arial Narrow" w:hAnsi="Arial Narrow" w:cs="Arial"/>
                <w:sz w:val="16"/>
                <w:szCs w:val="16"/>
              </w:rPr>
            </w:pPr>
            <w:r w:rsidRPr="00CD06FB">
              <w:rPr>
                <w:rFonts w:ascii="Arial Narrow" w:hAnsi="Arial Narrow" w:cs="Arial"/>
                <w:sz w:val="16"/>
                <w:szCs w:val="16"/>
              </w:rPr>
              <w:t>14,361,778</w:t>
            </w:r>
          </w:p>
        </w:tc>
      </w:tr>
      <w:tr w:rsidR="00736568" w:rsidRPr="00EE74F4" w:rsidTr="007609D2">
        <w:tc>
          <w:tcPr>
            <w:tcW w:w="3312" w:type="dxa"/>
            <w:gridSpan w:val="2"/>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Prize Fund</w:t>
            </w:r>
          </w:p>
        </w:tc>
        <w:tc>
          <w:tcPr>
            <w:tcW w:w="1350" w:type="dxa"/>
            <w:shd w:val="clear" w:color="auto" w:fill="auto"/>
          </w:tcPr>
          <w:p w:rsidR="00D64547" w:rsidRDefault="00D64547" w:rsidP="00966F14">
            <w:pPr>
              <w:spacing w:after="0" w:line="240" w:lineRule="auto"/>
              <w:jc w:val="right"/>
              <w:rPr>
                <w:rFonts w:ascii="Arial Narrow" w:hAnsi="Arial Narrow" w:cs="Arial"/>
                <w:sz w:val="16"/>
                <w:szCs w:val="16"/>
              </w:rPr>
            </w:pPr>
          </w:p>
        </w:tc>
        <w:tc>
          <w:tcPr>
            <w:tcW w:w="1350" w:type="dxa"/>
            <w:shd w:val="clear" w:color="auto" w:fill="auto"/>
          </w:tcPr>
          <w:p w:rsidR="00D64547" w:rsidRPr="00DA2605" w:rsidRDefault="00D64547" w:rsidP="00966F14">
            <w:pPr>
              <w:spacing w:after="0" w:line="240" w:lineRule="auto"/>
              <w:jc w:val="right"/>
              <w:rPr>
                <w:rFonts w:ascii="Arial Narrow" w:hAnsi="Arial Narrow" w:cs="Arial"/>
                <w:sz w:val="16"/>
                <w:szCs w:val="16"/>
              </w:rPr>
            </w:pPr>
          </w:p>
        </w:tc>
        <w:tc>
          <w:tcPr>
            <w:tcW w:w="1350" w:type="dxa"/>
            <w:shd w:val="clear" w:color="auto" w:fill="auto"/>
          </w:tcPr>
          <w:p w:rsidR="00D64547" w:rsidRDefault="00D64547" w:rsidP="00966F14">
            <w:pPr>
              <w:spacing w:after="0" w:line="240" w:lineRule="auto"/>
              <w:jc w:val="right"/>
              <w:rPr>
                <w:rFonts w:ascii="Arial Narrow" w:hAnsi="Arial Narrow" w:cs="Arial"/>
                <w:sz w:val="16"/>
                <w:szCs w:val="16"/>
              </w:rPr>
            </w:pPr>
          </w:p>
        </w:tc>
        <w:tc>
          <w:tcPr>
            <w:tcW w:w="1620" w:type="dxa"/>
            <w:shd w:val="clear" w:color="auto" w:fill="auto"/>
          </w:tcPr>
          <w:p w:rsidR="00D64547" w:rsidRPr="00CD06FB" w:rsidRDefault="00D64547" w:rsidP="00966F14">
            <w:pPr>
              <w:spacing w:after="0" w:line="240" w:lineRule="auto"/>
              <w:jc w:val="right"/>
              <w:rPr>
                <w:rFonts w:ascii="Arial Narrow" w:hAnsi="Arial Narrow" w:cs="Arial"/>
                <w:sz w:val="16"/>
                <w:szCs w:val="16"/>
              </w:rPr>
            </w:pPr>
          </w:p>
        </w:tc>
      </w:tr>
      <w:tr w:rsidR="00736568" w:rsidRPr="00EE74F4" w:rsidTr="007609D2">
        <w:tc>
          <w:tcPr>
            <w:tcW w:w="267" w:type="dxa"/>
            <w:tcBorders>
              <w:bottom w:val="single" w:sz="4" w:space="0" w:color="auto"/>
            </w:tcBorders>
            <w:shd w:val="clear" w:color="auto" w:fill="auto"/>
          </w:tcPr>
          <w:p w:rsidR="00F423AE" w:rsidRPr="009B7F4D" w:rsidRDefault="00F423AE" w:rsidP="00966F14">
            <w:pPr>
              <w:spacing w:after="0" w:line="240" w:lineRule="auto"/>
              <w:rPr>
                <w:rFonts w:ascii="Arial Narrow" w:hAnsi="Arial Narrow" w:cs="Arial"/>
                <w:sz w:val="16"/>
                <w:szCs w:val="16"/>
              </w:rPr>
            </w:pPr>
          </w:p>
        </w:tc>
        <w:tc>
          <w:tcPr>
            <w:tcW w:w="3045" w:type="dxa"/>
            <w:tcBorders>
              <w:bottom w:val="single" w:sz="4" w:space="0" w:color="auto"/>
            </w:tcBorders>
            <w:shd w:val="clear" w:color="auto" w:fill="auto"/>
          </w:tcPr>
          <w:p w:rsidR="00F423AE" w:rsidRPr="009B7F4D" w:rsidRDefault="00F423AE" w:rsidP="00966F14">
            <w:pPr>
              <w:spacing w:after="0" w:line="240" w:lineRule="auto"/>
              <w:rPr>
                <w:rFonts w:ascii="Arial Narrow" w:hAnsi="Arial Narrow" w:cs="Arial"/>
                <w:sz w:val="16"/>
                <w:szCs w:val="16"/>
              </w:rPr>
            </w:pPr>
            <w:r w:rsidRPr="009B7F4D">
              <w:rPr>
                <w:rFonts w:ascii="Arial Narrow" w:hAnsi="Arial Narrow" w:cs="Arial"/>
                <w:sz w:val="16"/>
                <w:szCs w:val="16"/>
              </w:rPr>
              <w:t>Maintenance and Other Operating Expenses</w:t>
            </w:r>
          </w:p>
        </w:tc>
        <w:tc>
          <w:tcPr>
            <w:tcW w:w="1350" w:type="dxa"/>
            <w:tcBorders>
              <w:bottom w:val="single" w:sz="4" w:space="0" w:color="auto"/>
            </w:tcBorders>
            <w:shd w:val="clear" w:color="auto" w:fill="auto"/>
          </w:tcPr>
          <w:p w:rsidR="00D64547" w:rsidRDefault="00736568" w:rsidP="00966F14">
            <w:pPr>
              <w:spacing w:after="0" w:line="240" w:lineRule="auto"/>
              <w:jc w:val="right"/>
              <w:rPr>
                <w:rFonts w:ascii="Arial Narrow" w:hAnsi="Arial Narrow" w:cs="Arial"/>
                <w:sz w:val="16"/>
                <w:szCs w:val="16"/>
              </w:rPr>
            </w:pPr>
            <w:r w:rsidRPr="00736568">
              <w:rPr>
                <w:rFonts w:ascii="Arial Narrow" w:hAnsi="Arial Narrow" w:cs="Arial"/>
                <w:sz w:val="16"/>
                <w:szCs w:val="16"/>
              </w:rPr>
              <w:t>26</w:t>
            </w:r>
            <w:r>
              <w:rPr>
                <w:rFonts w:ascii="Arial Narrow" w:hAnsi="Arial Narrow" w:cs="Arial"/>
                <w:sz w:val="16"/>
                <w:szCs w:val="16"/>
              </w:rPr>
              <w:t>,</w:t>
            </w:r>
            <w:r w:rsidRPr="00736568">
              <w:rPr>
                <w:rFonts w:ascii="Arial Narrow" w:hAnsi="Arial Narrow" w:cs="Arial"/>
                <w:sz w:val="16"/>
                <w:szCs w:val="16"/>
              </w:rPr>
              <w:t>594</w:t>
            </w:r>
            <w:r>
              <w:rPr>
                <w:rFonts w:ascii="Arial Narrow" w:hAnsi="Arial Narrow" w:cs="Arial"/>
                <w:sz w:val="16"/>
                <w:szCs w:val="16"/>
              </w:rPr>
              <w:t>,</w:t>
            </w:r>
            <w:r w:rsidRPr="00736568">
              <w:rPr>
                <w:rFonts w:ascii="Arial Narrow" w:hAnsi="Arial Narrow" w:cs="Arial"/>
                <w:sz w:val="16"/>
                <w:szCs w:val="16"/>
              </w:rPr>
              <w:t>529</w:t>
            </w:r>
          </w:p>
        </w:tc>
        <w:tc>
          <w:tcPr>
            <w:tcW w:w="1350" w:type="dxa"/>
            <w:tcBorders>
              <w:bottom w:val="single" w:sz="4" w:space="0" w:color="auto"/>
            </w:tcBorders>
            <w:shd w:val="clear" w:color="auto" w:fill="auto"/>
          </w:tcPr>
          <w:p w:rsidR="00D64547" w:rsidRPr="00DA2605" w:rsidRDefault="00736568" w:rsidP="00966F14">
            <w:pPr>
              <w:spacing w:after="0" w:line="240" w:lineRule="auto"/>
              <w:jc w:val="right"/>
              <w:rPr>
                <w:rFonts w:ascii="Arial Narrow" w:hAnsi="Arial Narrow" w:cs="Arial"/>
                <w:sz w:val="16"/>
                <w:szCs w:val="16"/>
              </w:rPr>
            </w:pPr>
            <w:r w:rsidRPr="00DA2605">
              <w:rPr>
                <w:rFonts w:ascii="Arial Narrow" w:hAnsi="Arial Narrow" w:cs="Arial"/>
                <w:sz w:val="16"/>
                <w:szCs w:val="16"/>
              </w:rPr>
              <w:t>29,314,571</w:t>
            </w:r>
          </w:p>
        </w:tc>
        <w:tc>
          <w:tcPr>
            <w:tcW w:w="1350" w:type="dxa"/>
            <w:tcBorders>
              <w:bottom w:val="single" w:sz="4" w:space="0" w:color="auto"/>
            </w:tcBorders>
            <w:shd w:val="clear" w:color="auto" w:fill="auto"/>
          </w:tcPr>
          <w:p w:rsidR="00D64547" w:rsidRDefault="00F423AE" w:rsidP="00966F14">
            <w:pPr>
              <w:spacing w:after="0" w:line="240" w:lineRule="auto"/>
              <w:jc w:val="right"/>
              <w:rPr>
                <w:rFonts w:ascii="Arial Narrow" w:hAnsi="Arial Narrow" w:cs="Arial"/>
                <w:sz w:val="16"/>
                <w:szCs w:val="16"/>
              </w:rPr>
            </w:pPr>
            <w:r w:rsidRPr="009B7F4D">
              <w:rPr>
                <w:rFonts w:ascii="Arial Narrow" w:hAnsi="Arial Narrow" w:cs="Arial"/>
                <w:sz w:val="16"/>
                <w:szCs w:val="16"/>
              </w:rPr>
              <w:t>22,020,086</w:t>
            </w:r>
          </w:p>
        </w:tc>
        <w:tc>
          <w:tcPr>
            <w:tcW w:w="1620" w:type="dxa"/>
            <w:tcBorders>
              <w:bottom w:val="single" w:sz="4" w:space="0" w:color="auto"/>
            </w:tcBorders>
            <w:shd w:val="clear" w:color="auto" w:fill="auto"/>
          </w:tcPr>
          <w:p w:rsidR="00D64547" w:rsidRPr="00CD06FB" w:rsidRDefault="006B6B80" w:rsidP="00966F14">
            <w:pPr>
              <w:spacing w:after="0" w:line="240" w:lineRule="auto"/>
              <w:jc w:val="right"/>
              <w:rPr>
                <w:rFonts w:ascii="Arial Narrow" w:hAnsi="Arial Narrow" w:cs="Arial"/>
                <w:sz w:val="16"/>
                <w:szCs w:val="16"/>
              </w:rPr>
            </w:pPr>
            <w:r>
              <w:rPr>
                <w:rFonts w:ascii="Arial Narrow" w:hAnsi="Arial Narrow" w:cs="Arial"/>
                <w:sz w:val="16"/>
                <w:szCs w:val="16"/>
              </w:rPr>
              <w:t>21,272,825</w:t>
            </w:r>
          </w:p>
        </w:tc>
      </w:tr>
    </w:tbl>
    <w:p w:rsidR="00ED4818" w:rsidRDefault="00ED4818" w:rsidP="00966F14">
      <w:pPr>
        <w:spacing w:after="0" w:line="240" w:lineRule="auto"/>
        <w:rPr>
          <w:rFonts w:ascii="Arial" w:hAnsi="Arial" w:cs="Arial"/>
          <w:b/>
        </w:rPr>
      </w:pPr>
    </w:p>
    <w:p w:rsidR="00C55865" w:rsidRDefault="00C55865" w:rsidP="00966F14">
      <w:pPr>
        <w:spacing w:after="0" w:line="240" w:lineRule="auto"/>
        <w:rPr>
          <w:rFonts w:ascii="Arial" w:hAnsi="Arial" w:cs="Arial"/>
          <w:b/>
        </w:rPr>
      </w:pPr>
    </w:p>
    <w:p w:rsidR="00AA632B" w:rsidRPr="007F2BA2" w:rsidRDefault="004E725C" w:rsidP="00966F14">
      <w:pPr>
        <w:pStyle w:val="ListParagraph"/>
        <w:numPr>
          <w:ilvl w:val="0"/>
          <w:numId w:val="31"/>
        </w:numPr>
        <w:spacing w:after="0" w:line="240" w:lineRule="auto"/>
        <w:ind w:left="360"/>
        <w:rPr>
          <w:rFonts w:ascii="Arial" w:hAnsi="Arial" w:cs="Arial"/>
          <w:b/>
        </w:rPr>
      </w:pPr>
      <w:r w:rsidRPr="007F2BA2">
        <w:rPr>
          <w:rFonts w:ascii="Arial" w:hAnsi="Arial" w:cs="Arial"/>
          <w:b/>
        </w:rPr>
        <w:t>Scope of Audit</w:t>
      </w:r>
    </w:p>
    <w:p w:rsidR="00AA632B" w:rsidRPr="0033067C" w:rsidRDefault="00AA632B" w:rsidP="00966F14">
      <w:pPr>
        <w:spacing w:after="0" w:line="240" w:lineRule="auto"/>
        <w:rPr>
          <w:rFonts w:ascii="Arial" w:hAnsi="Arial" w:cs="Arial"/>
          <w:sz w:val="20"/>
          <w:szCs w:val="20"/>
        </w:rPr>
      </w:pPr>
    </w:p>
    <w:p w:rsidR="00AA632B" w:rsidRPr="0033067C" w:rsidRDefault="002131A4" w:rsidP="00966F14">
      <w:pPr>
        <w:spacing w:after="0" w:line="240" w:lineRule="auto"/>
        <w:jc w:val="both"/>
        <w:rPr>
          <w:rFonts w:ascii="Arial" w:hAnsi="Arial" w:cs="Arial"/>
        </w:rPr>
      </w:pPr>
      <w:r>
        <w:rPr>
          <w:rFonts w:ascii="Arial" w:hAnsi="Arial" w:cs="Arial"/>
        </w:rPr>
        <w:t>The audit covered the examination, on a test basis, of the accounts and financial transactions of the PCSO for</w:t>
      </w:r>
      <w:r w:rsidR="007F18AE">
        <w:rPr>
          <w:rFonts w:ascii="Arial" w:hAnsi="Arial" w:cs="Arial"/>
        </w:rPr>
        <w:t xml:space="preserve"> CY 201</w:t>
      </w:r>
      <w:r w:rsidR="00B551E1">
        <w:rPr>
          <w:rFonts w:ascii="Arial" w:hAnsi="Arial" w:cs="Arial"/>
        </w:rPr>
        <w:t>7</w:t>
      </w:r>
      <w:r w:rsidR="007F18AE">
        <w:rPr>
          <w:rFonts w:ascii="Arial" w:hAnsi="Arial" w:cs="Arial"/>
        </w:rPr>
        <w:t xml:space="preserve"> </w:t>
      </w:r>
      <w:r>
        <w:rPr>
          <w:rFonts w:ascii="Arial" w:hAnsi="Arial" w:cs="Arial"/>
        </w:rPr>
        <w:t xml:space="preserve">in accordance with the </w:t>
      </w:r>
      <w:r w:rsidR="00BA534E" w:rsidRPr="00C55865">
        <w:rPr>
          <w:rFonts w:ascii="Arial" w:hAnsi="Arial" w:cs="Arial"/>
        </w:rPr>
        <w:t>Philippine Public Sector Standards on Auditing (PPSSA)</w:t>
      </w:r>
      <w:r w:rsidR="00AA632B" w:rsidRPr="004933F1">
        <w:rPr>
          <w:rFonts w:ascii="Arial" w:hAnsi="Arial" w:cs="Arial"/>
        </w:rPr>
        <w:t>.</w:t>
      </w:r>
      <w:r w:rsidR="00EA7CB9">
        <w:rPr>
          <w:rFonts w:ascii="Arial" w:hAnsi="Arial" w:cs="Arial"/>
        </w:rPr>
        <w:t xml:space="preserve"> It also includes determination of PCSO’s extent of compliance with existing laws, rules and regulations, as well as internal policies of PCSO. To a limited extent, the evaluation of the adequacy and effectiveness of systems and procedures of certain aspects of PCSO’s operations was also undertaken.</w:t>
      </w:r>
    </w:p>
    <w:p w:rsidR="004933F1" w:rsidRDefault="004933F1" w:rsidP="00966F14">
      <w:pPr>
        <w:spacing w:after="0" w:line="240" w:lineRule="auto"/>
        <w:jc w:val="both"/>
        <w:rPr>
          <w:rFonts w:ascii="Arial" w:hAnsi="Arial" w:cs="Arial"/>
          <w:sz w:val="24"/>
          <w:szCs w:val="20"/>
          <w:highlight w:val="yellow"/>
        </w:rPr>
      </w:pPr>
    </w:p>
    <w:p w:rsidR="004933F1" w:rsidRDefault="004933F1" w:rsidP="00966F14">
      <w:pPr>
        <w:spacing w:after="0" w:line="240" w:lineRule="auto"/>
        <w:jc w:val="both"/>
        <w:rPr>
          <w:rFonts w:ascii="Arial" w:hAnsi="Arial" w:cs="Arial"/>
          <w:b/>
        </w:rPr>
      </w:pPr>
    </w:p>
    <w:p w:rsidR="00276E98" w:rsidRDefault="00276E98" w:rsidP="00966F14">
      <w:pPr>
        <w:spacing w:after="0" w:line="240" w:lineRule="auto"/>
        <w:jc w:val="both"/>
        <w:rPr>
          <w:rFonts w:ascii="Arial" w:hAnsi="Arial" w:cs="Arial"/>
          <w:b/>
        </w:rPr>
      </w:pPr>
    </w:p>
    <w:p w:rsidR="00276E98" w:rsidRDefault="00276E98" w:rsidP="00966F14">
      <w:pPr>
        <w:spacing w:after="0" w:line="240" w:lineRule="auto"/>
        <w:jc w:val="both"/>
        <w:rPr>
          <w:rFonts w:ascii="Arial" w:hAnsi="Arial" w:cs="Arial"/>
          <w:b/>
        </w:rPr>
      </w:pPr>
    </w:p>
    <w:p w:rsidR="00276E98" w:rsidRDefault="00276E98" w:rsidP="00966F14">
      <w:pPr>
        <w:spacing w:after="0" w:line="240" w:lineRule="auto"/>
        <w:jc w:val="both"/>
        <w:rPr>
          <w:rFonts w:ascii="Arial" w:hAnsi="Arial" w:cs="Arial"/>
          <w:b/>
        </w:rPr>
      </w:pPr>
    </w:p>
    <w:p w:rsidR="00AA632B" w:rsidRPr="007F2BA2" w:rsidRDefault="00BA534E" w:rsidP="00966F14">
      <w:pPr>
        <w:pStyle w:val="ListParagraph"/>
        <w:numPr>
          <w:ilvl w:val="0"/>
          <w:numId w:val="31"/>
        </w:numPr>
        <w:spacing w:after="0" w:line="240" w:lineRule="auto"/>
        <w:ind w:left="360"/>
        <w:jc w:val="both"/>
        <w:rPr>
          <w:rFonts w:ascii="Arial" w:hAnsi="Arial" w:cs="Arial"/>
          <w:b/>
        </w:rPr>
      </w:pPr>
      <w:r w:rsidRPr="007F2BA2">
        <w:rPr>
          <w:rFonts w:ascii="Arial" w:hAnsi="Arial" w:cs="Arial"/>
          <w:b/>
        </w:rPr>
        <w:lastRenderedPageBreak/>
        <w:t>Independent Auditor’s Report on the Financial Statements</w:t>
      </w:r>
    </w:p>
    <w:p w:rsidR="00AA632B" w:rsidRPr="0033067C" w:rsidRDefault="00AA632B" w:rsidP="00966F14">
      <w:pPr>
        <w:spacing w:after="0" w:line="240" w:lineRule="auto"/>
        <w:jc w:val="both"/>
        <w:rPr>
          <w:rFonts w:ascii="Arial" w:hAnsi="Arial" w:cs="Arial"/>
          <w:sz w:val="20"/>
          <w:szCs w:val="20"/>
        </w:rPr>
      </w:pPr>
    </w:p>
    <w:p w:rsidR="000E5C7F" w:rsidRPr="00A57983" w:rsidRDefault="00DC5D60" w:rsidP="00966F14">
      <w:pPr>
        <w:pStyle w:val="ListParagraph"/>
        <w:spacing w:after="0" w:line="240" w:lineRule="auto"/>
        <w:ind w:left="0"/>
        <w:jc w:val="both"/>
        <w:rPr>
          <w:rFonts w:ascii="Arial" w:hAnsi="Arial" w:cs="Arial"/>
        </w:rPr>
      </w:pPr>
      <w:r>
        <w:rPr>
          <w:rFonts w:ascii="Arial" w:hAnsi="Arial" w:cs="Arial"/>
        </w:rPr>
        <w:t>We</w:t>
      </w:r>
      <w:r w:rsidR="0029336E" w:rsidRPr="00ED4818">
        <w:rPr>
          <w:rFonts w:ascii="Arial" w:hAnsi="Arial" w:cs="Arial"/>
        </w:rPr>
        <w:t xml:space="preserve"> rendered </w:t>
      </w:r>
      <w:r w:rsidR="007F2BA2">
        <w:rPr>
          <w:rFonts w:ascii="Arial" w:hAnsi="Arial" w:cs="Arial"/>
        </w:rPr>
        <w:t>an adverse</w:t>
      </w:r>
      <w:r w:rsidR="0029336E" w:rsidRPr="00ED4818">
        <w:rPr>
          <w:rFonts w:ascii="Arial" w:hAnsi="Arial" w:cs="Arial"/>
        </w:rPr>
        <w:t xml:space="preserve"> opinion on the fairness of presentation of the financial statements of the PCSO for the year 201</w:t>
      </w:r>
      <w:r w:rsidR="007F2BA2" w:rsidRPr="00A57983">
        <w:rPr>
          <w:rFonts w:ascii="Arial" w:hAnsi="Arial" w:cs="Arial"/>
        </w:rPr>
        <w:t>7</w:t>
      </w:r>
      <w:r w:rsidR="00520C23" w:rsidRPr="00A57983">
        <w:rPr>
          <w:rFonts w:ascii="Arial" w:hAnsi="Arial" w:cs="Arial"/>
        </w:rPr>
        <w:t xml:space="preserve"> </w:t>
      </w:r>
      <w:r w:rsidR="000E5C7F" w:rsidRPr="00A57983">
        <w:rPr>
          <w:rFonts w:ascii="Arial" w:hAnsi="Arial" w:cs="Arial"/>
        </w:rPr>
        <w:t>due to</w:t>
      </w:r>
      <w:r w:rsidR="007F2BA2" w:rsidRPr="00A57983">
        <w:rPr>
          <w:rFonts w:ascii="Arial" w:hAnsi="Arial" w:cs="Arial"/>
        </w:rPr>
        <w:t xml:space="preserve"> the following</w:t>
      </w:r>
      <w:r w:rsidR="000E5C7F" w:rsidRPr="00A57983">
        <w:rPr>
          <w:rFonts w:ascii="Arial" w:hAnsi="Arial" w:cs="Arial"/>
        </w:rPr>
        <w:t>:</w:t>
      </w:r>
      <w:r w:rsidR="007F2BA2" w:rsidRPr="00A57983">
        <w:rPr>
          <w:rFonts w:ascii="Arial" w:hAnsi="Arial" w:cs="Arial"/>
        </w:rPr>
        <w:t xml:space="preserve"> (a) </w:t>
      </w:r>
      <w:r w:rsidR="00A57983" w:rsidRPr="00A57983">
        <w:rPr>
          <w:rFonts w:ascii="Arial" w:hAnsi="Arial" w:cs="Arial"/>
        </w:rPr>
        <w:t>the Accounts Receivable (A/R) net account balance of P1.166 billion was grossly misstated and, therefore, unreliable considering the negative (credit) balances of 134 sub-accounts totaling P22.306 billion and the non-elimination of prior years’ intra-agency transactions overstating the receivables by P20.412 million</w:t>
      </w:r>
      <w:r w:rsidRPr="00A57983">
        <w:rPr>
          <w:rFonts w:ascii="Arial" w:hAnsi="Arial" w:cs="Arial"/>
        </w:rPr>
        <w:t xml:space="preserve">; (b) </w:t>
      </w:r>
      <w:r w:rsidR="00A57983" w:rsidRPr="00A57983">
        <w:rPr>
          <w:rFonts w:ascii="Arial" w:hAnsi="Arial" w:cs="Arial"/>
        </w:rPr>
        <w:t>the Cash and Cash Equivalents account totaling P10.344 billion was grossly misstated and, therefore, unreliable considering the negative (credit) balances of 119 sub-accounts totaling P1.140 billion and the discrepancies between the balances recorded in the books and the records of the various branch offices totaling P149.358 million</w:t>
      </w:r>
      <w:r w:rsidRPr="00A57983">
        <w:rPr>
          <w:rFonts w:ascii="Arial" w:hAnsi="Arial" w:cs="Arial"/>
        </w:rPr>
        <w:t xml:space="preserve">; (c) </w:t>
      </w:r>
      <w:r w:rsidR="00A57983" w:rsidRPr="00A57983">
        <w:rPr>
          <w:rFonts w:ascii="Arial" w:hAnsi="Arial" w:cs="Arial"/>
        </w:rPr>
        <w:t>discrepancies totaling P706.514 million were noted between the balance per books and the balance per bank confirmations pertaining to the various accounts of the Main Accounts, Operating Fund, Charity Fund and Prize Fund casting doubt on the validity and reliability of the balance of the Cash in Bank account presented in the financial statements as of December 31, 2017</w:t>
      </w:r>
      <w:r w:rsidRPr="00A57983">
        <w:rPr>
          <w:rFonts w:ascii="Arial" w:hAnsi="Arial" w:cs="Arial"/>
        </w:rPr>
        <w:t xml:space="preserve">; (d) </w:t>
      </w:r>
      <w:r w:rsidR="00A57983" w:rsidRPr="00A57983">
        <w:rPr>
          <w:rFonts w:ascii="Arial" w:hAnsi="Arial" w:cs="Arial"/>
        </w:rPr>
        <w:t>the recorded balance of the Share of Local Government Units (LGUs) account was overstated by P243.042 million as of December 31, 2017 due to the non-reversal of the  CY 2016 accruals affecting the subject account, resulting in the overstatement of the Charity Fund expenses presented in the Statement of Charity Fund Utilization for the period ended December 31, 2017</w:t>
      </w:r>
      <w:r w:rsidRPr="00A57983">
        <w:rPr>
          <w:rFonts w:ascii="Arial" w:hAnsi="Arial" w:cs="Arial"/>
        </w:rPr>
        <w:t xml:space="preserve">; and (e) </w:t>
      </w:r>
      <w:r w:rsidR="00A57983" w:rsidRPr="00A57983">
        <w:rPr>
          <w:rFonts w:ascii="Arial" w:hAnsi="Arial" w:cs="Arial"/>
        </w:rPr>
        <w:t>the mandatory contributions to the National Museum Endowment Fund, Quirino Memorial Center, and OWWA-Congressional Migrant Workers Scholarship Fund of P321.847 million was erroneously recorded as P521.646 million resulting in the understatement of Due to Other Funds-Charity account and overstatement of Miscellaneous Accounts Payable account both by P199.799 million</w:t>
      </w:r>
      <w:r w:rsidRPr="00A57983">
        <w:rPr>
          <w:rFonts w:ascii="Arial" w:hAnsi="Arial" w:cs="Arial"/>
        </w:rPr>
        <w:t>.</w:t>
      </w:r>
    </w:p>
    <w:p w:rsidR="00DC5D60" w:rsidRDefault="00DC5D60" w:rsidP="00966F14">
      <w:pPr>
        <w:pStyle w:val="ListParagraph"/>
        <w:spacing w:after="0" w:line="240" w:lineRule="auto"/>
        <w:ind w:left="0"/>
        <w:jc w:val="both"/>
        <w:rPr>
          <w:rFonts w:ascii="Arial" w:hAnsi="Arial" w:cs="Arial"/>
        </w:rPr>
      </w:pPr>
    </w:p>
    <w:p w:rsidR="00DC5D60" w:rsidRDefault="00DC5D60" w:rsidP="00966F14">
      <w:pPr>
        <w:pStyle w:val="ListParagraph"/>
        <w:spacing w:after="0" w:line="240" w:lineRule="auto"/>
        <w:ind w:left="0"/>
        <w:jc w:val="both"/>
        <w:rPr>
          <w:rFonts w:ascii="Arial" w:hAnsi="Arial" w:cs="Arial"/>
        </w:rPr>
      </w:pPr>
      <w:r>
        <w:rPr>
          <w:rFonts w:ascii="Arial" w:hAnsi="Arial" w:cs="Arial"/>
        </w:rPr>
        <w:t>For the above observations, which caused the issuance of an adverse opinion, we recommended that Management:</w:t>
      </w:r>
    </w:p>
    <w:p w:rsidR="000E5C7F" w:rsidRDefault="000E5C7F" w:rsidP="00966F14">
      <w:pPr>
        <w:pStyle w:val="ListParagraph"/>
        <w:spacing w:after="0" w:line="240" w:lineRule="auto"/>
        <w:ind w:left="0"/>
        <w:jc w:val="both"/>
        <w:rPr>
          <w:rFonts w:ascii="Arial" w:hAnsi="Arial" w:cs="Arial"/>
        </w:rPr>
      </w:pPr>
    </w:p>
    <w:p w:rsidR="00966F14" w:rsidRPr="00A57983" w:rsidRDefault="00A57983" w:rsidP="00966F14">
      <w:pPr>
        <w:pStyle w:val="ListParagraph"/>
        <w:numPr>
          <w:ilvl w:val="0"/>
          <w:numId w:val="28"/>
        </w:numPr>
        <w:spacing w:after="0" w:line="240" w:lineRule="auto"/>
        <w:ind w:left="357" w:hanging="357"/>
        <w:jc w:val="both"/>
        <w:rPr>
          <w:rFonts w:ascii="Arial" w:hAnsi="Arial" w:cs="Arial"/>
        </w:rPr>
      </w:pPr>
      <w:r w:rsidRPr="00A57983">
        <w:rPr>
          <w:rFonts w:ascii="Arial" w:hAnsi="Arial" w:cs="Arial"/>
        </w:rPr>
        <w:t>Direct the concerned officials of the ABD and the different PCSO Branch Offices to conduct a thorough evaluation and reconciliation of the receivable accounts and determine the cause/s of the negative balances of the 134 sub-accounts.  Thereafter, effect the necessary adjusting entries relating thereto as well as that pertaining to the P20.412 million overstatement</w:t>
      </w:r>
      <w:r w:rsidR="00966F14" w:rsidRPr="00A57983">
        <w:rPr>
          <w:rFonts w:ascii="Arial" w:hAnsi="Arial" w:cs="Arial"/>
        </w:rPr>
        <w:t>;</w:t>
      </w:r>
    </w:p>
    <w:p w:rsidR="00966F14" w:rsidRPr="001D2099" w:rsidRDefault="00966F14" w:rsidP="00966F14">
      <w:pPr>
        <w:pStyle w:val="ListParagraph"/>
        <w:spacing w:after="0" w:line="240" w:lineRule="auto"/>
        <w:ind w:left="357"/>
        <w:jc w:val="both"/>
        <w:rPr>
          <w:rFonts w:ascii="Arial" w:hAnsi="Arial" w:cs="Arial"/>
        </w:rPr>
      </w:pPr>
    </w:p>
    <w:p w:rsidR="00966F14" w:rsidRPr="00624BD1" w:rsidRDefault="00A57983" w:rsidP="00966F14">
      <w:pPr>
        <w:pStyle w:val="ListParagraph"/>
        <w:numPr>
          <w:ilvl w:val="0"/>
          <w:numId w:val="28"/>
        </w:numPr>
        <w:spacing w:after="0" w:line="240" w:lineRule="auto"/>
        <w:ind w:left="357" w:hanging="357"/>
        <w:jc w:val="both"/>
        <w:rPr>
          <w:rFonts w:ascii="Arial" w:hAnsi="Arial" w:cs="Arial"/>
        </w:rPr>
      </w:pPr>
      <w:r w:rsidRPr="00A57983">
        <w:rPr>
          <w:rFonts w:ascii="Arial" w:hAnsi="Arial" w:cs="Arial"/>
        </w:rPr>
        <w:t xml:space="preserve">Direct the concerned officials of the ABD and the different PCSO Branch Offices to conduct a thorough analysis and reconciliation of the cash and cash equivalents account in order to determine the cause/s of the negative balances of the 119 sub-accounts and discrepancies in balances totaling P149.358 million.  Thereafter, effect the necessary </w:t>
      </w:r>
      <w:r w:rsidRPr="00624BD1">
        <w:rPr>
          <w:rFonts w:ascii="Arial" w:hAnsi="Arial" w:cs="Arial"/>
        </w:rPr>
        <w:t>adjusting entries to provide accurate and reliable information, pursuant to paragraph 15 of PAS 1</w:t>
      </w:r>
      <w:r w:rsidR="00966F14" w:rsidRPr="00624BD1">
        <w:rPr>
          <w:rFonts w:ascii="Arial" w:hAnsi="Arial" w:cs="Arial"/>
        </w:rPr>
        <w:t>;</w:t>
      </w:r>
    </w:p>
    <w:p w:rsidR="00966F14" w:rsidRPr="00624BD1" w:rsidRDefault="00966F14" w:rsidP="00966F14">
      <w:pPr>
        <w:pStyle w:val="ListParagraph"/>
        <w:spacing w:after="0" w:line="240" w:lineRule="auto"/>
        <w:ind w:left="357"/>
        <w:jc w:val="both"/>
        <w:rPr>
          <w:rFonts w:ascii="Arial" w:hAnsi="Arial" w:cs="Arial"/>
        </w:rPr>
      </w:pPr>
    </w:p>
    <w:p w:rsidR="00966F14" w:rsidRPr="00624BD1" w:rsidRDefault="00A57983" w:rsidP="00966F14">
      <w:pPr>
        <w:pStyle w:val="ListParagraph"/>
        <w:numPr>
          <w:ilvl w:val="0"/>
          <w:numId w:val="28"/>
        </w:numPr>
        <w:spacing w:after="0" w:line="240" w:lineRule="auto"/>
        <w:ind w:left="357" w:hanging="357"/>
        <w:jc w:val="both"/>
        <w:rPr>
          <w:rFonts w:ascii="Arial" w:hAnsi="Arial" w:cs="Arial"/>
        </w:rPr>
      </w:pPr>
      <w:r w:rsidRPr="00624BD1">
        <w:rPr>
          <w:rFonts w:ascii="Arial" w:hAnsi="Arial" w:cs="Arial"/>
        </w:rPr>
        <w:t>Direct the concerned accounting personnel to effect the necessary adjusting entries, after a thorough verification of the book reconciling items for each of the subject bank accounts, in order to present fairly the balance of the Cash in Bank account in the financial statements.  Moreover, direct the concerned official to intensify coordination with the corresponding depositary bank to thresh out the details of the subject reconciling items, especially the unposted deposits totaling P8.823 million, so that necessary adjustments will be effected in the books</w:t>
      </w:r>
      <w:r w:rsidR="00772FF1" w:rsidRPr="00624BD1">
        <w:rPr>
          <w:rFonts w:ascii="Arial" w:hAnsi="Arial" w:cs="Arial"/>
        </w:rPr>
        <w:t>.</w:t>
      </w:r>
    </w:p>
    <w:p w:rsidR="00966F14" w:rsidRPr="001D2099" w:rsidRDefault="00966F14" w:rsidP="00966F14">
      <w:pPr>
        <w:pStyle w:val="ListParagraph"/>
        <w:spacing w:after="0" w:line="240" w:lineRule="auto"/>
        <w:ind w:left="357"/>
        <w:jc w:val="both"/>
        <w:rPr>
          <w:rFonts w:ascii="Arial" w:hAnsi="Arial" w:cs="Arial"/>
        </w:rPr>
      </w:pPr>
    </w:p>
    <w:p w:rsidR="00966F14" w:rsidRPr="00A57983" w:rsidRDefault="00966F14" w:rsidP="00966F14">
      <w:pPr>
        <w:pStyle w:val="ListParagraph"/>
        <w:numPr>
          <w:ilvl w:val="0"/>
          <w:numId w:val="28"/>
        </w:numPr>
        <w:spacing w:after="0" w:line="240" w:lineRule="auto"/>
        <w:ind w:left="357" w:hanging="357"/>
        <w:jc w:val="both"/>
        <w:rPr>
          <w:rFonts w:ascii="Arial" w:hAnsi="Arial" w:cs="Arial"/>
        </w:rPr>
      </w:pPr>
      <w:r w:rsidRPr="00A57983">
        <w:rPr>
          <w:rFonts w:ascii="Arial" w:eastAsia="Times New Roman" w:hAnsi="Arial" w:cs="Arial"/>
        </w:rPr>
        <w:t>E</w:t>
      </w:r>
      <w:r w:rsidR="00A57983" w:rsidRPr="00A57983">
        <w:rPr>
          <w:rFonts w:ascii="Arial" w:eastAsia="Times New Roman" w:hAnsi="Arial" w:cs="Arial"/>
        </w:rPr>
        <w:t xml:space="preserve">ffect the </w:t>
      </w:r>
      <w:r w:rsidR="00A57983" w:rsidRPr="00A57983">
        <w:rPr>
          <w:rFonts w:ascii="Arial" w:hAnsi="Arial" w:cs="Arial"/>
        </w:rPr>
        <w:t xml:space="preserve">necessary adjustment/s to correct the P243.042 million overstatement of the Share of LGUs account as of December 31, 2017 and present the correct expenses in the </w:t>
      </w:r>
      <w:r w:rsidR="00A57983" w:rsidRPr="00A57983">
        <w:rPr>
          <w:rFonts w:ascii="Arial" w:hAnsi="Arial" w:cs="Arial"/>
        </w:rPr>
        <w:lastRenderedPageBreak/>
        <w:t>Statement of Charity Fund Utilization for the period ended December 31, 2017.  Direct the Accounting and Budget Department (ABD) to safeguard against inaccurate or misleading information in the keeping of accounts</w:t>
      </w:r>
      <w:r w:rsidRPr="00A57983">
        <w:rPr>
          <w:rFonts w:ascii="Arial" w:hAnsi="Arial" w:cs="Arial"/>
        </w:rPr>
        <w:t>;</w:t>
      </w:r>
      <w:r w:rsidR="00A57983">
        <w:rPr>
          <w:rFonts w:ascii="Arial" w:hAnsi="Arial" w:cs="Arial"/>
        </w:rPr>
        <w:t xml:space="preserve"> and</w:t>
      </w:r>
    </w:p>
    <w:p w:rsidR="00966F14" w:rsidRPr="001D2099" w:rsidRDefault="00966F14" w:rsidP="00966F14">
      <w:pPr>
        <w:pStyle w:val="ListParagraph"/>
        <w:spacing w:after="0" w:line="240" w:lineRule="auto"/>
        <w:ind w:left="357"/>
        <w:jc w:val="both"/>
        <w:rPr>
          <w:rFonts w:ascii="Arial" w:hAnsi="Arial" w:cs="Arial"/>
        </w:rPr>
      </w:pPr>
    </w:p>
    <w:p w:rsidR="00966F14" w:rsidRPr="001A409C" w:rsidRDefault="001A409C" w:rsidP="00966F14">
      <w:pPr>
        <w:pStyle w:val="ListParagraph"/>
        <w:numPr>
          <w:ilvl w:val="0"/>
          <w:numId w:val="28"/>
        </w:numPr>
        <w:spacing w:after="0" w:line="240" w:lineRule="auto"/>
        <w:ind w:left="357" w:hanging="357"/>
        <w:jc w:val="both"/>
        <w:rPr>
          <w:rFonts w:ascii="Arial" w:hAnsi="Arial" w:cs="Arial"/>
        </w:rPr>
      </w:pPr>
      <w:r>
        <w:rPr>
          <w:rFonts w:ascii="Arial" w:hAnsi="Arial" w:cs="Arial"/>
        </w:rPr>
        <w:t>D</w:t>
      </w:r>
      <w:r w:rsidRPr="001A409C">
        <w:rPr>
          <w:rFonts w:ascii="Arial" w:hAnsi="Arial" w:cs="Arial"/>
        </w:rPr>
        <w:t>irect the concerned ABD personnel to effect the necessary adjusting entries to correct the understatement and overstatement of Due to Other Funds-Charity and Miscellaneous Accounts Payable accounts, respectively</w:t>
      </w:r>
      <w:r w:rsidR="00966F14" w:rsidRPr="001A409C">
        <w:rPr>
          <w:rFonts w:ascii="Arial" w:hAnsi="Arial" w:cs="Arial"/>
        </w:rPr>
        <w:t>.</w:t>
      </w:r>
    </w:p>
    <w:p w:rsidR="000E5C7F" w:rsidRDefault="000E5C7F" w:rsidP="00966F14">
      <w:pPr>
        <w:pStyle w:val="ListParagraph"/>
        <w:spacing w:after="0" w:line="240" w:lineRule="auto"/>
        <w:ind w:left="0"/>
        <w:jc w:val="both"/>
        <w:rPr>
          <w:rFonts w:ascii="Arial" w:hAnsi="Arial" w:cs="Arial"/>
        </w:rPr>
      </w:pPr>
    </w:p>
    <w:p w:rsidR="000473EE" w:rsidRPr="000E5C7F" w:rsidRDefault="000473EE" w:rsidP="00966F14">
      <w:pPr>
        <w:pStyle w:val="ListParagraph"/>
        <w:spacing w:after="0" w:line="240" w:lineRule="auto"/>
        <w:ind w:left="0"/>
        <w:jc w:val="both"/>
        <w:rPr>
          <w:rFonts w:ascii="Arial" w:hAnsi="Arial" w:cs="Arial"/>
        </w:rPr>
      </w:pPr>
    </w:p>
    <w:p w:rsidR="00AA632B" w:rsidRPr="007F2BA2" w:rsidRDefault="004E725C" w:rsidP="00966F14">
      <w:pPr>
        <w:pStyle w:val="ListParagraph"/>
        <w:numPr>
          <w:ilvl w:val="0"/>
          <w:numId w:val="31"/>
        </w:numPr>
        <w:spacing w:after="0" w:line="240" w:lineRule="auto"/>
        <w:ind w:left="360"/>
        <w:jc w:val="both"/>
        <w:rPr>
          <w:rFonts w:ascii="Arial" w:eastAsia="Times New Roman" w:hAnsi="Arial" w:cs="Arial"/>
          <w:b/>
          <w:bCs/>
          <w:color w:val="FF0000"/>
        </w:rPr>
      </w:pPr>
      <w:r w:rsidRPr="007F2BA2">
        <w:rPr>
          <w:rFonts w:ascii="Arial" w:eastAsia="Times New Roman" w:hAnsi="Arial" w:cs="Arial"/>
          <w:b/>
          <w:bCs/>
        </w:rPr>
        <w:t>Summary of Significant Audit Observations and Recommendations</w:t>
      </w:r>
    </w:p>
    <w:p w:rsidR="00AA632B" w:rsidRPr="0033067C" w:rsidRDefault="00AA632B" w:rsidP="00966F14">
      <w:pPr>
        <w:spacing w:after="0" w:line="240" w:lineRule="auto"/>
        <w:jc w:val="both"/>
        <w:rPr>
          <w:rFonts w:ascii="Arial" w:eastAsia="Times New Roman" w:hAnsi="Arial" w:cs="Arial"/>
          <w:b/>
          <w:bCs/>
          <w:sz w:val="20"/>
          <w:szCs w:val="20"/>
        </w:rPr>
      </w:pPr>
    </w:p>
    <w:p w:rsidR="00AA632B" w:rsidRPr="0033067C" w:rsidRDefault="000473EE" w:rsidP="00966F14">
      <w:pPr>
        <w:spacing w:after="0" w:line="240" w:lineRule="auto"/>
        <w:jc w:val="both"/>
        <w:rPr>
          <w:rFonts w:ascii="Arial" w:eastAsia="Times New Roman" w:hAnsi="Arial" w:cs="Arial"/>
          <w:b/>
          <w:bCs/>
        </w:rPr>
      </w:pPr>
      <w:r>
        <w:rPr>
          <w:rFonts w:ascii="Arial" w:hAnsi="Arial" w:cs="Arial"/>
        </w:rPr>
        <w:t>In addition to the audit observations which we considered in the rendition of our adverse opinion, presented below are other significant audit observations and recommendations, which are discussed in detail in Part II of the Report</w:t>
      </w:r>
      <w:r w:rsidR="00AA632B" w:rsidRPr="0033067C">
        <w:rPr>
          <w:rFonts w:ascii="Arial" w:hAnsi="Arial" w:cs="Arial"/>
        </w:rPr>
        <w:t xml:space="preserve">: </w:t>
      </w:r>
    </w:p>
    <w:p w:rsidR="000D05C8" w:rsidRDefault="000D05C8" w:rsidP="00966F14">
      <w:pPr>
        <w:pStyle w:val="BodyText2"/>
        <w:spacing w:after="0" w:line="240" w:lineRule="auto"/>
        <w:ind w:left="720" w:right="29"/>
        <w:jc w:val="both"/>
        <w:rPr>
          <w:rFonts w:ascii="Arial" w:hAnsi="Arial" w:cs="Arial"/>
          <w:sz w:val="24"/>
          <w:szCs w:val="20"/>
        </w:rPr>
      </w:pPr>
    </w:p>
    <w:p w:rsidR="00966F14" w:rsidRPr="00DF0B5C" w:rsidRDefault="00DF0B5C" w:rsidP="00966F14">
      <w:pPr>
        <w:pStyle w:val="BodyText2"/>
        <w:numPr>
          <w:ilvl w:val="0"/>
          <w:numId w:val="30"/>
        </w:numPr>
        <w:spacing w:after="0" w:line="240" w:lineRule="auto"/>
        <w:ind w:right="29"/>
        <w:jc w:val="both"/>
        <w:rPr>
          <w:rFonts w:ascii="Arial" w:hAnsi="Arial" w:cs="Arial"/>
          <w:lang w:val="en-PH"/>
        </w:rPr>
      </w:pPr>
      <w:r w:rsidRPr="00DF0B5C">
        <w:rPr>
          <w:rFonts w:ascii="Arial" w:hAnsi="Arial" w:cs="Arial"/>
        </w:rPr>
        <w:t>The sales collections reported by seventy-one (71) Authorized Agent Corporations (AACs) for CY 2017 were lower than their corresponding Presumptive Monthly Retail Receipts (PMRR) by P10.012 billion contrary to Section 18 (e) of the 2016 RIRR for the STL</w:t>
      </w:r>
      <w:r w:rsidR="00966F14" w:rsidRPr="00DF0B5C">
        <w:rPr>
          <w:rFonts w:ascii="Arial" w:hAnsi="Arial" w:cs="Arial"/>
        </w:rPr>
        <w:t>.</w:t>
      </w:r>
    </w:p>
    <w:p w:rsidR="00966F14" w:rsidRPr="00D624F4" w:rsidRDefault="00966F14" w:rsidP="00966F14">
      <w:pPr>
        <w:pStyle w:val="BodyText2"/>
        <w:spacing w:after="0" w:line="240" w:lineRule="auto"/>
        <w:ind w:left="360" w:right="29"/>
        <w:jc w:val="both"/>
        <w:rPr>
          <w:rFonts w:ascii="Arial" w:hAnsi="Arial" w:cs="Arial"/>
        </w:rPr>
      </w:pPr>
    </w:p>
    <w:p w:rsidR="00966F14" w:rsidRPr="00C86E3E" w:rsidRDefault="00966F14" w:rsidP="00966F14">
      <w:pPr>
        <w:pStyle w:val="BodyText2"/>
        <w:spacing w:after="0" w:line="240" w:lineRule="auto"/>
        <w:ind w:left="360" w:right="29"/>
        <w:jc w:val="both"/>
        <w:rPr>
          <w:rFonts w:ascii="Arial" w:hAnsi="Arial" w:cs="Arial"/>
        </w:rPr>
      </w:pPr>
      <w:r w:rsidRPr="00D624F4">
        <w:rPr>
          <w:rFonts w:ascii="Arial" w:hAnsi="Arial" w:cs="Arial"/>
          <w:i/>
        </w:rPr>
        <w:t>We recommended the strict implementation of Section 18 of the 2016 RIRR for the STL, particularly paragraph (e) thereof, which provides that in no case shall the total monthly sales collection be lower than the approved PMRR in the area</w:t>
      </w:r>
      <w:r w:rsidRPr="00C86E3E">
        <w:rPr>
          <w:rFonts w:ascii="Arial" w:hAnsi="Arial" w:cs="Arial"/>
          <w:i/>
        </w:rPr>
        <w:t>.</w:t>
      </w:r>
    </w:p>
    <w:p w:rsidR="00966F14" w:rsidRPr="00D624F4" w:rsidRDefault="00966F14" w:rsidP="00966F14">
      <w:pPr>
        <w:pStyle w:val="BodyText2"/>
        <w:spacing w:after="0" w:line="240" w:lineRule="auto"/>
        <w:ind w:left="360" w:right="29"/>
        <w:jc w:val="both"/>
        <w:rPr>
          <w:rFonts w:ascii="Arial" w:hAnsi="Arial" w:cs="Arial"/>
          <w:lang w:val="en-PH"/>
        </w:rPr>
      </w:pPr>
    </w:p>
    <w:p w:rsidR="00966F14" w:rsidRPr="00D624F4" w:rsidRDefault="00966F14" w:rsidP="00966F14">
      <w:pPr>
        <w:pStyle w:val="ListParagraph"/>
        <w:numPr>
          <w:ilvl w:val="0"/>
          <w:numId w:val="30"/>
        </w:numPr>
        <w:spacing w:after="0" w:line="240" w:lineRule="auto"/>
        <w:ind w:right="29"/>
        <w:jc w:val="both"/>
        <w:rPr>
          <w:rFonts w:ascii="Arial" w:hAnsi="Arial" w:cs="Arial"/>
        </w:rPr>
      </w:pPr>
      <w:r w:rsidRPr="00D624F4">
        <w:rPr>
          <w:rFonts w:ascii="Arial" w:hAnsi="Arial"/>
          <w:lang w:eastAsia="ar-SA"/>
        </w:rPr>
        <w:t xml:space="preserve">Shares in sales collections remitted by 71 AACs were short by P4.032 billion due to the </w:t>
      </w:r>
      <w:r w:rsidRPr="00D624F4">
        <w:rPr>
          <w:rFonts w:ascii="Arial" w:hAnsi="Arial" w:cs="Arial"/>
          <w:lang w:eastAsia="ar-SA"/>
        </w:rPr>
        <w:t xml:space="preserve">P10.012 billion </w:t>
      </w:r>
      <w:r w:rsidRPr="00D624F4">
        <w:rPr>
          <w:rFonts w:ascii="Arial" w:hAnsi="Arial"/>
          <w:lang w:eastAsia="ar-SA"/>
        </w:rPr>
        <w:t>shortfall in their PMRRs while the remittances of seven (7) AACs that met their PMRRS were short by P17.344 million, making a total of P4.049 billion under remittances during CY 2017</w:t>
      </w:r>
      <w:r w:rsidRPr="00D624F4">
        <w:rPr>
          <w:rFonts w:ascii="Arial" w:hAnsi="Arial" w:cs="Arial"/>
        </w:rPr>
        <w:t>.</w:t>
      </w:r>
    </w:p>
    <w:p w:rsidR="00966F14" w:rsidRPr="00C86E3E" w:rsidRDefault="00966F14" w:rsidP="00966F14">
      <w:pPr>
        <w:spacing w:after="0" w:line="240" w:lineRule="auto"/>
        <w:ind w:right="29"/>
        <w:jc w:val="both"/>
        <w:rPr>
          <w:rFonts w:ascii="Arial" w:hAnsi="Arial" w:cs="Arial"/>
        </w:rPr>
      </w:pPr>
    </w:p>
    <w:p w:rsidR="00966F14" w:rsidRPr="00C86E3E" w:rsidRDefault="00966F14" w:rsidP="00966F14">
      <w:pPr>
        <w:pStyle w:val="BodyText2"/>
        <w:spacing w:after="0" w:line="240" w:lineRule="auto"/>
        <w:ind w:left="360" w:right="29"/>
        <w:jc w:val="both"/>
        <w:rPr>
          <w:rFonts w:ascii="Arial" w:hAnsi="Arial" w:cs="Arial"/>
        </w:rPr>
      </w:pPr>
      <w:r w:rsidRPr="00C86E3E">
        <w:rPr>
          <w:rFonts w:ascii="Arial" w:hAnsi="Arial" w:cs="Arial"/>
          <w:i/>
        </w:rPr>
        <w:t>We recommended immediate collection from the concerned AACs of the short remittances totaling P4.049 billion</w:t>
      </w:r>
      <w:r>
        <w:rPr>
          <w:rFonts w:ascii="Arial" w:hAnsi="Arial" w:cs="Arial"/>
          <w:i/>
        </w:rPr>
        <w:t>.</w:t>
      </w:r>
    </w:p>
    <w:p w:rsidR="00966F14" w:rsidRPr="00D624F4" w:rsidRDefault="00966F14" w:rsidP="00966F14">
      <w:pPr>
        <w:pStyle w:val="BodyText2"/>
        <w:spacing w:after="0" w:line="240" w:lineRule="auto"/>
        <w:ind w:left="360" w:right="29"/>
        <w:jc w:val="both"/>
        <w:rPr>
          <w:rFonts w:ascii="Arial" w:hAnsi="Arial" w:cs="Arial"/>
          <w:lang w:val="en-PH"/>
        </w:rPr>
      </w:pPr>
    </w:p>
    <w:p w:rsidR="00966F14" w:rsidRPr="00C86E3E" w:rsidRDefault="00966F14" w:rsidP="00966F14">
      <w:pPr>
        <w:pStyle w:val="BodyText2"/>
        <w:numPr>
          <w:ilvl w:val="0"/>
          <w:numId w:val="30"/>
        </w:numPr>
        <w:spacing w:after="0" w:line="240" w:lineRule="auto"/>
        <w:ind w:right="29"/>
        <w:jc w:val="both"/>
        <w:rPr>
          <w:rFonts w:ascii="Arial" w:hAnsi="Arial" w:cs="Arial"/>
          <w:lang w:val="en-PH"/>
        </w:rPr>
      </w:pPr>
      <w:r w:rsidRPr="00D624F4">
        <w:rPr>
          <w:rFonts w:ascii="Arial" w:hAnsi="Arial" w:cs="Arial"/>
        </w:rPr>
        <w:t>The On-line Keno Gaming Operations incurred deficits in its Prize Fund from CYs 2006 to 2017, which accumulated to P4.283 billion as of December 31, 2017, due to pay-outs that exceeded the allocated amount for prizes, which could result to possible depletion of the reserve fund for lotto games</w:t>
      </w:r>
      <w:r w:rsidRPr="00C86E3E">
        <w:rPr>
          <w:rFonts w:ascii="Arial" w:hAnsi="Arial" w:cs="Arial"/>
        </w:rPr>
        <w:t>.</w:t>
      </w:r>
    </w:p>
    <w:p w:rsidR="00966F14" w:rsidRPr="00C86E3E" w:rsidRDefault="00966F14" w:rsidP="00966F14">
      <w:pPr>
        <w:pStyle w:val="BodyText2"/>
        <w:spacing w:after="0" w:line="240" w:lineRule="auto"/>
        <w:ind w:left="360" w:right="29"/>
        <w:jc w:val="both"/>
        <w:rPr>
          <w:rFonts w:ascii="Arial" w:hAnsi="Arial" w:cs="Arial"/>
        </w:rPr>
      </w:pPr>
    </w:p>
    <w:p w:rsidR="00966F14" w:rsidRPr="00D624F4" w:rsidRDefault="00966F14" w:rsidP="00966F14">
      <w:pPr>
        <w:pStyle w:val="BodyText2"/>
        <w:spacing w:after="0" w:line="240" w:lineRule="auto"/>
        <w:ind w:left="360" w:right="29"/>
        <w:jc w:val="both"/>
        <w:rPr>
          <w:rFonts w:ascii="Arial" w:hAnsi="Arial" w:cs="Arial"/>
          <w:i/>
        </w:rPr>
      </w:pPr>
      <w:r w:rsidRPr="00D624F4">
        <w:rPr>
          <w:rFonts w:ascii="Arial" w:hAnsi="Arial" w:cs="Arial"/>
          <w:i/>
        </w:rPr>
        <w:t>We recommended that Management revisit the existing policies and guidelines for the Keno operations and determine the cause/s of the continuous incurrence of deficit in the Prize Fund; implement new strategies and/or improvements to arrest the incurrence of deficits for the said on-line game. Otherwise, consider the possibility of discontinuing the Keno operations if it will continuously incur deficits in the prize fund which is detrimental to the stability of the consolidated Prize Fund.</w:t>
      </w:r>
    </w:p>
    <w:p w:rsidR="00966F14" w:rsidRPr="00D624F4" w:rsidRDefault="00966F14" w:rsidP="00966F14">
      <w:pPr>
        <w:pStyle w:val="BodyText2"/>
        <w:spacing w:after="0" w:line="240" w:lineRule="auto"/>
        <w:ind w:left="360" w:right="29"/>
        <w:jc w:val="both"/>
        <w:rPr>
          <w:rFonts w:ascii="Arial" w:hAnsi="Arial" w:cs="Arial"/>
          <w:lang w:val="en-PH"/>
        </w:rPr>
      </w:pPr>
    </w:p>
    <w:p w:rsidR="00966F14" w:rsidRPr="00DF0B5C" w:rsidRDefault="00DF0B5C" w:rsidP="00966F14">
      <w:pPr>
        <w:pStyle w:val="BodyText2"/>
        <w:numPr>
          <w:ilvl w:val="0"/>
          <w:numId w:val="30"/>
        </w:numPr>
        <w:spacing w:after="0" w:line="240" w:lineRule="auto"/>
        <w:ind w:right="29"/>
        <w:jc w:val="both"/>
        <w:rPr>
          <w:rFonts w:ascii="Arial" w:hAnsi="Arial" w:cs="Arial"/>
          <w:lang w:val="en-PH"/>
        </w:rPr>
      </w:pPr>
      <w:r w:rsidRPr="00DF0B5C">
        <w:rPr>
          <w:rFonts w:ascii="Arial" w:hAnsi="Arial" w:cs="Arial"/>
        </w:rPr>
        <w:t>The Sales Without Advance Draws reported by the Pacific Online System Corporation (POSC) for CY 2017, as recorded in the books amounted to P13.466 billion while the system-generated sales report for the same period provided by POSC directly to the Audit Team, upon request, amounted to P12.778 billion reflecting a material discrepancy of P688.517 million between the two reports generated from the very same system, casting doubt on the accuracy and reliability of the recorded amount of the subject POSC sales for CY 2017</w:t>
      </w:r>
      <w:r w:rsidR="00966F14" w:rsidRPr="00C86E3E">
        <w:rPr>
          <w:rFonts w:ascii="Arial" w:hAnsi="Arial" w:cs="Arial"/>
        </w:rPr>
        <w:t>.</w:t>
      </w:r>
    </w:p>
    <w:p w:rsidR="00DF0B5C" w:rsidRPr="00966F14" w:rsidRDefault="00DF0B5C" w:rsidP="00DF0B5C">
      <w:pPr>
        <w:pStyle w:val="BodyText2"/>
        <w:spacing w:after="0" w:line="240" w:lineRule="auto"/>
        <w:ind w:left="360" w:right="29"/>
        <w:jc w:val="both"/>
        <w:rPr>
          <w:rFonts w:ascii="Arial" w:hAnsi="Arial" w:cs="Arial"/>
          <w:lang w:val="en-PH"/>
        </w:rPr>
      </w:pPr>
    </w:p>
    <w:p w:rsidR="00966F14" w:rsidRPr="00C86E3E" w:rsidRDefault="00966F14" w:rsidP="00966F14">
      <w:pPr>
        <w:spacing w:after="0" w:line="240" w:lineRule="auto"/>
        <w:ind w:left="426"/>
        <w:jc w:val="both"/>
        <w:rPr>
          <w:rFonts w:ascii="Arial" w:hAnsi="Arial" w:cs="Arial"/>
          <w:i/>
        </w:rPr>
      </w:pPr>
      <w:r w:rsidRPr="00C86E3E">
        <w:rPr>
          <w:rFonts w:ascii="Arial" w:hAnsi="Arial" w:cs="Arial"/>
          <w:i/>
        </w:rPr>
        <w:t>We recommended that Management:</w:t>
      </w:r>
    </w:p>
    <w:p w:rsidR="00966F14" w:rsidRPr="00D624F4" w:rsidRDefault="00966F14" w:rsidP="00966F14">
      <w:pPr>
        <w:spacing w:after="0" w:line="240" w:lineRule="auto"/>
        <w:ind w:left="426"/>
        <w:jc w:val="both"/>
        <w:rPr>
          <w:rFonts w:ascii="Arial" w:hAnsi="Arial" w:cs="Arial"/>
          <w:i/>
        </w:rPr>
      </w:pPr>
    </w:p>
    <w:p w:rsidR="00966F14" w:rsidRPr="00C86E3E" w:rsidRDefault="00DF0B5C" w:rsidP="00966F14">
      <w:pPr>
        <w:pStyle w:val="ListParagraph"/>
        <w:numPr>
          <w:ilvl w:val="0"/>
          <w:numId w:val="37"/>
        </w:numPr>
        <w:spacing w:after="0" w:line="240" w:lineRule="auto"/>
        <w:jc w:val="both"/>
        <w:rPr>
          <w:rFonts w:ascii="Arial" w:hAnsi="Arial" w:cs="Arial"/>
          <w:i/>
        </w:rPr>
      </w:pPr>
      <w:r w:rsidRPr="00DF0B5C">
        <w:rPr>
          <w:rFonts w:ascii="Arial" w:hAnsi="Arial" w:cs="Arial"/>
          <w:i/>
        </w:rPr>
        <w:t>Direct the concerned personnel of the MCC Head Office to determine the cause/s of the P688.517 million material discrepancy between the Sales Without Advance Draws reported by the POSC and the system-generated report of the same sales provided directly to the Audit Team and apply the appropriate corrections and/or interventions necessary under the circumstances</w:t>
      </w:r>
      <w:r w:rsidR="00966F14" w:rsidRPr="00DF0B5C">
        <w:rPr>
          <w:rFonts w:ascii="Arial" w:hAnsi="Arial" w:cs="Arial"/>
          <w:i/>
        </w:rPr>
        <w:t>;</w:t>
      </w:r>
      <w:r w:rsidR="00966F14" w:rsidRPr="00C86E3E">
        <w:rPr>
          <w:rFonts w:ascii="Arial" w:hAnsi="Arial" w:cs="Arial"/>
          <w:i/>
        </w:rPr>
        <w:t xml:space="preserve"> and</w:t>
      </w:r>
    </w:p>
    <w:p w:rsidR="00966F14" w:rsidRPr="00C86E3E" w:rsidRDefault="00966F14" w:rsidP="00966F14">
      <w:pPr>
        <w:pStyle w:val="ListParagraph"/>
        <w:spacing w:after="0" w:line="240" w:lineRule="auto"/>
        <w:ind w:left="1146"/>
        <w:jc w:val="both"/>
        <w:rPr>
          <w:rFonts w:ascii="Arial" w:hAnsi="Arial" w:cs="Arial"/>
          <w:i/>
        </w:rPr>
      </w:pPr>
    </w:p>
    <w:p w:rsidR="00966F14" w:rsidRPr="00DF0B5C" w:rsidRDefault="00DF0B5C" w:rsidP="00966F14">
      <w:pPr>
        <w:pStyle w:val="ListParagraph"/>
        <w:numPr>
          <w:ilvl w:val="0"/>
          <w:numId w:val="37"/>
        </w:numPr>
        <w:spacing w:after="0" w:line="240" w:lineRule="auto"/>
        <w:jc w:val="both"/>
        <w:rPr>
          <w:rFonts w:ascii="Arial" w:hAnsi="Arial" w:cs="Arial"/>
          <w:i/>
        </w:rPr>
      </w:pPr>
      <w:r w:rsidRPr="00DF0B5C">
        <w:rPr>
          <w:rFonts w:ascii="Arial" w:hAnsi="Arial" w:cs="Arial"/>
          <w:i/>
        </w:rPr>
        <w:t>Consider the possibility of requiring the MCC Head Office to prepare/generate sales reports to counter check the sales reports being submitted by the service providers before the same are recorded in the books to ensure the accuracy and reliability of the recorded amounts</w:t>
      </w:r>
      <w:r w:rsidR="00966F14" w:rsidRPr="00DF0B5C">
        <w:rPr>
          <w:rFonts w:ascii="Arial" w:hAnsi="Arial" w:cs="Arial"/>
          <w:i/>
        </w:rPr>
        <w:t>.</w:t>
      </w:r>
    </w:p>
    <w:p w:rsidR="00966F14" w:rsidRPr="00C86E3E" w:rsidRDefault="00966F14" w:rsidP="00966F14">
      <w:pPr>
        <w:pStyle w:val="BodyText2"/>
        <w:spacing w:after="0" w:line="240" w:lineRule="auto"/>
        <w:ind w:left="360" w:right="29"/>
        <w:jc w:val="both"/>
        <w:rPr>
          <w:rFonts w:ascii="Arial" w:hAnsi="Arial" w:cs="Arial"/>
          <w:lang w:val="en-PH"/>
        </w:rPr>
      </w:pPr>
    </w:p>
    <w:p w:rsidR="00966F14" w:rsidRPr="00DF0B5C" w:rsidRDefault="00DF0B5C" w:rsidP="00966F14">
      <w:pPr>
        <w:pStyle w:val="BodyText2"/>
        <w:numPr>
          <w:ilvl w:val="0"/>
          <w:numId w:val="30"/>
        </w:numPr>
        <w:spacing w:after="0" w:line="240" w:lineRule="auto"/>
        <w:ind w:right="29"/>
        <w:jc w:val="both"/>
        <w:rPr>
          <w:rFonts w:ascii="Arial" w:hAnsi="Arial" w:cs="Arial"/>
          <w:lang w:val="en-PH"/>
        </w:rPr>
      </w:pPr>
      <w:r w:rsidRPr="00DF0B5C">
        <w:rPr>
          <w:rFonts w:ascii="Arial" w:hAnsi="Arial" w:cs="Arial"/>
        </w:rPr>
        <w:t>Allocations/transfers of the collections received from the various lotto and keno agents in the National Capital Region (NCR) during CY 2017 to the Prize, Charity and Operating Funds were short by P44.186 million, P1.072 billion and P755.722 million, respectively, or a total of P1.872 billion, in violation of Section 6 of Republic Act (RA) No. 1169, as amended by Batas Pambansa (BP) Blg. 42 and Presidential Decree (PD) No. 1157</w:t>
      </w:r>
      <w:r w:rsidR="00966F14" w:rsidRPr="00DF0B5C">
        <w:rPr>
          <w:rFonts w:ascii="Arial" w:hAnsi="Arial" w:cs="Arial"/>
        </w:rPr>
        <w:t>.</w:t>
      </w:r>
    </w:p>
    <w:p w:rsidR="00966F14" w:rsidRPr="00C86E3E" w:rsidRDefault="00966F14" w:rsidP="00966F14">
      <w:pPr>
        <w:pStyle w:val="BodyText2"/>
        <w:spacing w:after="0" w:line="240" w:lineRule="auto"/>
        <w:ind w:left="360" w:right="29"/>
        <w:jc w:val="both"/>
        <w:rPr>
          <w:rFonts w:ascii="Arial" w:hAnsi="Arial" w:cs="Arial"/>
        </w:rPr>
      </w:pPr>
    </w:p>
    <w:p w:rsidR="00966F14" w:rsidRDefault="00966F14" w:rsidP="00966F14">
      <w:pPr>
        <w:spacing w:after="0" w:line="240" w:lineRule="auto"/>
        <w:ind w:left="426"/>
        <w:jc w:val="both"/>
        <w:rPr>
          <w:rFonts w:ascii="Arial" w:hAnsi="Arial" w:cs="Arial"/>
          <w:i/>
        </w:rPr>
      </w:pPr>
      <w:r w:rsidRPr="00C86E3E">
        <w:rPr>
          <w:rFonts w:ascii="Arial" w:hAnsi="Arial" w:cs="Arial"/>
          <w:i/>
        </w:rPr>
        <w:t>W</w:t>
      </w:r>
      <w:r>
        <w:rPr>
          <w:rFonts w:ascii="Arial" w:hAnsi="Arial" w:cs="Arial"/>
          <w:i/>
        </w:rPr>
        <w:t xml:space="preserve">e recommended that Management: </w:t>
      </w:r>
    </w:p>
    <w:p w:rsidR="00966F14" w:rsidRPr="00C86E3E" w:rsidRDefault="00966F14" w:rsidP="00966F14">
      <w:pPr>
        <w:spacing w:after="0" w:line="240" w:lineRule="auto"/>
        <w:ind w:left="426"/>
        <w:jc w:val="both"/>
        <w:rPr>
          <w:rFonts w:ascii="Arial" w:hAnsi="Arial" w:cs="Arial"/>
          <w:i/>
        </w:rPr>
      </w:pPr>
    </w:p>
    <w:p w:rsidR="00966F14" w:rsidRPr="00C86E3E" w:rsidRDefault="00DF0B5C" w:rsidP="00966F14">
      <w:pPr>
        <w:pStyle w:val="ListParagraph"/>
        <w:numPr>
          <w:ilvl w:val="0"/>
          <w:numId w:val="38"/>
        </w:numPr>
        <w:spacing w:after="0" w:line="240" w:lineRule="auto"/>
        <w:jc w:val="both"/>
        <w:rPr>
          <w:rFonts w:ascii="Arial" w:hAnsi="Arial" w:cs="Arial"/>
          <w:i/>
        </w:rPr>
      </w:pPr>
      <w:r w:rsidRPr="00DF0B5C">
        <w:rPr>
          <w:rFonts w:ascii="Arial" w:hAnsi="Arial" w:cs="Arial"/>
          <w:i/>
        </w:rPr>
        <w:t>Ensure compliance with Section 6 of RA No.1169, as amended, and allocate/transfer the shares of the Prize, Charity and Operating Funds in accordance with the rates provided therein</w:t>
      </w:r>
      <w:r w:rsidR="00966F14" w:rsidRPr="00DF0B5C">
        <w:rPr>
          <w:rFonts w:ascii="Arial" w:hAnsi="Arial" w:cs="Arial"/>
          <w:i/>
        </w:rPr>
        <w:t>;</w:t>
      </w:r>
      <w:r w:rsidR="00966F14" w:rsidRPr="00C86E3E">
        <w:rPr>
          <w:rFonts w:ascii="Arial" w:hAnsi="Arial" w:cs="Arial"/>
          <w:i/>
        </w:rPr>
        <w:t xml:space="preserve"> and</w:t>
      </w:r>
    </w:p>
    <w:p w:rsidR="00966F14" w:rsidRPr="00C86E3E" w:rsidRDefault="00966F14" w:rsidP="00966F14">
      <w:pPr>
        <w:pStyle w:val="ListParagraph"/>
        <w:spacing w:after="0" w:line="240" w:lineRule="auto"/>
        <w:ind w:left="1146"/>
        <w:jc w:val="both"/>
        <w:rPr>
          <w:rFonts w:ascii="Arial" w:hAnsi="Arial" w:cs="Arial"/>
          <w:i/>
        </w:rPr>
      </w:pPr>
    </w:p>
    <w:p w:rsidR="00966F14" w:rsidRPr="00DF0B5C" w:rsidRDefault="00DF0B5C" w:rsidP="00966F14">
      <w:pPr>
        <w:pStyle w:val="ListParagraph"/>
        <w:numPr>
          <w:ilvl w:val="0"/>
          <w:numId w:val="38"/>
        </w:numPr>
        <w:spacing w:after="0" w:line="240" w:lineRule="auto"/>
        <w:jc w:val="both"/>
        <w:rPr>
          <w:rFonts w:ascii="Arial" w:hAnsi="Arial" w:cs="Arial"/>
          <w:i/>
        </w:rPr>
      </w:pPr>
      <w:r w:rsidRPr="00DF0B5C">
        <w:rPr>
          <w:rFonts w:ascii="Arial" w:hAnsi="Arial" w:cs="Arial"/>
          <w:i/>
        </w:rPr>
        <w:t>Transfer the amount of P1.872 billion remaining in the LBP and PNB main accounts correspondingly to the Prize, Charity and Operating Funds’ individual accounts in order to reflect the correct amount of their allocations from the collections received from the various lotto and keno agents in the NCR</w:t>
      </w:r>
      <w:r w:rsidR="00966F14" w:rsidRPr="00DF0B5C">
        <w:rPr>
          <w:rFonts w:ascii="Arial" w:hAnsi="Arial" w:cs="Arial"/>
          <w:i/>
        </w:rPr>
        <w:t>.</w:t>
      </w:r>
    </w:p>
    <w:p w:rsidR="000D05C8" w:rsidRDefault="000D05C8" w:rsidP="00966F14">
      <w:pPr>
        <w:pStyle w:val="BodyText2"/>
        <w:spacing w:after="0" w:line="240" w:lineRule="auto"/>
        <w:ind w:right="29"/>
        <w:jc w:val="both"/>
        <w:rPr>
          <w:rFonts w:ascii="Arial" w:hAnsi="Arial" w:cs="Arial"/>
          <w:bCs/>
        </w:rPr>
      </w:pPr>
    </w:p>
    <w:p w:rsidR="000D05C8" w:rsidRDefault="000D05C8" w:rsidP="00966F14">
      <w:pPr>
        <w:pStyle w:val="BodyText2"/>
        <w:spacing w:after="0" w:line="240" w:lineRule="auto"/>
        <w:ind w:right="29"/>
        <w:jc w:val="both"/>
        <w:rPr>
          <w:rFonts w:ascii="Arial" w:hAnsi="Arial" w:cs="Arial"/>
          <w:b/>
          <w:lang w:val="en-PH"/>
        </w:rPr>
      </w:pPr>
    </w:p>
    <w:p w:rsidR="00134F06" w:rsidRDefault="00BA534E" w:rsidP="00966F14">
      <w:pPr>
        <w:pStyle w:val="BodyText2"/>
        <w:numPr>
          <w:ilvl w:val="0"/>
          <w:numId w:val="35"/>
        </w:numPr>
        <w:spacing w:after="0" w:line="240" w:lineRule="auto"/>
        <w:ind w:left="360" w:right="29"/>
        <w:jc w:val="both"/>
        <w:rPr>
          <w:rFonts w:ascii="Arial" w:hAnsi="Arial" w:cs="Arial"/>
          <w:b/>
        </w:rPr>
      </w:pPr>
      <w:r w:rsidRPr="008A29E9">
        <w:rPr>
          <w:rFonts w:ascii="Arial" w:hAnsi="Arial" w:cs="Arial"/>
          <w:b/>
        </w:rPr>
        <w:t>SUMMARY OF TOTAL SUSPENSIONS, DISALLOWANCES AND CHARGES</w:t>
      </w:r>
    </w:p>
    <w:p w:rsidR="00134F06" w:rsidRDefault="00134F06" w:rsidP="00966F14">
      <w:pPr>
        <w:pStyle w:val="BodyText2"/>
        <w:spacing w:after="0" w:line="240" w:lineRule="auto"/>
        <w:ind w:right="29"/>
        <w:jc w:val="both"/>
        <w:rPr>
          <w:rFonts w:ascii="Arial" w:hAnsi="Arial" w:cs="Arial"/>
          <w:b/>
        </w:rPr>
      </w:pPr>
    </w:p>
    <w:p w:rsidR="00225385" w:rsidRDefault="00DF0B5C" w:rsidP="00966F14">
      <w:pPr>
        <w:pStyle w:val="ListParagraph"/>
        <w:spacing w:after="0" w:line="240" w:lineRule="auto"/>
        <w:ind w:left="0" w:right="26"/>
        <w:jc w:val="both"/>
        <w:rPr>
          <w:rFonts w:ascii="Arial" w:hAnsi="Arial" w:cs="Arial"/>
        </w:rPr>
      </w:pPr>
      <w:r w:rsidRPr="00C018FC">
        <w:rPr>
          <w:rFonts w:ascii="Arial" w:hAnsi="Arial" w:cs="Arial"/>
        </w:rPr>
        <w:t>As of December 31, 2017, PCSO had an unsettled audit suspension and di</w:t>
      </w:r>
      <w:r>
        <w:rPr>
          <w:rFonts w:ascii="Arial" w:hAnsi="Arial" w:cs="Arial"/>
        </w:rPr>
        <w:t>sallowance in the amount of P13,</w:t>
      </w:r>
      <w:r w:rsidRPr="00C018FC">
        <w:rPr>
          <w:rFonts w:ascii="Arial" w:hAnsi="Arial" w:cs="Arial"/>
        </w:rPr>
        <w:t>501</w:t>
      </w:r>
      <w:r>
        <w:rPr>
          <w:rFonts w:ascii="Arial" w:hAnsi="Arial" w:cs="Arial"/>
        </w:rPr>
        <w:t>,329.18</w:t>
      </w:r>
      <w:r w:rsidRPr="00C018FC">
        <w:rPr>
          <w:rFonts w:ascii="Arial" w:hAnsi="Arial" w:cs="Arial"/>
        </w:rPr>
        <w:t xml:space="preserve"> and P95</w:t>
      </w:r>
      <w:r>
        <w:rPr>
          <w:rFonts w:ascii="Arial" w:hAnsi="Arial" w:cs="Arial"/>
        </w:rPr>
        <w:t>0.260,097.29</w:t>
      </w:r>
      <w:r w:rsidRPr="00C018FC">
        <w:rPr>
          <w:rFonts w:ascii="Arial" w:hAnsi="Arial" w:cs="Arial"/>
        </w:rPr>
        <w:t>, respectively</w:t>
      </w:r>
      <w:r w:rsidR="00225385">
        <w:rPr>
          <w:rFonts w:ascii="Arial" w:hAnsi="Arial" w:cs="Arial"/>
        </w:rPr>
        <w:t xml:space="preserve">. </w:t>
      </w:r>
    </w:p>
    <w:p w:rsidR="00225385" w:rsidRDefault="00225385" w:rsidP="00966F14">
      <w:pPr>
        <w:pStyle w:val="ListParagraph"/>
        <w:spacing w:after="0" w:line="240" w:lineRule="auto"/>
        <w:ind w:left="0" w:right="26"/>
        <w:jc w:val="both"/>
        <w:rPr>
          <w:rFonts w:ascii="Arial" w:hAnsi="Arial" w:cs="Arial"/>
        </w:rPr>
      </w:pPr>
    </w:p>
    <w:p w:rsidR="001E28FF" w:rsidRPr="00134F06" w:rsidRDefault="001E28FF" w:rsidP="00966F14">
      <w:pPr>
        <w:pStyle w:val="BodyText2"/>
        <w:spacing w:after="0" w:line="240" w:lineRule="auto"/>
        <w:ind w:right="29"/>
        <w:jc w:val="both"/>
        <w:rPr>
          <w:rFonts w:ascii="Arial" w:hAnsi="Arial" w:cs="Arial"/>
          <w:b/>
        </w:rPr>
      </w:pPr>
    </w:p>
    <w:p w:rsidR="00AA632B" w:rsidRPr="007330EA" w:rsidRDefault="00BA534E" w:rsidP="00966F14">
      <w:pPr>
        <w:pStyle w:val="BodyText2"/>
        <w:numPr>
          <w:ilvl w:val="0"/>
          <w:numId w:val="35"/>
        </w:numPr>
        <w:spacing w:after="0" w:line="240" w:lineRule="auto"/>
        <w:ind w:left="360" w:right="29"/>
        <w:rPr>
          <w:rFonts w:ascii="Arial" w:hAnsi="Arial" w:cs="Arial"/>
          <w:b/>
        </w:rPr>
      </w:pPr>
      <w:r w:rsidRPr="007330EA">
        <w:rPr>
          <w:rFonts w:ascii="Arial" w:hAnsi="Arial" w:cs="Arial"/>
          <w:b/>
          <w:lang w:val="en-PH"/>
        </w:rPr>
        <w:t>STATUS OF IMPLEMENTATION OF PRIOR YEARS’ RECOMMENDATIONS</w:t>
      </w:r>
      <w:r w:rsidR="00AA632B" w:rsidRPr="007330EA">
        <w:rPr>
          <w:rFonts w:ascii="Arial" w:hAnsi="Arial" w:cs="Arial"/>
          <w:b/>
        </w:rPr>
        <w:t xml:space="preserve"> </w:t>
      </w:r>
    </w:p>
    <w:p w:rsidR="00AA632B" w:rsidRPr="0033067C" w:rsidRDefault="00AA632B" w:rsidP="00966F14">
      <w:pPr>
        <w:pStyle w:val="BodyText2"/>
        <w:spacing w:after="0" w:line="240" w:lineRule="auto"/>
        <w:ind w:right="29"/>
        <w:rPr>
          <w:rFonts w:ascii="Arial" w:hAnsi="Arial" w:cs="Arial"/>
          <w:b/>
          <w:sz w:val="20"/>
          <w:szCs w:val="20"/>
        </w:rPr>
      </w:pPr>
    </w:p>
    <w:p w:rsidR="00EB4521" w:rsidRPr="0033067C" w:rsidRDefault="005A6805" w:rsidP="00966F14">
      <w:pPr>
        <w:pStyle w:val="BodyText2"/>
        <w:spacing w:after="0" w:line="240" w:lineRule="auto"/>
        <w:ind w:right="29"/>
        <w:jc w:val="both"/>
        <w:rPr>
          <w:rFonts w:ascii="Arial" w:hAnsi="Arial" w:cs="Arial"/>
          <w:b/>
        </w:rPr>
      </w:pPr>
      <w:r w:rsidRPr="0033067C">
        <w:rPr>
          <w:rFonts w:ascii="Arial" w:hAnsi="Arial" w:cs="Arial"/>
        </w:rPr>
        <w:t xml:space="preserve">Out of the </w:t>
      </w:r>
      <w:r w:rsidR="007330EA">
        <w:rPr>
          <w:rFonts w:ascii="Arial" w:hAnsi="Arial" w:cs="Arial"/>
        </w:rPr>
        <w:t>73</w:t>
      </w:r>
      <w:r w:rsidR="00AA632B" w:rsidRPr="0033067C">
        <w:rPr>
          <w:rFonts w:ascii="Arial" w:hAnsi="Arial" w:cs="Arial"/>
        </w:rPr>
        <w:t xml:space="preserve"> audit recommendations embodied in the</w:t>
      </w:r>
      <w:r w:rsidRPr="0033067C">
        <w:rPr>
          <w:rFonts w:ascii="Arial" w:hAnsi="Arial" w:cs="Arial"/>
        </w:rPr>
        <w:t xml:space="preserve"> previous year’s </w:t>
      </w:r>
      <w:r w:rsidR="003B224E">
        <w:rPr>
          <w:rFonts w:ascii="Arial" w:hAnsi="Arial" w:cs="Arial"/>
        </w:rPr>
        <w:t>Annual Audit Report</w:t>
      </w:r>
      <w:r w:rsidRPr="0033067C">
        <w:rPr>
          <w:rFonts w:ascii="Arial" w:hAnsi="Arial" w:cs="Arial"/>
        </w:rPr>
        <w:t xml:space="preserve">, </w:t>
      </w:r>
      <w:r w:rsidR="007330EA">
        <w:rPr>
          <w:rFonts w:ascii="Arial" w:hAnsi="Arial" w:cs="Arial"/>
        </w:rPr>
        <w:t xml:space="preserve">29 </w:t>
      </w:r>
      <w:r w:rsidRPr="0033067C">
        <w:rPr>
          <w:rFonts w:ascii="Arial" w:hAnsi="Arial" w:cs="Arial"/>
        </w:rPr>
        <w:t xml:space="preserve">were fully implemented, </w:t>
      </w:r>
      <w:r w:rsidR="007330EA">
        <w:rPr>
          <w:rFonts w:ascii="Arial" w:hAnsi="Arial" w:cs="Arial"/>
        </w:rPr>
        <w:t xml:space="preserve">28 </w:t>
      </w:r>
      <w:r w:rsidR="00AA632B" w:rsidRPr="0033067C">
        <w:rPr>
          <w:rFonts w:ascii="Arial" w:hAnsi="Arial" w:cs="Arial"/>
        </w:rPr>
        <w:t>w</w:t>
      </w:r>
      <w:r w:rsidRPr="0033067C">
        <w:rPr>
          <w:rFonts w:ascii="Arial" w:hAnsi="Arial" w:cs="Arial"/>
        </w:rPr>
        <w:t xml:space="preserve">ere partially implemented and </w:t>
      </w:r>
      <w:r w:rsidR="007330EA">
        <w:rPr>
          <w:rFonts w:ascii="Arial" w:hAnsi="Arial" w:cs="Arial"/>
        </w:rPr>
        <w:t>16</w:t>
      </w:r>
      <w:r w:rsidR="00AA632B" w:rsidRPr="0033067C">
        <w:rPr>
          <w:rFonts w:ascii="Arial" w:hAnsi="Arial" w:cs="Arial"/>
        </w:rPr>
        <w:t xml:space="preserve"> </w:t>
      </w:r>
      <w:r w:rsidR="00972A02">
        <w:rPr>
          <w:rFonts w:ascii="Arial" w:hAnsi="Arial" w:cs="Arial"/>
        </w:rPr>
        <w:t xml:space="preserve">were </w:t>
      </w:r>
      <w:r w:rsidR="00AA632B" w:rsidRPr="0033067C">
        <w:rPr>
          <w:rFonts w:ascii="Arial" w:hAnsi="Arial" w:cs="Arial"/>
        </w:rPr>
        <w:t xml:space="preserve">not implemented. </w:t>
      </w:r>
    </w:p>
    <w:sectPr w:rsidR="00EB4521" w:rsidRPr="0033067C" w:rsidSect="0095254E">
      <w:footerReference w:type="default" r:id="rId8"/>
      <w:pgSz w:w="12240" w:h="15840" w:code="1"/>
      <w:pgMar w:top="1440" w:right="1440" w:bottom="1440" w:left="1800" w:header="720" w:footer="36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80D" w:rsidRDefault="0072080D" w:rsidP="00972541">
      <w:pPr>
        <w:spacing w:after="0" w:line="240" w:lineRule="auto"/>
      </w:pPr>
      <w:r>
        <w:separator/>
      </w:r>
    </w:p>
  </w:endnote>
  <w:endnote w:type="continuationSeparator" w:id="0">
    <w:p w:rsidR="0072080D" w:rsidRDefault="0072080D" w:rsidP="00972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E2" w:rsidRPr="00D613D4" w:rsidRDefault="00442F59">
    <w:pPr>
      <w:pStyle w:val="Footer"/>
      <w:jc w:val="right"/>
      <w:rPr>
        <w:rFonts w:ascii="Arial" w:hAnsi="Arial" w:cs="Arial"/>
        <w:color w:val="000000"/>
        <w:sz w:val="20"/>
      </w:rPr>
    </w:pPr>
    <w:r w:rsidRPr="00D613D4">
      <w:rPr>
        <w:rFonts w:ascii="Arial" w:hAnsi="Arial" w:cs="Arial"/>
        <w:color w:val="000000"/>
        <w:sz w:val="20"/>
      </w:rPr>
      <w:fldChar w:fldCharType="begin"/>
    </w:r>
    <w:r w:rsidR="009819E2" w:rsidRPr="00D613D4">
      <w:rPr>
        <w:rFonts w:ascii="Arial" w:hAnsi="Arial" w:cs="Arial"/>
        <w:color w:val="000000"/>
        <w:sz w:val="20"/>
      </w:rPr>
      <w:instrText xml:space="preserve"> PAGE   \* MERGEFORMAT </w:instrText>
    </w:r>
    <w:r w:rsidRPr="00D613D4">
      <w:rPr>
        <w:rFonts w:ascii="Arial" w:hAnsi="Arial" w:cs="Arial"/>
        <w:color w:val="000000"/>
        <w:sz w:val="20"/>
      </w:rPr>
      <w:fldChar w:fldCharType="separate"/>
    </w:r>
    <w:r w:rsidR="0003436C">
      <w:rPr>
        <w:rFonts w:ascii="Arial" w:hAnsi="Arial" w:cs="Arial"/>
        <w:noProof/>
        <w:color w:val="000000"/>
        <w:sz w:val="20"/>
      </w:rPr>
      <w:t>i</w:t>
    </w:r>
    <w:r w:rsidRPr="00D613D4">
      <w:rPr>
        <w:rFonts w:ascii="Arial" w:hAnsi="Arial" w:cs="Arial"/>
        <w:color w:val="000000"/>
        <w:sz w:val="20"/>
      </w:rPr>
      <w:fldChar w:fldCharType="end"/>
    </w:r>
  </w:p>
  <w:p w:rsidR="009819E2" w:rsidRDefault="00981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80D" w:rsidRDefault="0072080D" w:rsidP="00972541">
      <w:pPr>
        <w:spacing w:after="0" w:line="240" w:lineRule="auto"/>
      </w:pPr>
      <w:r>
        <w:separator/>
      </w:r>
    </w:p>
  </w:footnote>
  <w:footnote w:type="continuationSeparator" w:id="0">
    <w:p w:rsidR="0072080D" w:rsidRDefault="0072080D" w:rsidP="009725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F385E"/>
    <w:multiLevelType w:val="multilevel"/>
    <w:tmpl w:val="505AE528"/>
    <w:lvl w:ilvl="0">
      <w:start w:val="2"/>
      <w:numFmt w:val="decimal"/>
      <w:lvlText w:val="%1."/>
      <w:lvlJc w:val="left"/>
      <w:pPr>
        <w:ind w:left="1710" w:hanging="360"/>
      </w:pPr>
      <w:rPr>
        <w:rFonts w:ascii="Arial" w:hAnsi="Arial" w:cs="Arial" w:hint="default"/>
        <w:b w:val="0"/>
        <w:i w:val="0"/>
        <w:sz w:val="22"/>
        <w:szCs w:val="22"/>
      </w:rPr>
    </w:lvl>
    <w:lvl w:ilvl="1">
      <w:start w:val="1"/>
      <w:numFmt w:val="decimal"/>
      <w:isLgl/>
      <w:lvlText w:val="%1.%2"/>
      <w:lvlJc w:val="left"/>
      <w:pPr>
        <w:ind w:left="1710" w:hanging="36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430"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790" w:hanging="1440"/>
      </w:pPr>
      <w:rPr>
        <w:rFonts w:hint="default"/>
      </w:rPr>
    </w:lvl>
    <w:lvl w:ilvl="8">
      <w:start w:val="1"/>
      <w:numFmt w:val="decimal"/>
      <w:isLgl/>
      <w:lvlText w:val="%1.%2.%3.%4.%5.%6.%7.%8.%9"/>
      <w:lvlJc w:val="left"/>
      <w:pPr>
        <w:ind w:left="3150" w:hanging="1800"/>
      </w:pPr>
      <w:rPr>
        <w:rFonts w:hint="default"/>
      </w:rPr>
    </w:lvl>
  </w:abstractNum>
  <w:abstractNum w:abstractNumId="1">
    <w:nsid w:val="04C47F2B"/>
    <w:multiLevelType w:val="hybridMultilevel"/>
    <w:tmpl w:val="8536D87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C86240"/>
    <w:multiLevelType w:val="hybridMultilevel"/>
    <w:tmpl w:val="21785A38"/>
    <w:lvl w:ilvl="0" w:tplc="8C88CBD2">
      <w:start w:val="1"/>
      <w:numFmt w:val="decimal"/>
      <w:lvlText w:val="%1."/>
      <w:lvlJc w:val="left"/>
      <w:pPr>
        <w:ind w:left="784" w:hanging="360"/>
      </w:pPr>
      <w:rPr>
        <w:color w:val="auto"/>
      </w:rPr>
    </w:lvl>
    <w:lvl w:ilvl="1" w:tplc="34090019" w:tentative="1">
      <w:start w:val="1"/>
      <w:numFmt w:val="lowerLetter"/>
      <w:lvlText w:val="%2."/>
      <w:lvlJc w:val="left"/>
      <w:pPr>
        <w:ind w:left="1504" w:hanging="360"/>
      </w:pPr>
    </w:lvl>
    <w:lvl w:ilvl="2" w:tplc="3409001B" w:tentative="1">
      <w:start w:val="1"/>
      <w:numFmt w:val="lowerRoman"/>
      <w:lvlText w:val="%3."/>
      <w:lvlJc w:val="right"/>
      <w:pPr>
        <w:ind w:left="2224" w:hanging="180"/>
      </w:pPr>
    </w:lvl>
    <w:lvl w:ilvl="3" w:tplc="3409000F" w:tentative="1">
      <w:start w:val="1"/>
      <w:numFmt w:val="decimal"/>
      <w:lvlText w:val="%4."/>
      <w:lvlJc w:val="left"/>
      <w:pPr>
        <w:ind w:left="2944" w:hanging="360"/>
      </w:pPr>
    </w:lvl>
    <w:lvl w:ilvl="4" w:tplc="34090019" w:tentative="1">
      <w:start w:val="1"/>
      <w:numFmt w:val="lowerLetter"/>
      <w:lvlText w:val="%5."/>
      <w:lvlJc w:val="left"/>
      <w:pPr>
        <w:ind w:left="3664" w:hanging="360"/>
      </w:pPr>
    </w:lvl>
    <w:lvl w:ilvl="5" w:tplc="3409001B" w:tentative="1">
      <w:start w:val="1"/>
      <w:numFmt w:val="lowerRoman"/>
      <w:lvlText w:val="%6."/>
      <w:lvlJc w:val="right"/>
      <w:pPr>
        <w:ind w:left="4384" w:hanging="180"/>
      </w:pPr>
    </w:lvl>
    <w:lvl w:ilvl="6" w:tplc="3409000F" w:tentative="1">
      <w:start w:val="1"/>
      <w:numFmt w:val="decimal"/>
      <w:lvlText w:val="%7."/>
      <w:lvlJc w:val="left"/>
      <w:pPr>
        <w:ind w:left="5104" w:hanging="360"/>
      </w:pPr>
    </w:lvl>
    <w:lvl w:ilvl="7" w:tplc="34090019" w:tentative="1">
      <w:start w:val="1"/>
      <w:numFmt w:val="lowerLetter"/>
      <w:lvlText w:val="%8."/>
      <w:lvlJc w:val="left"/>
      <w:pPr>
        <w:ind w:left="5824" w:hanging="360"/>
      </w:pPr>
    </w:lvl>
    <w:lvl w:ilvl="8" w:tplc="3409001B" w:tentative="1">
      <w:start w:val="1"/>
      <w:numFmt w:val="lowerRoman"/>
      <w:lvlText w:val="%9."/>
      <w:lvlJc w:val="right"/>
      <w:pPr>
        <w:ind w:left="6544" w:hanging="180"/>
      </w:pPr>
    </w:lvl>
  </w:abstractNum>
  <w:abstractNum w:abstractNumId="3">
    <w:nsid w:val="128D6ACF"/>
    <w:multiLevelType w:val="hybridMultilevel"/>
    <w:tmpl w:val="66BC951E"/>
    <w:lvl w:ilvl="0" w:tplc="0464E134">
      <w:start w:val="1"/>
      <w:numFmt w:val="lowerLetter"/>
      <w:lvlText w:val="%1."/>
      <w:lvlJc w:val="left"/>
      <w:pPr>
        <w:ind w:left="990" w:hanging="360"/>
      </w:pPr>
      <w:rPr>
        <w:rFonts w:hint="default"/>
        <w:sz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17507DA5"/>
    <w:multiLevelType w:val="hybridMultilevel"/>
    <w:tmpl w:val="DB7CC4B2"/>
    <w:lvl w:ilvl="0" w:tplc="8DD47BEA">
      <w:start w:val="1"/>
      <w:numFmt w:val="upperLetter"/>
      <w:lvlText w:val="%1."/>
      <w:lvlJc w:val="left"/>
      <w:pPr>
        <w:ind w:left="720" w:hanging="360"/>
      </w:pPr>
      <w:rPr>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18CB54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14472E"/>
    <w:multiLevelType w:val="hybridMultilevel"/>
    <w:tmpl w:val="CC880AC4"/>
    <w:lvl w:ilvl="0" w:tplc="282C8A0E">
      <w:start w:val="1"/>
      <w:numFmt w:val="lowerLetter"/>
      <w:lvlText w:val="%1."/>
      <w:lvlJc w:val="left"/>
      <w:pPr>
        <w:ind w:left="1146" w:hanging="360"/>
      </w:pPr>
      <w:rPr>
        <w:rFonts w:ascii="Arial" w:eastAsia="Times New Roman" w:hAnsi="Arial" w:cs="Arial" w:hint="default"/>
        <w:b w:val="0"/>
      </w:rPr>
    </w:lvl>
    <w:lvl w:ilvl="1" w:tplc="34090019" w:tentative="1">
      <w:start w:val="1"/>
      <w:numFmt w:val="lowerLetter"/>
      <w:lvlText w:val="%2."/>
      <w:lvlJc w:val="left"/>
      <w:pPr>
        <w:ind w:left="1866" w:hanging="360"/>
      </w:pPr>
    </w:lvl>
    <w:lvl w:ilvl="2" w:tplc="3409001B" w:tentative="1">
      <w:start w:val="1"/>
      <w:numFmt w:val="lowerRoman"/>
      <w:lvlText w:val="%3."/>
      <w:lvlJc w:val="right"/>
      <w:pPr>
        <w:ind w:left="2586" w:hanging="180"/>
      </w:pPr>
    </w:lvl>
    <w:lvl w:ilvl="3" w:tplc="3409000F" w:tentative="1">
      <w:start w:val="1"/>
      <w:numFmt w:val="decimal"/>
      <w:lvlText w:val="%4."/>
      <w:lvlJc w:val="left"/>
      <w:pPr>
        <w:ind w:left="3306" w:hanging="360"/>
      </w:pPr>
    </w:lvl>
    <w:lvl w:ilvl="4" w:tplc="34090019" w:tentative="1">
      <w:start w:val="1"/>
      <w:numFmt w:val="lowerLetter"/>
      <w:lvlText w:val="%5."/>
      <w:lvlJc w:val="left"/>
      <w:pPr>
        <w:ind w:left="4026" w:hanging="360"/>
      </w:pPr>
    </w:lvl>
    <w:lvl w:ilvl="5" w:tplc="3409001B" w:tentative="1">
      <w:start w:val="1"/>
      <w:numFmt w:val="lowerRoman"/>
      <w:lvlText w:val="%6."/>
      <w:lvlJc w:val="right"/>
      <w:pPr>
        <w:ind w:left="4746" w:hanging="180"/>
      </w:pPr>
    </w:lvl>
    <w:lvl w:ilvl="6" w:tplc="3409000F" w:tentative="1">
      <w:start w:val="1"/>
      <w:numFmt w:val="decimal"/>
      <w:lvlText w:val="%7."/>
      <w:lvlJc w:val="left"/>
      <w:pPr>
        <w:ind w:left="5466" w:hanging="360"/>
      </w:pPr>
    </w:lvl>
    <w:lvl w:ilvl="7" w:tplc="34090019" w:tentative="1">
      <w:start w:val="1"/>
      <w:numFmt w:val="lowerLetter"/>
      <w:lvlText w:val="%8."/>
      <w:lvlJc w:val="left"/>
      <w:pPr>
        <w:ind w:left="6186" w:hanging="360"/>
      </w:pPr>
    </w:lvl>
    <w:lvl w:ilvl="8" w:tplc="3409001B" w:tentative="1">
      <w:start w:val="1"/>
      <w:numFmt w:val="lowerRoman"/>
      <w:lvlText w:val="%9."/>
      <w:lvlJc w:val="right"/>
      <w:pPr>
        <w:ind w:left="6906" w:hanging="180"/>
      </w:pPr>
    </w:lvl>
  </w:abstractNum>
  <w:abstractNum w:abstractNumId="7">
    <w:nsid w:val="1D8E18AC"/>
    <w:multiLevelType w:val="hybridMultilevel"/>
    <w:tmpl w:val="82EC3C6C"/>
    <w:lvl w:ilvl="0" w:tplc="FE722A02">
      <w:start w:val="1"/>
      <w:numFmt w:val="lowerLetter"/>
      <w:lvlText w:val="%1."/>
      <w:lvlJc w:val="left"/>
      <w:pPr>
        <w:ind w:left="720" w:hanging="360"/>
      </w:pPr>
      <w:rPr>
        <w:rFonts w:ascii="Arial" w:hAnsi="Arial"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4E42EB"/>
    <w:multiLevelType w:val="hybridMultilevel"/>
    <w:tmpl w:val="F1FE4D62"/>
    <w:lvl w:ilvl="0" w:tplc="7B2CD9B4">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4C377FA"/>
    <w:multiLevelType w:val="hybridMultilevel"/>
    <w:tmpl w:val="E502260C"/>
    <w:lvl w:ilvl="0" w:tplc="5000A768">
      <w:start w:val="1"/>
      <w:numFmt w:val="upp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0">
    <w:nsid w:val="2A6101EA"/>
    <w:multiLevelType w:val="hybridMultilevel"/>
    <w:tmpl w:val="5FA239E4"/>
    <w:lvl w:ilvl="0" w:tplc="282C8A0E">
      <w:start w:val="1"/>
      <w:numFmt w:val="lowerLetter"/>
      <w:lvlText w:val="%1."/>
      <w:lvlJc w:val="left"/>
      <w:pPr>
        <w:ind w:left="1146" w:hanging="360"/>
      </w:pPr>
      <w:rPr>
        <w:rFonts w:ascii="Arial" w:eastAsia="Times New Roman" w:hAnsi="Arial" w:cs="Arial" w:hint="default"/>
        <w:b w:val="0"/>
      </w:rPr>
    </w:lvl>
    <w:lvl w:ilvl="1" w:tplc="34090019" w:tentative="1">
      <w:start w:val="1"/>
      <w:numFmt w:val="lowerLetter"/>
      <w:lvlText w:val="%2."/>
      <w:lvlJc w:val="left"/>
      <w:pPr>
        <w:ind w:left="1866" w:hanging="360"/>
      </w:pPr>
    </w:lvl>
    <w:lvl w:ilvl="2" w:tplc="3409001B" w:tentative="1">
      <w:start w:val="1"/>
      <w:numFmt w:val="lowerRoman"/>
      <w:lvlText w:val="%3."/>
      <w:lvlJc w:val="right"/>
      <w:pPr>
        <w:ind w:left="2586" w:hanging="180"/>
      </w:pPr>
    </w:lvl>
    <w:lvl w:ilvl="3" w:tplc="3409000F" w:tentative="1">
      <w:start w:val="1"/>
      <w:numFmt w:val="decimal"/>
      <w:lvlText w:val="%4."/>
      <w:lvlJc w:val="left"/>
      <w:pPr>
        <w:ind w:left="3306" w:hanging="360"/>
      </w:pPr>
    </w:lvl>
    <w:lvl w:ilvl="4" w:tplc="34090019" w:tentative="1">
      <w:start w:val="1"/>
      <w:numFmt w:val="lowerLetter"/>
      <w:lvlText w:val="%5."/>
      <w:lvlJc w:val="left"/>
      <w:pPr>
        <w:ind w:left="4026" w:hanging="360"/>
      </w:pPr>
    </w:lvl>
    <w:lvl w:ilvl="5" w:tplc="3409001B" w:tentative="1">
      <w:start w:val="1"/>
      <w:numFmt w:val="lowerRoman"/>
      <w:lvlText w:val="%6."/>
      <w:lvlJc w:val="right"/>
      <w:pPr>
        <w:ind w:left="4746" w:hanging="180"/>
      </w:pPr>
    </w:lvl>
    <w:lvl w:ilvl="6" w:tplc="3409000F" w:tentative="1">
      <w:start w:val="1"/>
      <w:numFmt w:val="decimal"/>
      <w:lvlText w:val="%7."/>
      <w:lvlJc w:val="left"/>
      <w:pPr>
        <w:ind w:left="5466" w:hanging="360"/>
      </w:pPr>
    </w:lvl>
    <w:lvl w:ilvl="7" w:tplc="34090019" w:tentative="1">
      <w:start w:val="1"/>
      <w:numFmt w:val="lowerLetter"/>
      <w:lvlText w:val="%8."/>
      <w:lvlJc w:val="left"/>
      <w:pPr>
        <w:ind w:left="6186" w:hanging="360"/>
      </w:pPr>
    </w:lvl>
    <w:lvl w:ilvl="8" w:tplc="3409001B" w:tentative="1">
      <w:start w:val="1"/>
      <w:numFmt w:val="lowerRoman"/>
      <w:lvlText w:val="%9."/>
      <w:lvlJc w:val="right"/>
      <w:pPr>
        <w:ind w:left="6906" w:hanging="180"/>
      </w:pPr>
    </w:lvl>
  </w:abstractNum>
  <w:abstractNum w:abstractNumId="11">
    <w:nsid w:val="2BF221C1"/>
    <w:multiLevelType w:val="multilevel"/>
    <w:tmpl w:val="0FB292C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C5C76A3"/>
    <w:multiLevelType w:val="hybridMultilevel"/>
    <w:tmpl w:val="556A1F16"/>
    <w:lvl w:ilvl="0" w:tplc="7A3E1AD8">
      <w:start w:val="1"/>
      <w:numFmt w:val="decimal"/>
      <w:lvlText w:val="2.%1"/>
      <w:lvlJc w:val="left"/>
      <w:pPr>
        <w:ind w:left="720" w:hanging="360"/>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C51AE1"/>
    <w:multiLevelType w:val="hybridMultilevel"/>
    <w:tmpl w:val="A8E4AC28"/>
    <w:lvl w:ilvl="0" w:tplc="65DC2DBA">
      <w:start w:val="1"/>
      <w:numFmt w:val="decimal"/>
      <w:lvlText w:val="6.%1"/>
      <w:lvlJc w:val="left"/>
      <w:pPr>
        <w:ind w:left="720" w:hanging="360"/>
      </w:pPr>
      <w:rPr>
        <w:rFonts w:ascii="Arial" w:hAnsi="Arial"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CA2701"/>
    <w:multiLevelType w:val="hybridMultilevel"/>
    <w:tmpl w:val="2772A07C"/>
    <w:lvl w:ilvl="0" w:tplc="34090015">
      <w:start w:val="1"/>
      <w:numFmt w:val="upperLetter"/>
      <w:lvlText w:val="%1."/>
      <w:lvlJc w:val="left"/>
      <w:pPr>
        <w:ind w:left="1080" w:hanging="360"/>
      </w:p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nsid w:val="346533F1"/>
    <w:multiLevelType w:val="multilevel"/>
    <w:tmpl w:val="C5029678"/>
    <w:lvl w:ilvl="0">
      <w:start w:val="1"/>
      <w:numFmt w:val="decimal"/>
      <w:lvlText w:val="%1."/>
      <w:lvlJc w:val="left"/>
      <w:pPr>
        <w:ind w:left="360" w:hanging="360"/>
      </w:pPr>
      <w:rPr>
        <w:rFonts w:hint="default"/>
        <w:b w:val="0"/>
        <w:sz w:val="22"/>
        <w:szCs w:val="22"/>
      </w:rPr>
    </w:lvl>
    <w:lvl w:ilvl="1">
      <w:start w:val="1"/>
      <w:numFmt w:val="decimal"/>
      <w:isLgl/>
      <w:lvlText w:val="%1.%2"/>
      <w:lvlJc w:val="left"/>
      <w:pPr>
        <w:ind w:left="510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D5535A3"/>
    <w:multiLevelType w:val="hybridMultilevel"/>
    <w:tmpl w:val="B84CDDC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nsid w:val="41C557A9"/>
    <w:multiLevelType w:val="hybridMultilevel"/>
    <w:tmpl w:val="5C467F84"/>
    <w:lvl w:ilvl="0" w:tplc="2CFE6B9C">
      <w:start w:val="1"/>
      <w:numFmt w:val="lowerLetter"/>
      <w:lvlText w:val="%1."/>
      <w:lvlJc w:val="left"/>
      <w:pPr>
        <w:ind w:left="1440" w:hanging="360"/>
      </w:pPr>
      <w:rPr>
        <w:rFonts w:ascii="Arial" w:eastAsia="Times New Roman" w:hAnsi="Arial" w:cs="Arial"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438E55C5"/>
    <w:multiLevelType w:val="hybridMultilevel"/>
    <w:tmpl w:val="AA10B690"/>
    <w:lvl w:ilvl="0" w:tplc="360263D6">
      <w:start w:val="1"/>
      <w:numFmt w:val="lowerLetter"/>
      <w:lvlText w:val="%1."/>
      <w:lvlJc w:val="left"/>
      <w:pPr>
        <w:ind w:left="1602" w:hanging="360"/>
      </w:pPr>
      <w:rPr>
        <w:rFonts w:hint="default"/>
        <w:sz w:val="22"/>
        <w:szCs w:val="22"/>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9">
    <w:nsid w:val="47990279"/>
    <w:multiLevelType w:val="multilevel"/>
    <w:tmpl w:val="CABAD0BA"/>
    <w:lvl w:ilvl="0">
      <w:start w:val="1"/>
      <w:numFmt w:val="decimal"/>
      <w:lvlText w:val="%1."/>
      <w:lvlJc w:val="left"/>
      <w:pPr>
        <w:ind w:left="360" w:hanging="360"/>
      </w:pPr>
      <w:rPr>
        <w:rFonts w:ascii="Arial" w:eastAsia="Calibri" w:hAnsi="Arial" w:cs="Arial"/>
        <w:b/>
        <w:i w:val="0"/>
        <w:color w:val="auto"/>
      </w:rPr>
    </w:lvl>
    <w:lvl w:ilvl="1">
      <w:start w:val="1"/>
      <w:numFmt w:val="decimal"/>
      <w:lvlText w:val="%1.%2."/>
      <w:lvlJc w:val="left"/>
      <w:pPr>
        <w:ind w:left="1152" w:hanging="792"/>
      </w:pPr>
      <w:rPr>
        <w:rFonts w:ascii="Arial" w:hAnsi="Arial" w:cs="Arial" w:hint="default"/>
        <w:b w:val="0"/>
        <w:i w:val="0"/>
        <w:sz w:val="22"/>
        <w:szCs w:val="22"/>
      </w:rPr>
    </w:lvl>
    <w:lvl w:ilvl="2">
      <w:start w:val="1"/>
      <w:numFmt w:val="lowerLetter"/>
      <w:lvlText w:val="%3)"/>
      <w:lvlJc w:val="left"/>
      <w:pPr>
        <w:ind w:left="1999" w:hanging="864"/>
      </w:pPr>
      <w:rPr>
        <w:rFonts w:hint="default"/>
        <w:b w:val="0"/>
        <w:i w:val="0"/>
        <w:color w:val="auto"/>
        <w:sz w:val="22"/>
        <w:szCs w:val="22"/>
      </w:rPr>
    </w:lvl>
    <w:lvl w:ilvl="3">
      <w:start w:val="1"/>
      <w:numFmt w:val="decimal"/>
      <w:lvlText w:val="%1.%2.%3.%4."/>
      <w:lvlJc w:val="left"/>
      <w:pPr>
        <w:ind w:left="3096" w:hanging="1080"/>
      </w:pPr>
      <w:rPr>
        <w:rFonts w:ascii="Arial" w:hAnsi="Arial" w:cs="Arial" w:hint="default"/>
        <w:b w:val="0"/>
        <w:i w:val="0"/>
        <w:color w:val="auto"/>
        <w:sz w:val="22"/>
        <w:szCs w:val="22"/>
      </w:rPr>
    </w:lvl>
    <w:lvl w:ilvl="4">
      <w:start w:val="1"/>
      <w:numFmt w:val="decimal"/>
      <w:lvlText w:val="%1.%2.%3.%4.%5."/>
      <w:lvlJc w:val="left"/>
      <w:pPr>
        <w:ind w:left="3816" w:hanging="1008"/>
      </w:pPr>
      <w:rPr>
        <w:rFonts w:hint="default"/>
        <w:b w:val="0"/>
        <w:i w:val="0"/>
        <w:color w:val="auto"/>
      </w:rPr>
    </w:lvl>
    <w:lvl w:ilvl="5">
      <w:start w:val="1"/>
      <w:numFmt w:val="lowerRoman"/>
      <w:lvlText w:val="%6."/>
      <w:lvlJc w:val="left"/>
      <w:pPr>
        <w:ind w:left="4176" w:hanging="360"/>
      </w:pPr>
      <w:rPr>
        <w:rFonts w:ascii="Arial" w:eastAsia="Calibri" w:hAnsi="Arial" w:cs="Arial" w:hint="default"/>
        <w:b w:val="0"/>
        <w:i w:val="0"/>
        <w:color w:val="auto"/>
        <w:sz w:val="22"/>
        <w:szCs w:val="22"/>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AD62F32"/>
    <w:multiLevelType w:val="hybridMultilevel"/>
    <w:tmpl w:val="BAB8CACA"/>
    <w:lvl w:ilvl="0" w:tplc="2CFE6B9C">
      <w:start w:val="1"/>
      <w:numFmt w:val="lowerLetter"/>
      <w:lvlText w:val="%1."/>
      <w:lvlJc w:val="left"/>
      <w:pPr>
        <w:ind w:left="720" w:hanging="360"/>
      </w:pPr>
      <w:rPr>
        <w:rFonts w:ascii="Arial" w:eastAsia="Times New Roman"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D7679A2"/>
    <w:multiLevelType w:val="multilevel"/>
    <w:tmpl w:val="3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D7B2D70"/>
    <w:multiLevelType w:val="hybridMultilevel"/>
    <w:tmpl w:val="B65C9D0E"/>
    <w:lvl w:ilvl="0" w:tplc="34090015">
      <w:start w:val="1"/>
      <w:numFmt w:val="upperLetter"/>
      <w:lvlText w:val="%1."/>
      <w:lvlJc w:val="left"/>
      <w:pPr>
        <w:ind w:left="1080" w:hanging="360"/>
      </w:p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nsid w:val="51CD7BAB"/>
    <w:multiLevelType w:val="hybridMultilevel"/>
    <w:tmpl w:val="C548EF66"/>
    <w:lvl w:ilvl="0" w:tplc="A2485274">
      <w:start w:val="1"/>
      <w:numFmt w:val="lowerLetter"/>
      <w:lvlText w:val="%1."/>
      <w:lvlJc w:val="left"/>
      <w:pPr>
        <w:ind w:left="882" w:hanging="360"/>
      </w:pPr>
      <w:rPr>
        <w:rFonts w:hint="default"/>
        <w:b w:val="0"/>
        <w:sz w:val="22"/>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4">
    <w:nsid w:val="5837000E"/>
    <w:multiLevelType w:val="hybridMultilevel"/>
    <w:tmpl w:val="B34A8EF4"/>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nsid w:val="58EB79C8"/>
    <w:multiLevelType w:val="multilevel"/>
    <w:tmpl w:val="95BAAC1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lowerLetter"/>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BB74C16"/>
    <w:multiLevelType w:val="hybridMultilevel"/>
    <w:tmpl w:val="2B98CBB2"/>
    <w:lvl w:ilvl="0" w:tplc="3A288506">
      <w:start w:val="2"/>
      <w:numFmt w:val="lowerLetter"/>
      <w:lvlText w:val="%1."/>
      <w:lvlJc w:val="left"/>
      <w:pPr>
        <w:ind w:left="1128" w:hanging="36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175900"/>
    <w:multiLevelType w:val="hybridMultilevel"/>
    <w:tmpl w:val="1BFCDE10"/>
    <w:lvl w:ilvl="0" w:tplc="5B4A8138">
      <w:start w:val="6"/>
      <w:numFmt w:val="decimal"/>
      <w:lvlText w:val="%1."/>
      <w:lvlJc w:val="left"/>
      <w:pPr>
        <w:ind w:left="36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8">
    <w:nsid w:val="63422648"/>
    <w:multiLevelType w:val="hybridMultilevel"/>
    <w:tmpl w:val="679EB5A8"/>
    <w:lvl w:ilvl="0" w:tplc="3EEC5AE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nsid w:val="668256AA"/>
    <w:multiLevelType w:val="hybridMultilevel"/>
    <w:tmpl w:val="1C402F48"/>
    <w:lvl w:ilvl="0" w:tplc="28A491D2">
      <w:start w:val="1"/>
      <w:numFmt w:val="lowerLetter"/>
      <w:lvlText w:val="%1."/>
      <w:lvlJc w:val="left"/>
      <w:pPr>
        <w:ind w:left="720" w:hanging="36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6C057B"/>
    <w:multiLevelType w:val="hybridMultilevel"/>
    <w:tmpl w:val="F2426B68"/>
    <w:lvl w:ilvl="0" w:tplc="2CFE6B9C">
      <w:start w:val="1"/>
      <w:numFmt w:val="lowerLetter"/>
      <w:lvlText w:val="%1."/>
      <w:lvlJc w:val="left"/>
      <w:pPr>
        <w:ind w:left="720" w:hanging="360"/>
      </w:pPr>
      <w:rPr>
        <w:rFonts w:ascii="Arial" w:eastAsia="Times New Roman"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B6B3443"/>
    <w:multiLevelType w:val="hybridMultilevel"/>
    <w:tmpl w:val="24C4D5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A878FD"/>
    <w:multiLevelType w:val="hybridMultilevel"/>
    <w:tmpl w:val="88D26524"/>
    <w:lvl w:ilvl="0" w:tplc="A5BC9B8A">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39B598E"/>
    <w:multiLevelType w:val="hybridMultilevel"/>
    <w:tmpl w:val="DD06D4A2"/>
    <w:lvl w:ilvl="0" w:tplc="2CFE6B9C">
      <w:start w:val="1"/>
      <w:numFmt w:val="lowerLetter"/>
      <w:lvlText w:val="%1."/>
      <w:lvlJc w:val="left"/>
      <w:pPr>
        <w:ind w:left="1620" w:hanging="360"/>
      </w:pPr>
      <w:rPr>
        <w:rFonts w:ascii="Arial" w:eastAsia="Times New Roman" w:hAnsi="Arial" w:cs="Arial" w:hint="default"/>
        <w:b w:val="0"/>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4">
    <w:nsid w:val="784D7504"/>
    <w:multiLevelType w:val="hybridMultilevel"/>
    <w:tmpl w:val="0F1AAA94"/>
    <w:lvl w:ilvl="0" w:tplc="21169BAE">
      <w:start w:val="6"/>
      <w:numFmt w:val="upperLetter"/>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nsid w:val="7B7D4650"/>
    <w:multiLevelType w:val="multilevel"/>
    <w:tmpl w:val="7758EF10"/>
    <w:lvl w:ilvl="0">
      <w:start w:val="7"/>
      <w:numFmt w:val="decimal"/>
      <w:lvlText w:val="%1."/>
      <w:lvlJc w:val="left"/>
      <w:pPr>
        <w:ind w:left="360" w:hanging="360"/>
      </w:pPr>
      <w:rPr>
        <w:rFonts w:hint="default"/>
        <w:b w:val="0"/>
        <w:sz w:val="22"/>
        <w:szCs w:val="22"/>
      </w:rPr>
    </w:lvl>
    <w:lvl w:ilvl="1">
      <w:start w:val="1"/>
      <w:numFmt w:val="decimal"/>
      <w:isLgl/>
      <w:lvlText w:val="%1.%2"/>
      <w:lvlJc w:val="left"/>
      <w:pPr>
        <w:ind w:left="510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D0211A7"/>
    <w:multiLevelType w:val="hybridMultilevel"/>
    <w:tmpl w:val="9AA2BE76"/>
    <w:lvl w:ilvl="0" w:tplc="2B98C8CA">
      <w:start w:val="1"/>
      <w:numFmt w:val="lowerLetter"/>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F08177C"/>
    <w:multiLevelType w:val="hybridMultilevel"/>
    <w:tmpl w:val="3770200E"/>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9"/>
  </w:num>
  <w:num w:numId="2">
    <w:abstractNumId w:val="25"/>
  </w:num>
  <w:num w:numId="3">
    <w:abstractNumId w:val="11"/>
  </w:num>
  <w:num w:numId="4">
    <w:abstractNumId w:val="31"/>
  </w:num>
  <w:num w:numId="5">
    <w:abstractNumId w:val="3"/>
  </w:num>
  <w:num w:numId="6">
    <w:abstractNumId w:val="18"/>
  </w:num>
  <w:num w:numId="7">
    <w:abstractNumId w:val="23"/>
  </w:num>
  <w:num w:numId="8">
    <w:abstractNumId w:val="29"/>
  </w:num>
  <w:num w:numId="9">
    <w:abstractNumId w:val="26"/>
  </w:num>
  <w:num w:numId="10">
    <w:abstractNumId w:val="15"/>
  </w:num>
  <w:num w:numId="11">
    <w:abstractNumId w:val="28"/>
  </w:num>
  <w:num w:numId="12">
    <w:abstractNumId w:val="16"/>
  </w:num>
  <w:num w:numId="13">
    <w:abstractNumId w:val="13"/>
  </w:num>
  <w:num w:numId="14">
    <w:abstractNumId w:val="12"/>
  </w:num>
  <w:num w:numId="15">
    <w:abstractNumId w:val="7"/>
  </w:num>
  <w:num w:numId="16">
    <w:abstractNumId w:val="27"/>
  </w:num>
  <w:num w:numId="17">
    <w:abstractNumId w:val="35"/>
  </w:num>
  <w:num w:numId="18">
    <w:abstractNumId w:val="8"/>
  </w:num>
  <w:num w:numId="19">
    <w:abstractNumId w:val="0"/>
  </w:num>
  <w:num w:numId="20">
    <w:abstractNumId w:val="32"/>
  </w:num>
  <w:num w:numId="21">
    <w:abstractNumId w:val="30"/>
  </w:num>
  <w:num w:numId="22">
    <w:abstractNumId w:val="20"/>
  </w:num>
  <w:num w:numId="23">
    <w:abstractNumId w:val="36"/>
  </w:num>
  <w:num w:numId="24">
    <w:abstractNumId w:val="1"/>
  </w:num>
  <w:num w:numId="25">
    <w:abstractNumId w:val="5"/>
  </w:num>
  <w:num w:numId="26">
    <w:abstractNumId w:val="17"/>
  </w:num>
  <w:num w:numId="27">
    <w:abstractNumId w:val="33"/>
  </w:num>
  <w:num w:numId="28">
    <w:abstractNumId w:val="2"/>
  </w:num>
  <w:num w:numId="29">
    <w:abstractNumId w:val="19"/>
  </w:num>
  <w:num w:numId="30">
    <w:abstractNumId w:val="21"/>
  </w:num>
  <w:num w:numId="31">
    <w:abstractNumId w:val="4"/>
  </w:num>
  <w:num w:numId="32">
    <w:abstractNumId w:val="24"/>
  </w:num>
  <w:num w:numId="33">
    <w:abstractNumId w:val="14"/>
  </w:num>
  <w:num w:numId="34">
    <w:abstractNumId w:val="22"/>
  </w:num>
  <w:num w:numId="35">
    <w:abstractNumId w:val="34"/>
  </w:num>
  <w:num w:numId="36">
    <w:abstractNumId w:val="37"/>
  </w:num>
  <w:num w:numId="37">
    <w:abstractNumId w:val="10"/>
  </w:num>
  <w:num w:numId="3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VXZCOsuIDF4kAWFfiYPPbiP/3K88Km1oUheH5lT8eMTYdRYdDPevRZjz8n0OmLMyM4nNr7DltiQzqo+F3lvAnA==" w:salt="paesps/+riavWJxxFFCvPA=="/>
  <w:defaultTabStop w:val="720"/>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5E"/>
    <w:rsid w:val="00004889"/>
    <w:rsid w:val="00007C36"/>
    <w:rsid w:val="00010F15"/>
    <w:rsid w:val="00016699"/>
    <w:rsid w:val="00024954"/>
    <w:rsid w:val="00027F23"/>
    <w:rsid w:val="0003436C"/>
    <w:rsid w:val="00034CA8"/>
    <w:rsid w:val="00036C84"/>
    <w:rsid w:val="000473EE"/>
    <w:rsid w:val="00047D86"/>
    <w:rsid w:val="000512A0"/>
    <w:rsid w:val="00052128"/>
    <w:rsid w:val="00052D7D"/>
    <w:rsid w:val="00055172"/>
    <w:rsid w:val="0006271B"/>
    <w:rsid w:val="00066BAB"/>
    <w:rsid w:val="00071B88"/>
    <w:rsid w:val="00072976"/>
    <w:rsid w:val="000824D2"/>
    <w:rsid w:val="000871D1"/>
    <w:rsid w:val="00090A32"/>
    <w:rsid w:val="0009576A"/>
    <w:rsid w:val="000B4438"/>
    <w:rsid w:val="000D05C8"/>
    <w:rsid w:val="000D180C"/>
    <w:rsid w:val="000D467B"/>
    <w:rsid w:val="000D5A3E"/>
    <w:rsid w:val="000E163D"/>
    <w:rsid w:val="000E2EB7"/>
    <w:rsid w:val="000E5C7F"/>
    <w:rsid w:val="000F2AB0"/>
    <w:rsid w:val="000F4610"/>
    <w:rsid w:val="000F5F73"/>
    <w:rsid w:val="000F7447"/>
    <w:rsid w:val="00104105"/>
    <w:rsid w:val="0010704E"/>
    <w:rsid w:val="00111088"/>
    <w:rsid w:val="00113298"/>
    <w:rsid w:val="0012137A"/>
    <w:rsid w:val="00123F64"/>
    <w:rsid w:val="00132632"/>
    <w:rsid w:val="00133A00"/>
    <w:rsid w:val="00134F06"/>
    <w:rsid w:val="001352AD"/>
    <w:rsid w:val="001409DD"/>
    <w:rsid w:val="00145E57"/>
    <w:rsid w:val="00156FC0"/>
    <w:rsid w:val="00161A2F"/>
    <w:rsid w:val="0016454B"/>
    <w:rsid w:val="0016589D"/>
    <w:rsid w:val="001672BF"/>
    <w:rsid w:val="00171383"/>
    <w:rsid w:val="00183A21"/>
    <w:rsid w:val="001912CF"/>
    <w:rsid w:val="00191E84"/>
    <w:rsid w:val="001A37C6"/>
    <w:rsid w:val="001A409C"/>
    <w:rsid w:val="001B06E1"/>
    <w:rsid w:val="001B78B3"/>
    <w:rsid w:val="001D2F4D"/>
    <w:rsid w:val="001D4408"/>
    <w:rsid w:val="001E1B49"/>
    <w:rsid w:val="001E28FF"/>
    <w:rsid w:val="001E500B"/>
    <w:rsid w:val="001E6D13"/>
    <w:rsid w:val="001F0475"/>
    <w:rsid w:val="001F6C8F"/>
    <w:rsid w:val="00201134"/>
    <w:rsid w:val="00204436"/>
    <w:rsid w:val="00210924"/>
    <w:rsid w:val="002131A4"/>
    <w:rsid w:val="00213491"/>
    <w:rsid w:val="00216662"/>
    <w:rsid w:val="00217CE7"/>
    <w:rsid w:val="0022114B"/>
    <w:rsid w:val="00225385"/>
    <w:rsid w:val="00226D47"/>
    <w:rsid w:val="00230943"/>
    <w:rsid w:val="00231999"/>
    <w:rsid w:val="00237E1E"/>
    <w:rsid w:val="002462A7"/>
    <w:rsid w:val="00246DFB"/>
    <w:rsid w:val="002530BE"/>
    <w:rsid w:val="002671E5"/>
    <w:rsid w:val="00276E98"/>
    <w:rsid w:val="002845F9"/>
    <w:rsid w:val="0029336E"/>
    <w:rsid w:val="002946A2"/>
    <w:rsid w:val="00296A66"/>
    <w:rsid w:val="002A1333"/>
    <w:rsid w:val="002A2960"/>
    <w:rsid w:val="002B4667"/>
    <w:rsid w:val="002B4726"/>
    <w:rsid w:val="002C1284"/>
    <w:rsid w:val="002C1FAF"/>
    <w:rsid w:val="002C2F1B"/>
    <w:rsid w:val="002C6FCB"/>
    <w:rsid w:val="002D44EC"/>
    <w:rsid w:val="002F7069"/>
    <w:rsid w:val="00300912"/>
    <w:rsid w:val="003210C6"/>
    <w:rsid w:val="00322A46"/>
    <w:rsid w:val="00327A1D"/>
    <w:rsid w:val="0033067C"/>
    <w:rsid w:val="00336CEA"/>
    <w:rsid w:val="00343A1F"/>
    <w:rsid w:val="00361565"/>
    <w:rsid w:val="00366030"/>
    <w:rsid w:val="00366221"/>
    <w:rsid w:val="00374635"/>
    <w:rsid w:val="003774D0"/>
    <w:rsid w:val="00382C1A"/>
    <w:rsid w:val="0038421C"/>
    <w:rsid w:val="00393870"/>
    <w:rsid w:val="00396F83"/>
    <w:rsid w:val="003B019C"/>
    <w:rsid w:val="003B1FBA"/>
    <w:rsid w:val="003B224E"/>
    <w:rsid w:val="003B336F"/>
    <w:rsid w:val="003B775A"/>
    <w:rsid w:val="003C2651"/>
    <w:rsid w:val="003D0B2B"/>
    <w:rsid w:val="003F6743"/>
    <w:rsid w:val="003F72BC"/>
    <w:rsid w:val="00401006"/>
    <w:rsid w:val="0040119E"/>
    <w:rsid w:val="004122C6"/>
    <w:rsid w:val="00414173"/>
    <w:rsid w:val="004201D8"/>
    <w:rsid w:val="00431F93"/>
    <w:rsid w:val="00436CF3"/>
    <w:rsid w:val="0043739C"/>
    <w:rsid w:val="0044074A"/>
    <w:rsid w:val="00442140"/>
    <w:rsid w:val="00442F59"/>
    <w:rsid w:val="0044673B"/>
    <w:rsid w:val="0044735F"/>
    <w:rsid w:val="00454B3B"/>
    <w:rsid w:val="00465A19"/>
    <w:rsid w:val="00472572"/>
    <w:rsid w:val="004765B9"/>
    <w:rsid w:val="004933F1"/>
    <w:rsid w:val="00494B83"/>
    <w:rsid w:val="00495317"/>
    <w:rsid w:val="004A2C5C"/>
    <w:rsid w:val="004A3362"/>
    <w:rsid w:val="004A4E71"/>
    <w:rsid w:val="004B0548"/>
    <w:rsid w:val="004B1346"/>
    <w:rsid w:val="004B2D9F"/>
    <w:rsid w:val="004B7C30"/>
    <w:rsid w:val="004C0A31"/>
    <w:rsid w:val="004C3DD5"/>
    <w:rsid w:val="004D4AC9"/>
    <w:rsid w:val="004D7C57"/>
    <w:rsid w:val="004D7FDC"/>
    <w:rsid w:val="004E0D23"/>
    <w:rsid w:val="004E725C"/>
    <w:rsid w:val="004F34E0"/>
    <w:rsid w:val="0050298F"/>
    <w:rsid w:val="00504155"/>
    <w:rsid w:val="005131FD"/>
    <w:rsid w:val="00520C23"/>
    <w:rsid w:val="00522D76"/>
    <w:rsid w:val="005523DE"/>
    <w:rsid w:val="0055386B"/>
    <w:rsid w:val="00555BFE"/>
    <w:rsid w:val="00560C5E"/>
    <w:rsid w:val="005678EC"/>
    <w:rsid w:val="0057082F"/>
    <w:rsid w:val="00573190"/>
    <w:rsid w:val="0057517F"/>
    <w:rsid w:val="00580821"/>
    <w:rsid w:val="00583E7B"/>
    <w:rsid w:val="00584F8C"/>
    <w:rsid w:val="00595750"/>
    <w:rsid w:val="0059710A"/>
    <w:rsid w:val="005A60D2"/>
    <w:rsid w:val="005A6805"/>
    <w:rsid w:val="005C1AFF"/>
    <w:rsid w:val="005D1AF2"/>
    <w:rsid w:val="005D4344"/>
    <w:rsid w:val="005F011C"/>
    <w:rsid w:val="005F14BB"/>
    <w:rsid w:val="005F317B"/>
    <w:rsid w:val="005F3588"/>
    <w:rsid w:val="005F3F0A"/>
    <w:rsid w:val="00606572"/>
    <w:rsid w:val="006147C5"/>
    <w:rsid w:val="006157DB"/>
    <w:rsid w:val="00624BD1"/>
    <w:rsid w:val="006539FD"/>
    <w:rsid w:val="00656DCC"/>
    <w:rsid w:val="0066568D"/>
    <w:rsid w:val="00667438"/>
    <w:rsid w:val="0067154C"/>
    <w:rsid w:val="00677841"/>
    <w:rsid w:val="00681069"/>
    <w:rsid w:val="0068630D"/>
    <w:rsid w:val="00694D64"/>
    <w:rsid w:val="006A2085"/>
    <w:rsid w:val="006A2F0D"/>
    <w:rsid w:val="006A3EA9"/>
    <w:rsid w:val="006A54DE"/>
    <w:rsid w:val="006A5ED8"/>
    <w:rsid w:val="006A7BD5"/>
    <w:rsid w:val="006B0F20"/>
    <w:rsid w:val="006B201C"/>
    <w:rsid w:val="006B289F"/>
    <w:rsid w:val="006B6B80"/>
    <w:rsid w:val="006C1DA0"/>
    <w:rsid w:val="006C38EF"/>
    <w:rsid w:val="006C6DF9"/>
    <w:rsid w:val="006E1438"/>
    <w:rsid w:val="006E5A03"/>
    <w:rsid w:val="006F7567"/>
    <w:rsid w:val="006F7DEB"/>
    <w:rsid w:val="00703E9C"/>
    <w:rsid w:val="00712D96"/>
    <w:rsid w:val="00714D0B"/>
    <w:rsid w:val="0072080D"/>
    <w:rsid w:val="00723A1F"/>
    <w:rsid w:val="00723CB7"/>
    <w:rsid w:val="007308E5"/>
    <w:rsid w:val="007330EA"/>
    <w:rsid w:val="007355FB"/>
    <w:rsid w:val="00736568"/>
    <w:rsid w:val="0074499C"/>
    <w:rsid w:val="00753379"/>
    <w:rsid w:val="00755C78"/>
    <w:rsid w:val="007609D2"/>
    <w:rsid w:val="00762B0A"/>
    <w:rsid w:val="00772FF1"/>
    <w:rsid w:val="007761D5"/>
    <w:rsid w:val="00776433"/>
    <w:rsid w:val="00777581"/>
    <w:rsid w:val="00782103"/>
    <w:rsid w:val="00786439"/>
    <w:rsid w:val="00786ADA"/>
    <w:rsid w:val="0079497E"/>
    <w:rsid w:val="007A0720"/>
    <w:rsid w:val="007A2D86"/>
    <w:rsid w:val="007A5669"/>
    <w:rsid w:val="007A7745"/>
    <w:rsid w:val="007D042E"/>
    <w:rsid w:val="007E5773"/>
    <w:rsid w:val="007E5B43"/>
    <w:rsid w:val="007F18AE"/>
    <w:rsid w:val="007F2BA2"/>
    <w:rsid w:val="007F55CF"/>
    <w:rsid w:val="00810C3B"/>
    <w:rsid w:val="0081289E"/>
    <w:rsid w:val="00814BD2"/>
    <w:rsid w:val="008229EA"/>
    <w:rsid w:val="00823A92"/>
    <w:rsid w:val="00823E57"/>
    <w:rsid w:val="0082672F"/>
    <w:rsid w:val="00835F8C"/>
    <w:rsid w:val="008403D7"/>
    <w:rsid w:val="008423A2"/>
    <w:rsid w:val="00843C8F"/>
    <w:rsid w:val="00860532"/>
    <w:rsid w:val="00863916"/>
    <w:rsid w:val="00864884"/>
    <w:rsid w:val="00867E26"/>
    <w:rsid w:val="00877B5E"/>
    <w:rsid w:val="00882263"/>
    <w:rsid w:val="008A29E9"/>
    <w:rsid w:val="008A71F4"/>
    <w:rsid w:val="008B56AF"/>
    <w:rsid w:val="008B7E78"/>
    <w:rsid w:val="008C4678"/>
    <w:rsid w:val="008D2BFA"/>
    <w:rsid w:val="008D351C"/>
    <w:rsid w:val="008D7071"/>
    <w:rsid w:val="008E11B3"/>
    <w:rsid w:val="008E5633"/>
    <w:rsid w:val="008F10CC"/>
    <w:rsid w:val="009001C4"/>
    <w:rsid w:val="009119CC"/>
    <w:rsid w:val="00921F5C"/>
    <w:rsid w:val="00922170"/>
    <w:rsid w:val="00926EF3"/>
    <w:rsid w:val="00927E4E"/>
    <w:rsid w:val="009314E1"/>
    <w:rsid w:val="00931D61"/>
    <w:rsid w:val="009400D6"/>
    <w:rsid w:val="0094160E"/>
    <w:rsid w:val="00947CF7"/>
    <w:rsid w:val="0095254E"/>
    <w:rsid w:val="0095274B"/>
    <w:rsid w:val="009552EC"/>
    <w:rsid w:val="00960C2B"/>
    <w:rsid w:val="00962DFA"/>
    <w:rsid w:val="009647F6"/>
    <w:rsid w:val="00966DCB"/>
    <w:rsid w:val="00966F14"/>
    <w:rsid w:val="00967521"/>
    <w:rsid w:val="00972541"/>
    <w:rsid w:val="00972A02"/>
    <w:rsid w:val="00973BD5"/>
    <w:rsid w:val="00973DF8"/>
    <w:rsid w:val="009740A4"/>
    <w:rsid w:val="009819E2"/>
    <w:rsid w:val="009872F1"/>
    <w:rsid w:val="009A140B"/>
    <w:rsid w:val="009A5FA7"/>
    <w:rsid w:val="009A77EB"/>
    <w:rsid w:val="009B0DCB"/>
    <w:rsid w:val="009B3D60"/>
    <w:rsid w:val="009B7F4D"/>
    <w:rsid w:val="009C1FA4"/>
    <w:rsid w:val="009D2A3E"/>
    <w:rsid w:val="009D376A"/>
    <w:rsid w:val="009D3C01"/>
    <w:rsid w:val="009F0ADA"/>
    <w:rsid w:val="009F7A53"/>
    <w:rsid w:val="00A02384"/>
    <w:rsid w:val="00A03C5F"/>
    <w:rsid w:val="00A104D5"/>
    <w:rsid w:val="00A26640"/>
    <w:rsid w:val="00A36D45"/>
    <w:rsid w:val="00A41A2E"/>
    <w:rsid w:val="00A52DA4"/>
    <w:rsid w:val="00A57983"/>
    <w:rsid w:val="00A70361"/>
    <w:rsid w:val="00A93CC9"/>
    <w:rsid w:val="00A96C52"/>
    <w:rsid w:val="00AA3290"/>
    <w:rsid w:val="00AA33A3"/>
    <w:rsid w:val="00AA632B"/>
    <w:rsid w:val="00AC467E"/>
    <w:rsid w:val="00AC5DA3"/>
    <w:rsid w:val="00AC6FFD"/>
    <w:rsid w:val="00AE058A"/>
    <w:rsid w:val="00AE2ABE"/>
    <w:rsid w:val="00AE2E72"/>
    <w:rsid w:val="00B15516"/>
    <w:rsid w:val="00B24510"/>
    <w:rsid w:val="00B258AF"/>
    <w:rsid w:val="00B2648B"/>
    <w:rsid w:val="00B34436"/>
    <w:rsid w:val="00B37A2F"/>
    <w:rsid w:val="00B51D64"/>
    <w:rsid w:val="00B531C1"/>
    <w:rsid w:val="00B551E1"/>
    <w:rsid w:val="00B62123"/>
    <w:rsid w:val="00B72630"/>
    <w:rsid w:val="00B81F56"/>
    <w:rsid w:val="00B82B0F"/>
    <w:rsid w:val="00BA0996"/>
    <w:rsid w:val="00BA468F"/>
    <w:rsid w:val="00BA534E"/>
    <w:rsid w:val="00BA774A"/>
    <w:rsid w:val="00BA779C"/>
    <w:rsid w:val="00BB0680"/>
    <w:rsid w:val="00BC6E31"/>
    <w:rsid w:val="00BD1BC7"/>
    <w:rsid w:val="00BD2DE6"/>
    <w:rsid w:val="00BD2E1B"/>
    <w:rsid w:val="00BD3766"/>
    <w:rsid w:val="00BE6D89"/>
    <w:rsid w:val="00BE788D"/>
    <w:rsid w:val="00BF2A69"/>
    <w:rsid w:val="00C04232"/>
    <w:rsid w:val="00C0644E"/>
    <w:rsid w:val="00C147B8"/>
    <w:rsid w:val="00C15EF2"/>
    <w:rsid w:val="00C17159"/>
    <w:rsid w:val="00C2358C"/>
    <w:rsid w:val="00C270BE"/>
    <w:rsid w:val="00C44020"/>
    <w:rsid w:val="00C54785"/>
    <w:rsid w:val="00C55865"/>
    <w:rsid w:val="00C56FDC"/>
    <w:rsid w:val="00C60192"/>
    <w:rsid w:val="00C64B12"/>
    <w:rsid w:val="00C64D7F"/>
    <w:rsid w:val="00C912F5"/>
    <w:rsid w:val="00C939AB"/>
    <w:rsid w:val="00C94716"/>
    <w:rsid w:val="00CA1073"/>
    <w:rsid w:val="00CA1B0C"/>
    <w:rsid w:val="00CB21B5"/>
    <w:rsid w:val="00CB40C5"/>
    <w:rsid w:val="00CC0833"/>
    <w:rsid w:val="00CD03DC"/>
    <w:rsid w:val="00CD06FB"/>
    <w:rsid w:val="00CD67AA"/>
    <w:rsid w:val="00CF4EFA"/>
    <w:rsid w:val="00CF7F47"/>
    <w:rsid w:val="00D06515"/>
    <w:rsid w:val="00D12639"/>
    <w:rsid w:val="00D132DF"/>
    <w:rsid w:val="00D16E7E"/>
    <w:rsid w:val="00D2125C"/>
    <w:rsid w:val="00D32F43"/>
    <w:rsid w:val="00D34E07"/>
    <w:rsid w:val="00D35691"/>
    <w:rsid w:val="00D3614A"/>
    <w:rsid w:val="00D42623"/>
    <w:rsid w:val="00D43140"/>
    <w:rsid w:val="00D44B4C"/>
    <w:rsid w:val="00D45CD1"/>
    <w:rsid w:val="00D5042D"/>
    <w:rsid w:val="00D613D4"/>
    <w:rsid w:val="00D64547"/>
    <w:rsid w:val="00D93331"/>
    <w:rsid w:val="00D95806"/>
    <w:rsid w:val="00D970BB"/>
    <w:rsid w:val="00DA093D"/>
    <w:rsid w:val="00DA19F1"/>
    <w:rsid w:val="00DA1D88"/>
    <w:rsid w:val="00DA2605"/>
    <w:rsid w:val="00DA5258"/>
    <w:rsid w:val="00DA53AF"/>
    <w:rsid w:val="00DA6FAF"/>
    <w:rsid w:val="00DA72BB"/>
    <w:rsid w:val="00DA767F"/>
    <w:rsid w:val="00DB2832"/>
    <w:rsid w:val="00DB42FE"/>
    <w:rsid w:val="00DC3580"/>
    <w:rsid w:val="00DC43B8"/>
    <w:rsid w:val="00DC5D60"/>
    <w:rsid w:val="00DD16E3"/>
    <w:rsid w:val="00DD3C0E"/>
    <w:rsid w:val="00DD4D58"/>
    <w:rsid w:val="00DE486C"/>
    <w:rsid w:val="00DE6DAD"/>
    <w:rsid w:val="00DF0B5C"/>
    <w:rsid w:val="00DF25A4"/>
    <w:rsid w:val="00DF6BDD"/>
    <w:rsid w:val="00E1615E"/>
    <w:rsid w:val="00E26181"/>
    <w:rsid w:val="00E356CD"/>
    <w:rsid w:val="00E46673"/>
    <w:rsid w:val="00E47479"/>
    <w:rsid w:val="00E511E2"/>
    <w:rsid w:val="00E54353"/>
    <w:rsid w:val="00E71346"/>
    <w:rsid w:val="00E72321"/>
    <w:rsid w:val="00E72FAE"/>
    <w:rsid w:val="00E732C8"/>
    <w:rsid w:val="00E75BFF"/>
    <w:rsid w:val="00E81D2C"/>
    <w:rsid w:val="00E83D9B"/>
    <w:rsid w:val="00E92C07"/>
    <w:rsid w:val="00E9391D"/>
    <w:rsid w:val="00E93D8F"/>
    <w:rsid w:val="00EA2CAD"/>
    <w:rsid w:val="00EA7CB9"/>
    <w:rsid w:val="00EB2B51"/>
    <w:rsid w:val="00EB4521"/>
    <w:rsid w:val="00EB58FB"/>
    <w:rsid w:val="00EB6466"/>
    <w:rsid w:val="00EC4ADC"/>
    <w:rsid w:val="00EC582D"/>
    <w:rsid w:val="00ED07C9"/>
    <w:rsid w:val="00ED4818"/>
    <w:rsid w:val="00ED6AC8"/>
    <w:rsid w:val="00EE06C2"/>
    <w:rsid w:val="00EE74F4"/>
    <w:rsid w:val="00F12FE0"/>
    <w:rsid w:val="00F217CF"/>
    <w:rsid w:val="00F21EEC"/>
    <w:rsid w:val="00F220D3"/>
    <w:rsid w:val="00F304E2"/>
    <w:rsid w:val="00F314A8"/>
    <w:rsid w:val="00F34E58"/>
    <w:rsid w:val="00F423AE"/>
    <w:rsid w:val="00F44452"/>
    <w:rsid w:val="00F47F6B"/>
    <w:rsid w:val="00F525CF"/>
    <w:rsid w:val="00F54986"/>
    <w:rsid w:val="00F54FAA"/>
    <w:rsid w:val="00F65240"/>
    <w:rsid w:val="00F70AB3"/>
    <w:rsid w:val="00F7557D"/>
    <w:rsid w:val="00F771A8"/>
    <w:rsid w:val="00F82FDF"/>
    <w:rsid w:val="00F83249"/>
    <w:rsid w:val="00F83F2B"/>
    <w:rsid w:val="00F91F4C"/>
    <w:rsid w:val="00F939C3"/>
    <w:rsid w:val="00F957EA"/>
    <w:rsid w:val="00FA444B"/>
    <w:rsid w:val="00FB30BB"/>
    <w:rsid w:val="00FB3916"/>
    <w:rsid w:val="00FC5F9E"/>
    <w:rsid w:val="00FC624A"/>
    <w:rsid w:val="00FE0F34"/>
    <w:rsid w:val="00FE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2049AF9A-4932-4FD0-B282-46E7C2D7F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PH" w:eastAsia="en-P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B5E"/>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
    <w:basedOn w:val="Normal"/>
    <w:link w:val="ListParagraphChar"/>
    <w:uiPriority w:val="34"/>
    <w:qFormat/>
    <w:rsid w:val="00877B5E"/>
    <w:pPr>
      <w:ind w:left="720"/>
      <w:contextualSpacing/>
    </w:pPr>
  </w:style>
  <w:style w:type="paragraph" w:styleId="BodyText">
    <w:name w:val="Body Text"/>
    <w:basedOn w:val="Normal"/>
    <w:link w:val="BodyTextChar"/>
    <w:uiPriority w:val="99"/>
    <w:unhideWhenUsed/>
    <w:rsid w:val="00877B5E"/>
    <w:pPr>
      <w:spacing w:after="120"/>
    </w:pPr>
    <w:rPr>
      <w:sz w:val="20"/>
      <w:szCs w:val="20"/>
    </w:rPr>
  </w:style>
  <w:style w:type="character" w:customStyle="1" w:styleId="BodyTextChar">
    <w:name w:val="Body Text Char"/>
    <w:link w:val="BodyText"/>
    <w:uiPriority w:val="99"/>
    <w:rsid w:val="00877B5E"/>
    <w:rPr>
      <w:rFonts w:ascii="Calibri" w:eastAsia="Calibri" w:hAnsi="Calibri" w:cs="Times New Roman"/>
    </w:rPr>
  </w:style>
  <w:style w:type="paragraph" w:styleId="BodyTextIndent">
    <w:name w:val="Body Text Indent"/>
    <w:basedOn w:val="Normal"/>
    <w:link w:val="BodyTextIndentChar"/>
    <w:uiPriority w:val="99"/>
    <w:semiHidden/>
    <w:unhideWhenUsed/>
    <w:rsid w:val="00A41A2E"/>
    <w:pPr>
      <w:spacing w:after="120"/>
      <w:ind w:left="360"/>
    </w:pPr>
    <w:rPr>
      <w:sz w:val="20"/>
      <w:szCs w:val="20"/>
    </w:rPr>
  </w:style>
  <w:style w:type="character" w:customStyle="1" w:styleId="BodyTextIndentChar">
    <w:name w:val="Body Text Indent Char"/>
    <w:link w:val="BodyTextIndent"/>
    <w:uiPriority w:val="99"/>
    <w:semiHidden/>
    <w:rsid w:val="00A41A2E"/>
    <w:rPr>
      <w:rFonts w:ascii="Calibri" w:eastAsia="Calibri" w:hAnsi="Calibri" w:cs="Times New Roman"/>
    </w:rPr>
  </w:style>
  <w:style w:type="paragraph" w:styleId="CommentText">
    <w:name w:val="annotation text"/>
    <w:basedOn w:val="Normal"/>
    <w:link w:val="CommentTextChar"/>
    <w:uiPriority w:val="99"/>
    <w:unhideWhenUsed/>
    <w:rsid w:val="00A41A2E"/>
    <w:rPr>
      <w:sz w:val="20"/>
      <w:szCs w:val="20"/>
    </w:rPr>
  </w:style>
  <w:style w:type="character" w:customStyle="1" w:styleId="CommentTextChar">
    <w:name w:val="Comment Text Char"/>
    <w:link w:val="CommentText"/>
    <w:uiPriority w:val="99"/>
    <w:rsid w:val="00A41A2E"/>
    <w:rPr>
      <w:rFonts w:ascii="Calibri" w:eastAsia="Calibri" w:hAnsi="Calibri" w:cs="Times New Roman"/>
      <w:sz w:val="20"/>
      <w:szCs w:val="20"/>
    </w:rPr>
  </w:style>
  <w:style w:type="character" w:styleId="Hyperlink">
    <w:name w:val="Hyperlink"/>
    <w:uiPriority w:val="99"/>
    <w:unhideWhenUsed/>
    <w:rsid w:val="00A03C5F"/>
    <w:rPr>
      <w:color w:val="0000FF"/>
      <w:u w:val="single"/>
    </w:rPr>
  </w:style>
  <w:style w:type="paragraph" w:styleId="BodyText2">
    <w:name w:val="Body Text 2"/>
    <w:basedOn w:val="Normal"/>
    <w:link w:val="BodyText2Char"/>
    <w:unhideWhenUsed/>
    <w:rsid w:val="00EB4521"/>
    <w:pPr>
      <w:spacing w:after="120" w:line="480" w:lineRule="auto"/>
    </w:pPr>
  </w:style>
  <w:style w:type="character" w:customStyle="1" w:styleId="BodyText2Char">
    <w:name w:val="Body Text 2 Char"/>
    <w:link w:val="BodyText2"/>
    <w:rsid w:val="00EB4521"/>
    <w:rPr>
      <w:sz w:val="22"/>
      <w:szCs w:val="22"/>
    </w:rPr>
  </w:style>
  <w:style w:type="paragraph" w:styleId="Header">
    <w:name w:val="header"/>
    <w:basedOn w:val="Normal"/>
    <w:link w:val="HeaderChar"/>
    <w:uiPriority w:val="99"/>
    <w:unhideWhenUsed/>
    <w:rsid w:val="00972541"/>
    <w:pPr>
      <w:tabs>
        <w:tab w:val="center" w:pos="4680"/>
        <w:tab w:val="right" w:pos="9360"/>
      </w:tabs>
    </w:pPr>
  </w:style>
  <w:style w:type="character" w:customStyle="1" w:styleId="HeaderChar">
    <w:name w:val="Header Char"/>
    <w:link w:val="Header"/>
    <w:uiPriority w:val="99"/>
    <w:rsid w:val="00972541"/>
    <w:rPr>
      <w:sz w:val="22"/>
      <w:szCs w:val="22"/>
    </w:rPr>
  </w:style>
  <w:style w:type="paragraph" w:styleId="Footer">
    <w:name w:val="footer"/>
    <w:basedOn w:val="Normal"/>
    <w:link w:val="FooterChar"/>
    <w:uiPriority w:val="99"/>
    <w:unhideWhenUsed/>
    <w:rsid w:val="00972541"/>
    <w:pPr>
      <w:tabs>
        <w:tab w:val="center" w:pos="4680"/>
        <w:tab w:val="right" w:pos="9360"/>
      </w:tabs>
    </w:pPr>
  </w:style>
  <w:style w:type="character" w:customStyle="1" w:styleId="FooterChar">
    <w:name w:val="Footer Char"/>
    <w:link w:val="Footer"/>
    <w:uiPriority w:val="99"/>
    <w:rsid w:val="00972541"/>
    <w:rPr>
      <w:sz w:val="22"/>
      <w:szCs w:val="22"/>
    </w:rPr>
  </w:style>
  <w:style w:type="table" w:styleId="TableGrid">
    <w:name w:val="Table Grid"/>
    <w:basedOn w:val="TableNormal"/>
    <w:rsid w:val="00927E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Resume Title Char,List Paragraph1 Char"/>
    <w:link w:val="ListParagraph"/>
    <w:uiPriority w:val="34"/>
    <w:rsid w:val="00F83249"/>
    <w:rPr>
      <w:sz w:val="22"/>
      <w:szCs w:val="22"/>
    </w:rPr>
  </w:style>
  <w:style w:type="paragraph" w:styleId="BalloonText">
    <w:name w:val="Balloon Text"/>
    <w:basedOn w:val="Normal"/>
    <w:link w:val="BalloonTextChar"/>
    <w:uiPriority w:val="99"/>
    <w:semiHidden/>
    <w:unhideWhenUsed/>
    <w:rsid w:val="00BD1BC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D1BC7"/>
    <w:rPr>
      <w:rFonts w:ascii="Tahoma" w:hAnsi="Tahoma" w:cs="Tahoma"/>
      <w:sz w:val="16"/>
      <w:szCs w:val="16"/>
      <w:lang w:val="en-US" w:eastAsia="en-US"/>
    </w:rPr>
  </w:style>
  <w:style w:type="paragraph" w:styleId="NoSpacing">
    <w:name w:val="No Spacing"/>
    <w:link w:val="NoSpacingChar"/>
    <w:uiPriority w:val="1"/>
    <w:qFormat/>
    <w:rsid w:val="001E28FF"/>
  </w:style>
  <w:style w:type="character" w:customStyle="1" w:styleId="NoSpacingChar">
    <w:name w:val="No Spacing Char"/>
    <w:link w:val="NoSpacing"/>
    <w:uiPriority w:val="1"/>
    <w:rsid w:val="001E28FF"/>
    <w:rPr>
      <w:lang w:val="en-PH" w:eastAsia="en-P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786671">
      <w:bodyDiv w:val="1"/>
      <w:marLeft w:val="0"/>
      <w:marRight w:val="0"/>
      <w:marTop w:val="0"/>
      <w:marBottom w:val="0"/>
      <w:divBdr>
        <w:top w:val="none" w:sz="0" w:space="0" w:color="auto"/>
        <w:left w:val="none" w:sz="0" w:space="0" w:color="auto"/>
        <w:bottom w:val="none" w:sz="0" w:space="0" w:color="auto"/>
        <w:right w:val="none" w:sz="0" w:space="0" w:color="auto"/>
      </w:divBdr>
    </w:div>
    <w:div w:id="1002200176">
      <w:bodyDiv w:val="1"/>
      <w:marLeft w:val="0"/>
      <w:marRight w:val="0"/>
      <w:marTop w:val="0"/>
      <w:marBottom w:val="0"/>
      <w:divBdr>
        <w:top w:val="none" w:sz="0" w:space="0" w:color="auto"/>
        <w:left w:val="none" w:sz="0" w:space="0" w:color="auto"/>
        <w:bottom w:val="none" w:sz="0" w:space="0" w:color="auto"/>
        <w:right w:val="none" w:sz="0" w:space="0" w:color="auto"/>
      </w:divBdr>
    </w:div>
    <w:div w:id="11438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8F7D5-EF8E-45C3-8F10-9D521DBB7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2092</Words>
  <Characters>11926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COA - Philippine Charity Sweepstakes Office</dc:creator>
  <cp:lastModifiedBy>Evy Rose L. Lacanlale</cp:lastModifiedBy>
  <cp:revision>3</cp:revision>
  <cp:lastPrinted>2018-06-14T05:22:00Z</cp:lastPrinted>
  <dcterms:created xsi:type="dcterms:W3CDTF">2018-07-06T01:37:00Z</dcterms:created>
  <dcterms:modified xsi:type="dcterms:W3CDTF">2018-07-09T05:36:00Z</dcterms:modified>
</cp:coreProperties>
</file>